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Tutor Virtual de Lectura Crítica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Llacza Isidro José Miguel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16/09/2025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09/09/2025 – 16/09/2025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planificaron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 requisitos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Hasta la fecha se completaron </w:t>
            </w:r>
            <w:sdt>
              <w:sdtPr>
                <w:id w:val="-92840632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 requisitos (≈30%)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avanza ligeramente dentro de lo esperado para el sprint. No se detectan retrasos críticos, aunque el ritmo debe mantenerse para cumplir el 100%. 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presupuesto ejecutado se mantiene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alineado al 30% de avance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Sin sobrecostos reportados.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realizaron pruebas de integración inicial frontend-backend. QA identificó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defectos menores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ya corregidos. Actividades de calidad: pruebas unitarias en backend y revisión de código.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Integración compleja del stack MERN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Quispe U. / Villena 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Capacitación + pair programming + pruebas tempranas.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Baja participación de miembros del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Dinámicas ágiles, redistribución de carga, motivación.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Retrasos en la coordinación frontend-backend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PM + Scrum 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Reuniones diarias + tablero Kanban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los 9 requisitos restantes del Sprint 1.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en la integración frontend-backend (API REST con Node.js y React).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Entrenamiento inicial de los modelos de IA con datasets curados.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de la infraestructura CI/CD y pruebas en entorno staging.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la primera versión de la documentación de usuario.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mantiene un estado aceptable, aunque con riesgos técnicos (IA y MERN) que requieren atención inmediata.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 reforzar la comunicación entre frontend y backend para evitar bloqueos en la integración.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participación del equipo ha sido buena, pero es necesario mantener la motivación para cumplir el cronograma.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iyhRckxGh2OweKf7EUtFfjcOYA==">CgMxLjAaJAoBMBIfCh0IB0IZCgVBcmlhbBIQQXJpYWwgVW5pY29kZSBNUzgAciExdVNrQ3NPRzlCcXpoelFuZm91My11S1BzNklIa0pTOXY=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