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40" w:before="1100"/>
      </w:pPr>
      <w:r>
        <w:rPr>
          <w:rFonts w:ascii="Noto Sans CJK SC" w:hAnsi="Noto Sans CJK SC" w:cs="Noto Sans CJK SC" w:eastAsia="Noto Sans CJK SC"/>
          <w:b/>
          <w:color w:val="087F8C"/>
          <w:sz w:val="22"/>
        </w:rPr>
        <w:t>ARCHITECTURE NOTE</w:t>
      </w:r>
    </w:p>
    <w:p>
      <w:pPr>
        <w:spacing w:after="360"/>
      </w:pPr>
      <w:r>
        <w:rPr>
          <w:rFonts w:ascii="Noto Sans CJK SC" w:hAnsi="Noto Sans CJK SC" w:cs="Noto Sans CJK SC" w:eastAsia="Noto Sans CJK SC"/>
          <w:b/>
          <w:color w:val="173553"/>
          <w:sz w:val="54"/>
        </w:rPr>
        <w:t>tcgen05 Tensor 架构文档</w:t>
      </w:r>
    </w:p>
    <w:p>
      <w:pPr>
        <w:spacing w:after="560"/>
      </w:pPr>
      <w:r>
        <w:rPr>
          <w:rFonts w:ascii="Noto Sans CJK SC" w:hAnsi="Noto Sans CJK SC" w:cs="Noto Sans CJK SC" w:eastAsia="Noto Sans CJK SC"/>
          <w:b w:val="0"/>
          <w:color w:val="087F8C"/>
          <w:sz w:val="28"/>
        </w:rPr>
        <w:t>数据路径、资源生命周期与异步执行</w:t>
      </w:r>
    </w:p>
    <w:p>
      <w:pPr>
        <w:spacing w:after="240"/>
      </w:pPr>
      <w:r>
        <w:rPr>
          <w:rFonts w:ascii="Noto Sans CJK SC" w:hAnsi="Noto Sans CJK SC" w:cs="Noto Sans CJK SC" w:eastAsia="Noto Sans CJK SC"/>
          <w:b w:val="0"/>
          <w:color w:val="52687B"/>
          <w:sz w:val="22"/>
        </w:rPr>
        <w:t>版本 1.0  ·  2026-10-26</w:t>
      </w:r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  <w:t>依据可编辑 Markdown 正文构建；附五张架构示意图与可点击章节导航。</w:t>
      </w:r>
    </w:p>
    <w:p>
      <w:pPr>
        <w:spacing w:after="12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  <w:t>正文中的规范事实、架构推断和项目选择分别按引用及标注阅读。</w:t>
      </w:r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r>
        <w:br w:type="page"/>
      </w:r>
    </w:p>
    <w:p>
      <w:pPr>
        <w:keepNext/>
        <w:spacing w:after="280"/>
      </w:pPr>
      <w:r>
        <w:rPr>
          <w:rFonts w:ascii="Noto Sans CJK SC" w:hAnsi="Noto Sans CJK SC" w:cs="Noto Sans CJK SC" w:eastAsia="Noto Sans CJK SC"/>
          <w:b/>
          <w:color w:val="173553"/>
          <w:sz w:val="36"/>
        </w:rPr>
        <w:t>阅读导航</w:t>
      </w:r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">
        <w:r>
          <w:rPr>
            <w:color w:val="087F8C"/>
            <w:sz w:val="21"/>
            <w:rFonts w:ascii="Noto Sans CJK SC" w:hAnsi="Noto Sans CJK SC" w:eastAsia="Noto Sans CJK SC" w:cs="Noto Sans CJK SC"/>
          </w:rPr>
          <w:t>1. 文档目标与架构边界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2">
        <w:r>
          <w:rPr>
            <w:color w:val="087F8C"/>
            <w:sz w:val="21"/>
            <w:rFonts w:ascii="Noto Sans CJK SC" w:hAnsi="Noto Sans CJK SC" w:eastAsia="Noto Sans CJK SC" w:cs="Noto Sans CJK SC"/>
          </w:rPr>
          <w:t>2. Tensor 的架构定位与功能分区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3">
        <w:r>
          <w:rPr>
            <w:color w:val="087F8C"/>
            <w:sz w:val="21"/>
            <w:rFonts w:ascii="Noto Sans CJK SC" w:hAnsi="Noto Sans CJK SC" w:eastAsia="Noto Sans CJK SC" w:cs="Noto Sans CJK SC"/>
          </w:rPr>
          <w:t>3. 架构对象与矩阵数学模型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4">
        <w:r>
          <w:rPr>
            <w:color w:val="087F8C"/>
            <w:sz w:val="21"/>
            <w:rFonts w:ascii="Noto Sans CJK SC" w:hAnsi="Noto Sans CJK SC" w:eastAsia="Noto Sans CJK SC" w:cs="Noto Sans CJK SC"/>
          </w:rPr>
          <w:t>4. CTA group、指令参与者与访问权限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5">
        <w:r>
          <w:rPr>
            <w:color w:val="087F8C"/>
            <w:sz w:val="21"/>
            <w:rFonts w:ascii="Noto Sans CJK SC" w:hAnsi="Noto Sans CJK SC" w:eastAsia="Noto Sans CJK SC" w:cs="Noto Sans CJK SC"/>
          </w:rPr>
          <w:t>5. 存储架构与 TMEM 地址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6">
        <w:r>
          <w:rPr>
            <w:color w:val="087F8C"/>
            <w:sz w:val="21"/>
            <w:rFonts w:ascii="Noto Sans CJK SC" w:hAnsi="Noto Sans CJK SC" w:eastAsia="Noto Sans CJK SC" w:cs="Noto Sans CJK SC"/>
          </w:rPr>
          <w:t>6. TMEM 资源与所有权生命周期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7">
        <w:r>
          <w:rPr>
            <w:color w:val="087F8C"/>
            <w:sz w:val="21"/>
            <w:rFonts w:ascii="Noto Sans CJK SC" w:hAnsi="Noto Sans CJK SC" w:eastAsia="Noto Sans CJK SC" w:cs="Noto Sans CJK SC"/>
          </w:rPr>
          <w:t>7. 指令家族完整功能视图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8">
        <w:r>
          <w:rPr>
            <w:color w:val="087F8C"/>
            <w:sz w:val="21"/>
            <w:rFonts w:ascii="Noto Sans CJK SC" w:hAnsi="Noto Sans CJK SC" w:eastAsia="Noto Sans CJK SC" w:cs="Noto Sans CJK SC"/>
          </w:rPr>
          <w:t>8. 描述符与配置架构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9">
        <w:r>
          <w:rPr>
            <w:color w:val="087F8C"/>
            <w:sz w:val="21"/>
            <w:rFonts w:ascii="Noto Sans CJK SC" w:hAnsi="Noto Sans CJK SC" w:eastAsia="Noto Sans CJK SC" w:cs="Noto Sans CJK SC"/>
          </w:rPr>
          <w:t>9. 原生数值类型与运算形态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0">
        <w:r>
          <w:rPr>
            <w:color w:val="087F8C"/>
            <w:sz w:val="21"/>
            <w:rFonts w:ascii="Noto Sans CJK SC" w:hAnsi="Noto Sans CJK SC" w:eastAsia="Noto Sans CJK SC" w:cs="Noto Sans CJK SC"/>
          </w:rPr>
          <w:t>10. MMA shape 与可见数据布局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1">
        <w:r>
          <w:rPr>
            <w:color w:val="087F8C"/>
            <w:sz w:val="21"/>
            <w:rFonts w:ascii="Noto Sans CJK SC" w:hAnsi="Noto Sans CJK SC" w:eastAsia="Noto Sans CJK SC" w:cs="Noto Sans CJK SC"/>
          </w:rPr>
          <w:t>11. Block scaling 架构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2">
        <w:r>
          <w:rPr>
            <w:color w:val="087F8C"/>
            <w:sz w:val="21"/>
            <w:rFonts w:ascii="Noto Sans CJK SC" w:hAnsi="Noto Sans CJK SC" w:eastAsia="Noto Sans CJK SC" w:cs="Noto Sans CJK SC"/>
          </w:rPr>
          <w:t>12. Structured sparsity 与其他数据变换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3">
        <w:r>
          <w:rPr>
            <w:color w:val="087F8C"/>
            <w:sz w:val="21"/>
            <w:rFonts w:ascii="Noto Sans CJK SC" w:hAnsi="Noto Sans CJK SC" w:eastAsia="Noto Sans CJK SC" w:cs="Noto Sans CJK SC"/>
          </w:rPr>
          <w:t>13. 数据移动、复用与卷积架构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4">
        <w:r>
          <w:rPr>
            <w:color w:val="087F8C"/>
            <w:sz w:val="21"/>
            <w:rFonts w:ascii="Noto Sans CJK SC" w:hAnsi="Noto Sans CJK SC" w:eastAsia="Noto Sans CJK SC" w:cs="Noto Sans CJK SC"/>
          </w:rPr>
          <w:t>14. 异步执行、完成与内存顺序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5">
        <w:r>
          <w:rPr>
            <w:color w:val="087F8C"/>
            <w:sz w:val="21"/>
            <w:rFonts w:ascii="Noto Sans CJK SC" w:hAnsi="Noto Sans CJK SC" w:eastAsia="Noto Sans CJK SC" w:cs="Noto Sans CJK SC"/>
          </w:rPr>
          <w:t>15. 架构级操作流程与示例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6">
        <w:r>
          <w:rPr>
            <w:color w:val="087F8C"/>
            <w:sz w:val="21"/>
            <w:rFonts w:ascii="Noto Sans CJK SC" w:hAnsi="Noto Sans CJK SC" w:eastAsia="Noto Sans CJK SC" w:cs="Noto Sans CJK SC"/>
          </w:rPr>
          <w:t>16. 面向本项目的架构接口契约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7">
        <w:r>
          <w:rPr>
            <w:color w:val="087F8C"/>
            <w:sz w:val="21"/>
            <w:rFonts w:ascii="Noto Sans CJK SC" w:hAnsi="Noto Sans CJK SC" w:eastAsia="Noto Sans CJK SC" w:cs="Noto Sans CJK SC"/>
          </w:rPr>
          <w:t>17. 性能架构、资源复用与 Rubin 目标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8">
        <w:r>
          <w:rPr>
            <w:color w:val="087F8C"/>
            <w:sz w:val="21"/>
            <w:rFonts w:ascii="Noto Sans CJK SC" w:hAnsi="Noto Sans CJK SC" w:eastAsia="Noto Sans CJK SC" w:cs="Noto Sans CJK SC"/>
          </w:rPr>
          <w:t>18. 架构验证与验收清单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19">
        <w:r>
          <w:rPr>
            <w:color w:val="087F8C"/>
            <w:sz w:val="21"/>
            <w:rFonts w:ascii="Noto Sans CJK SC" w:hAnsi="Noto Sans CJK SC" w:eastAsia="Noto Sans CJK SC" w:cs="Noto Sans CJK SC"/>
          </w:rPr>
          <w:t>19. 待决事项与后续微架构输入</w:t>
        </w:r>
      </w:hyperlink>
    </w:p>
    <w:p>
      <w:pPr>
        <w:spacing w:after="10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hyperlink w:anchor="tcgen05_section_20">
        <w:r>
          <w:rPr>
            <w:color w:val="087F8C"/>
            <w:sz w:val="21"/>
            <w:rFonts w:ascii="Noto Sans CJK SC" w:hAnsi="Noto Sans CJK SC" w:eastAsia="Noto Sans CJK SC" w:cs="Noto Sans CJK SC"/>
          </w:rPr>
          <w:t>20. 来源、页码与阅读路径</w:t>
        </w:r>
      </w:hyperlink>
    </w:p>
    <w:p>
      <w:pPr>
        <w:spacing w:after="160"/>
      </w:pPr>
      <w:r>
        <w:rPr>
          <w:rFonts w:ascii="Noto Sans CJK SC" w:hAnsi="Noto Sans CJK SC" w:cs="Noto Sans CJK SC" w:eastAsia="Noto Sans CJK SC"/>
          <w:b w:val="0"/>
          <w:color w:val="52687B"/>
          <w:sz w:val="21"/>
        </w:rPr>
      </w:r>
      <w:r>
        <w:br w:type="page"/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版本：v1.0；日期：2026-10-26（Asia/Shanghai）。规范基准：用户提供的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PTX ISA Release 9.4，2026-07-17</w:t>
      </w:r>
      <w:r>
        <w:rPr>
          <w:rFonts w:ascii="Noto Sans CJK SC" w:hAnsi="Noto Sans CJK SC" w:cs="Noto Sans CJK SC" w:eastAsia="Noto Sans CJK SC"/>
        </w:rPr>
        <w:t xml:space="preserve">。文档状态：架构评审基线。</w:t>
      </w:r>
    </w:p>
    <w:bookmarkStart w:id="24" w:name="X135639f02050b54be216c9a9ffb9a1c25601692"/>
    <w:p>
      <w:bookmarkStart w:id="118" w:name="tcgen05_section_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1. 文档目标与架构边界</w:t>
      </w:r>
      <w:bookmarkEnd w:id="118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本文定义 tcgen05 Tensor 的功能范围、软件可见对象、矩阵与存储组织、资源所有权、指令行为、参与者、合法配置、完成和顺序契约，以及它与项目 MALU 的关系。读者应能据此判断一个 Tensor 操作需要哪些数据、由谁发起、访问什么资源、何时允许消费结果或覆盖输入，以及哪些能力依赖特定目标。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本文停在架构层。它不决定流水级数、物理计算阵列、乘法器个数、归约网络、内部队列深度、SRAM bank、读写端口、仲裁算法、RTL 状态机或具体握手端口。PTX 公开的地址、描述符字段、数据布局和执行参与者属于架构契约，因而在本文范围内；它们不能反推物理实现。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全文使用三类证据：</w:t>
      </w:r>
      <w:r>
        <w:rPr>
          <w:rFonts w:ascii="Noto Sans CJK SC" w:hAnsi="Noto Sans CJK SC" w:cs="Noto Sans CJK SC" w:eastAsia="Noto Sans CJK SC"/>
          <w:b/>
          <w:bCs/>
        </w:rPr>
        <w:t xml:space="preserve">规范事实</w:t>
      </w:r>
      <w:r>
        <w:rPr>
          <w:rFonts w:ascii="Noto Sans CJK SC" w:hAnsi="Noto Sans CJK SC" w:cs="Noto Sans CJK SC" w:eastAsia="Noto Sans CJK SC"/>
        </w:rPr>
        <w:t xml:space="preserve">来自上传 PTX 9.4；</w:t>
      </w:r>
      <w:r>
        <w:rPr>
          <w:rFonts w:ascii="Noto Sans CJK SC" w:hAnsi="Noto Sans CJK SC" w:cs="Noto Sans CJK SC" w:eastAsia="Noto Sans CJK SC"/>
          <w:b/>
          <w:bCs/>
        </w:rPr>
        <w:t xml:space="preserve">公开观察</w:t>
      </w:r>
      <w:r>
        <w:rPr>
          <w:rFonts w:ascii="Noto Sans CJK SC" w:hAnsi="Noto Sans CJK SC" w:cs="Noto Sans CJK SC" w:eastAsia="Noto Sans CJK SC"/>
        </w:rPr>
        <w:t xml:space="preserve">来自 NVIDIA 其他文档、论文或专利，保留其目标和实验边界；</w:t>
      </w:r>
      <w:r>
        <w:rPr>
          <w:rFonts w:ascii="Noto Sans CJK SC" w:hAnsi="Noto Sans CJK SC" w:cs="Noto Sans CJK SC" w:eastAsia="Noto Sans CJK SC"/>
          <w:b/>
          <w:bCs/>
        </w:rPr>
        <w:t xml:space="preserve">项目约定</w:t>
      </w:r>
      <w:r>
        <w:rPr>
          <w:rFonts w:ascii="Noto Sans CJK SC" w:hAnsi="Noto Sans CJK SC" w:cs="Noto Sans CJK SC" w:eastAsia="Noto Sans CJK SC"/>
        </w:rPr>
        <w:t xml:space="preserve">描述本仓库的责任划分。不同证据类别不能互相代替。方括号来源编号在第 20 节解释，详细逐页核验在</w:t>
      </w:r>
      <w:r>
        <w:rPr>
          <w:rFonts w:ascii="Noto Sans CJK SC" w:hAnsi="Noto Sans CJK SC" w:cs="Noto Sans CJK SC" w:eastAsia="Noto Sans CJK SC"/>
        </w:rPr>
        <w:t xml:space="preserve"> </w:t>
      </w:r>
      <w:hyperlink r:id="rId20">
        <w:r>
          <w:rPr>
            <w:rStyle w:val="Hyperlink"/>
            <w:rFonts w:ascii="Noto Sans CJK SC" w:hAnsi="Noto Sans CJK SC" w:cs="Noto Sans CJK SC" w:eastAsia="Noto Sans CJK SC"/>
          </w:rPr>
          <w:t xml:space="preserve">PTX 架构审查记录</w:t>
        </w:r>
      </w:hyperlink>
      <w:r>
        <w:rPr>
          <w:rFonts w:ascii="Noto Sans CJK SC" w:hAnsi="Noto Sans CJK SC" w:cs="Noto Sans CJK SC" w:eastAsia="Noto Sans CJK SC"/>
        </w:rPr>
        <w:t xml:space="preserve">。</w:t>
      </w:r>
    </w:p>
    <w:bookmarkStart w:id="21" w:name="X6291a36d5ced1001cced71c63018168fbf72ce5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1.1 三个必须分开的版本维度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992"/>
        <w:gridCol w:w="3846"/>
        <w:gridCol w:w="3799"/>
      </w:tblGrid>
      <w:tr>
        <w:trPr>
          <w:tblHeader w:val="on"/>
          <w:cantSplit/>
        </w:trPr>
        <w:tc>
          <w:tcPr>
            <w:tcW w:type="dxa" w:w="199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维度</w:t>
            </w:r>
          </w:p>
        </w:tc>
        <w:tc>
          <w:tcPr>
            <w:tcW w:type="dxa" w:w="384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它回答的问题</w:t>
            </w:r>
          </w:p>
        </w:tc>
        <w:tc>
          <w:tcPr>
            <w:tcW w:type="dxa" w:w="379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本文处理方式</w:t>
            </w:r>
          </w:p>
        </w:tc>
      </w:tr>
      <w:tr>
        <w:trPr>
          <w:cantSplit/>
        </w:trPr>
        <w:tc>
          <w:tcPr>
            <w:tcW w:type="dxa" w:w="199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PTX release</w:t>
            </w:r>
          </w:p>
        </w:tc>
        <w:tc>
          <w:tcPr>
            <w:tcW w:type="dxa" w:w="384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该语法和语义在哪个规范版本出现？</w:t>
            </w:r>
          </w:p>
        </w:tc>
        <w:tc>
          <w:tcPr>
            <w:tcW w:type="dxa" w:w="379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固定为上传的 9.4，不用滚动网页替换页码</w:t>
            </w:r>
          </w:p>
        </w:tc>
      </w:tr>
      <w:tr>
        <w:trPr>
          <w:cantSplit/>
        </w:trPr>
        <w:tc>
          <w:tcPr>
            <w:tcW w:type="dxa" w:w="199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target ISA</w:t>
            </w:r>
          </w:p>
        </w:tc>
        <w:tc>
          <w:tcPr>
            <w:tcW w:type="dxa" w:w="384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某一具体功能在哪些 sm_*a / sm_*f 目标上合法？</w:t>
            </w:r>
          </w:p>
        </w:tc>
        <w:tc>
          <w:tcPr>
            <w:tcW w:type="dxa" w:w="379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按功能记录 target 条件，不只比较数字大小</w:t>
            </w:r>
          </w:p>
        </w:tc>
      </w:tr>
      <w:tr>
        <w:trPr>
          <w:cantSplit/>
        </w:trPr>
        <w:tc>
          <w:tcPr>
            <w:tcW w:type="dxa" w:w="199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GPU 产品与性能</w:t>
            </w:r>
          </w:p>
        </w:tc>
        <w:tc>
          <w:tcPr>
            <w:tcW w:type="dxa" w:w="384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哪款商品 GPU 支持哪些能力、给出何种峰值？</w:t>
            </w:r>
          </w:p>
        </w:tc>
        <w:tc>
          <w:tcPr>
            <w:tcW w:type="dxa" w:w="379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产品资料单独引用；不把未证明的 target 映射到 Rubin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tcgen05 基础家族在 PTX 8.6 引入，9.4 文档同时包含既有能力和新能力。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.red</w:t>
      </w:r>
      <w:r>
        <w:rPr>
          <w:rFonts w:ascii="Noto Sans CJK SC" w:hAnsi="Noto Sans CJK SC" w:cs="Noto Sans CJK SC" w:eastAsia="Noto Sans CJK SC"/>
        </w:rPr>
        <w:t xml:space="preserve">、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.block16/.block32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不是 9.4 首次出现。上传规范已经包含 sm_103、sm_107、sm_110 等目标相关条目，因此“tcgen05 等于一组固定的初代 Blackwell 规格”不成立。[P1 §9.7.18、版本记录]</w:t>
      </w:r>
    </w:p>
    <w:bookmarkEnd w:id="21"/>
    <w:bookmarkStart w:id="22" w:name="Xe23ca3754e8d9edfca5ce73bc2aadba06bf18b5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1.2 与项目既有成果的关系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本仓库 MALU 的功能是向量点积加 C。它可以承担 Tensor 矩阵运算的数值子任务；完整 tcgen05 Tensor 还包含 TMEM、描述符、布局、矩阵分块、稀疏元数据、操作数复用和异步完成等职责。已有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PROJECT_EXACT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RTL 不是完整 tcgen05 前端，也没有实现上述全部 Tensor 架构。其确定性精确求和与最终舍入属于项目数值约定。[J1]</w:t>
      </w:r>
    </w:p>
    <w:bookmarkEnd w:id="22"/>
    <w:bookmarkStart w:id="23" w:name="X4b44d9a4c2be98e277910b07b6a0c37cbce1eeb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1.3 功能级版本与 target 检查表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下表是重要门限，不代替每条指令的完整 Target ISA Notes。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是架构专属目标，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f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是 family 专属目标；“同 family 后续”不能改写为任意数字更大的 GPU。旧文中的 sm_101 自 PTX 9.0 重命名为 sm_110。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043"/>
        <w:gridCol w:w="1679"/>
        <w:gridCol w:w="4915"/>
      </w:tblGrid>
      <w:tr>
        <w:trPr>
          <w:tblHeader w:val="on"/>
          <w:cantSplit/>
        </w:trPr>
        <w:tc>
          <w:tcPr>
            <w:tcW w:type="dxa" w:w="304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能力</w:t>
            </w:r>
          </w:p>
        </w:tc>
        <w:tc>
          <w:tcPr>
            <w:tcW w:type="dxa" w:w="167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首次 PTX 版本</w:t>
            </w:r>
          </w:p>
        </w:tc>
        <w:tc>
          <w:tcPr>
            <w:tcW w:type="dxa" w:w="491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必须保留的 target 条件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基础 tcgen05</w:t>
            </w:r>
          </w:p>
        </w:tc>
        <w:tc>
          <w:tcPr>
            <w:tcW w:type="dxa" w:w="16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8.6</w:t>
            </w:r>
          </w:p>
        </w:tc>
        <w:tc>
          <w:tcPr>
            <w:tcW w:type="dxa" w:w="491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早期架构专属 sm_100a、sm_101a/110a；8.8 增加相应 family 目标。各 kind 有例外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mxf4nvf4 kind</w:t>
            </w:r>
          </w:p>
        </w:tc>
        <w:tc>
          <w:tcPr>
            <w:tcW w:type="dxa" w:w="16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8.7</w:t>
            </w:r>
          </w:p>
        </w:tc>
        <w:tc>
          <w:tcPr>
            <w:tcW w:type="dxa" w:w="491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普通与 sparse 指令的 target 列表分别核查，不能套用基础 family 条件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block16/block32 拼写</w:t>
            </w:r>
          </w:p>
        </w:tc>
        <w:tc>
          <w:tcPr>
            <w:tcW w:type="dxa" w:w="16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8.8</w:t>
            </w:r>
          </w:p>
        </w:tc>
        <w:tc>
          <w:tcPr>
            <w:tcW w:type="dxa" w:w="491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对应说明要求 sm_100f 或 sm_110f；仍需联合 kind/shape/scale 条件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ld.red</w:t>
            </w:r>
          </w:p>
        </w:tc>
        <w:tc>
          <w:tcPr>
            <w:tcW w:type="dxa" w:w="16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8.8</w:t>
            </w:r>
          </w:p>
        </w:tc>
        <w:tc>
          <w:tcPr>
            <w:tcW w:type="dxa" w:w="491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sm_101a/110a、相应 family，以及 sm_103f 同 family 后续；不是全部 sm_100 目标均支持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alloc/dealloc.exclusive</w:t>
            </w:r>
          </w:p>
        </w:tc>
        <w:tc>
          <w:tcPr>
            <w:tcW w:type="dxa" w:w="16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</w:t>
            </w:r>
          </w:p>
        </w:tc>
        <w:tc>
          <w:tcPr>
            <w:tcW w:type="dxa" w:w="491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sm_100f 或 sm_110f 同 family 后续；sm_107 的列数特例另见表 60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ld{.red}.spcompress</w:t>
            </w:r>
          </w:p>
        </w:tc>
        <w:tc>
          <w:tcPr>
            <w:tcW w:type="dxa" w:w="16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</w:t>
            </w:r>
          </w:p>
        </w:tc>
        <w:tc>
          <w:tcPr>
            <w:tcW w:type="dxa" w:w="491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sm_107a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kind::ti16，四种 MMA 形式</w:t>
            </w:r>
          </w:p>
        </w:tc>
        <w:tc>
          <w:tcPr>
            <w:tcW w:type="dxa" w:w="16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</w:t>
            </w:r>
          </w:p>
        </w:tc>
        <w:tc>
          <w:tcPr>
            <w:tcW w:type="dxa" w:w="491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sm_107f 或同 family 后续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UE5M3、UE4M3+BLOCK32</w:t>
            </w:r>
          </w:p>
        </w:tc>
        <w:tc>
          <w:tcPr>
            <w:tcW w:type="dxa" w:w="16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 表列能力</w:t>
            </w:r>
          </w:p>
        </w:tc>
        <w:tc>
          <w:tcPr>
            <w:tcW w:type="dxa" w:w="491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sm_107f 或同 family 后续，见表 71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普通 MMA 的 LUT B 解压缩</w:t>
            </w:r>
          </w:p>
        </w:tc>
        <w:tc>
          <w:tcPr>
            <w:tcW w:type="dxa" w:w="16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</w:t>
            </w:r>
          </w:p>
        </w:tc>
        <w:tc>
          <w:tcPr>
            <w:tcW w:type="dxa" w:w="491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指令 note 列 sm_107f，另有限定 kind、类型和布局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普通/sparse MMA 的 collector: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🅱️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:*</w:t>
            </w:r>
          </w:p>
        </w:tc>
        <w:tc>
          <w:tcPr>
            <w:tcW w:type="dxa" w:w="16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</w:t>
            </w:r>
          </w:p>
        </w:tc>
        <w:tc>
          <w:tcPr>
            <w:tcW w:type="dxa" w:w="491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指令 note 列 sm_107f；不可与 ws 的既有 b0..b3 形式混为一次新增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的 SMEM A-read restricted 完成</w:t>
            </w:r>
          </w:p>
        </w:tc>
        <w:tc>
          <w:tcPr>
            <w:tcW w:type="dxa" w:w="16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</w:t>
            </w:r>
          </w:p>
        </w:tc>
        <w:tc>
          <w:tcPr>
            <w:tcW w:type="dxa" w:w="491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sm_107f 或同 family 后续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显式 multicast::cluster::32b</w:t>
            </w:r>
          </w:p>
        </w:tc>
        <w:tc>
          <w:tcPr>
            <w:tcW w:type="dxa" w:w="16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9.4</w:t>
            </w:r>
          </w:p>
        </w:tc>
        <w:tc>
          <w:tcPr>
            <w:tcW w:type="dxa" w:w="491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sm_107f 或同 family 后续；16b 与默认形式另按说明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K96 特例</w:t>
            </w:r>
          </w:p>
        </w:tc>
        <w:tc>
          <w:tcPr>
            <w:tcW w:type="dxa" w:w="16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表 50 的扩展</w:t>
            </w:r>
          </w:p>
        </w:tc>
        <w:tc>
          <w:tcPr>
            <w:tcW w:type="dxa" w:w="491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sm_103a、sm_107a，且只用于相应 kind/shape</w:t>
            </w:r>
          </w:p>
        </w:tc>
      </w:tr>
      <w:tr>
        <w:trPr>
          <w:cantSplit/>
        </w:trPr>
        <w:tc>
          <w:tcPr>
            <w:tcW w:type="dxa" w:w="30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指定的新大 K 组合</w:t>
            </w:r>
          </w:p>
        </w:tc>
        <w:tc>
          <w:tcPr>
            <w:tcW w:type="dxa" w:w="16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表 50 的扩展</w:t>
            </w:r>
          </w:p>
        </w:tc>
        <w:tc>
          <w:tcPr>
            <w:tcW w:type="dxa" w:w="491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sm_107f 或同 family 后续，仍有 M/N/类型限制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例如 i8 的指令 Target ISA Notes 单列架构专属目标，不能因为相邻浮点形式支持 family target 就一并开启 i8。target 能力应逐项建模，而不是用一个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target&gt;=100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开关。[P1 §9.7.18.7–.12 各指令 notes]</w:t>
      </w:r>
    </w:p>
    <w:bookmarkEnd w:id="23"/>
    <w:bookmarkEnd w:id="24"/>
    <w:bookmarkStart w:id="29" w:name="X1cdd81a9802b42bd2fc31b41bbbca4342ad36ee"/>
    <w:p>
      <w:bookmarkStart w:id="119" w:name="tcgen05_section_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2. Tensor 的架构定位与功能分区</w:t>
      </w:r>
      <w:bookmarkEnd w:id="119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tcgen05 是第五代 Tensor Core 操作的指令家族。它把矩阵操作与专用 Tensor Memory（TMEM）结合，并允许矩阵计算和部分数据移动在发射线程继续执行时异步推进。核心数学关系为矩阵乘加；标量除法、开方、超越函数和通用向量算术不属于本 Tensor 操作范围。</w:t>
      </w:r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080000"/>
            <wp:effectExtent b="0" l="0" r="0" t="0"/>
            <wp:docPr descr="图 1：tcgen05 Tensor 的逻辑功能边界。框表示架构责任，不表示 NVIDIA 物理模块。" title="" id="26" name="Picture"/>
            <a:graphic>
              <a:graphicData uri="http://schemas.openxmlformats.org/drawingml/2006/picture">
                <pic:pic>
                  <pic:nvPicPr>
                    <pic:cNvPr descr="figures/01_architecture_contex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1：tcgen05 Tensor 的逻辑功能边界。框表示架构责任，不表示 NVIDIA 物理模块。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项目将 Tensor 的架构责任分为以下五项。这是功能划分，不要求一项对应一个 RTL 模块。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882"/>
        <w:gridCol w:w="3764"/>
        <w:gridCol w:w="3992"/>
      </w:tblGrid>
      <w:tr>
        <w:trPr>
          <w:tblHeader w:val="on"/>
          <w:cantSplit/>
        </w:trPr>
        <w:tc>
          <w:tcPr>
            <w:tcW w:type="dxa" w:w="188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架构责任</w:t>
            </w:r>
          </w:p>
        </w:tc>
        <w:tc>
          <w:tcPr>
            <w:tcW w:type="dxa" w:w="376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输入或上下文</w:t>
            </w:r>
          </w:p>
        </w:tc>
        <w:tc>
          <w:tcPr>
            <w:tcW w:type="dxa" w:w="399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对外保证</w:t>
            </w:r>
          </w:p>
        </w:tc>
      </w:tr>
      <w:tr>
        <w:trPr>
          <w:cantSplit/>
        </w:trPr>
        <w:tc>
          <w:tcPr>
            <w:tcW w:type="dxa" w:w="18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命令与合法性</w:t>
            </w:r>
          </w:p>
        </w:tc>
        <w:tc>
          <w:tcPr>
            <w:tcW w:type="dxa" w:w="37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指令形式、kind、描述符、CTA group、target capability</w:t>
            </w:r>
          </w:p>
        </w:tc>
        <w:tc>
          <w:tcPr>
            <w:tcW w:type="dxa" w:w="399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解释操作对象并检查联合配置，不能把独立字段当任意合法组合</w:t>
            </w:r>
          </w:p>
        </w:tc>
      </w:tr>
      <w:tr>
        <w:trPr>
          <w:cantSplit/>
        </w:trPr>
        <w:tc>
          <w:tcPr>
            <w:tcW w:type="dxa" w:w="188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资源与所有权</w:t>
            </w:r>
          </w:p>
        </w:tc>
        <w:tc>
          <w:tcPr>
            <w:tcW w:type="dxa" w:w="37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allocation、列数、CTA/peer、allocation permit</w:t>
            </w:r>
          </w:p>
        </w:tc>
        <w:tc>
          <w:tcPr>
            <w:tcW w:type="dxa" w:w="399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只在有效且有权访问的 TMEM 区域执行；满足释放和退出条件</w:t>
            </w:r>
          </w:p>
        </w:tc>
      </w:tr>
      <w:tr>
        <w:trPr>
          <w:cantSplit/>
        </w:trPr>
        <w:tc>
          <w:tcPr>
            <w:tcW w:type="dxa" w:w="18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操作数与布局</w:t>
            </w:r>
          </w:p>
        </w:tc>
        <w:tc>
          <w:tcPr>
            <w:tcW w:type="dxa" w:w="37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SMEM/TMEM/寄存器、packing、scale、metadata、mask</w:t>
            </w:r>
          </w:p>
        </w:tc>
        <w:tc>
          <w:tcPr>
            <w:tcW w:type="dxa" w:w="399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形成规范定义的矩阵元素及其逻辑坐标，不混淆地址空间</w:t>
            </w:r>
          </w:p>
        </w:tc>
      </w:tr>
      <w:tr>
        <w:trPr>
          <w:cantSplit/>
        </w:trPr>
        <w:tc>
          <w:tcPr>
            <w:tcW w:type="dxa" w:w="188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矩阵操作</w:t>
            </w:r>
          </w:p>
        </w:tc>
        <w:tc>
          <w:tcPr>
            <w:tcW w:type="dxa" w:w="376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A、B、原 D、稀疏位置和缩放</w:t>
            </w:r>
          </w:p>
        </w:tc>
        <w:tc>
          <w:tcPr>
            <w:tcW w:type="dxa" w:w="399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按指定 dense/sparse/.ws 等语义更新 D；MALU 只承担其中的 dot 数值责任</w:t>
            </w:r>
          </w:p>
        </w:tc>
      </w:tr>
      <w:tr>
        <w:trPr>
          <w:cantSplit/>
        </w:trPr>
        <w:tc>
          <w:tcPr>
            <w:tcW w:type="dxa" w:w="18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完成与顺序</w:t>
            </w:r>
          </w:p>
        </w:tc>
        <w:tc>
          <w:tcPr>
            <w:tcW w:type="dxa" w:w="376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commit、mbarrier、wait、fence、线程及 proxy 关系</w:t>
            </w:r>
          </w:p>
        </w:tc>
        <w:tc>
          <w:tcPr>
            <w:tcW w:type="dxa" w:w="399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分别表达可覆盖输入、可访问 D、可使用寄存器等条件</w:t>
            </w:r>
          </w:p>
        </w:tc>
      </w:tr>
    </w:tbl>
    <w:bookmarkStart w:id="28" w:name="Xad416a0cde92f04171e16ef56cdd4d6e98125a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2.1 与周边执行与存储设施的关系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CTA/warp 发起和参与指令执行；Tensor 操作具有自己的参与粒度，不能沿用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mma.sync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或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wgmma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的参与模型。SMEM 提供 B 以及可选 A；TMEM 保存 D、可选 A 和辅助矩阵；寄存器承载描述符和 TMEM load/store 的线程片段。Global Memory 的输入输出通过周边访存机制组织，TMA 可以承担 Global→SMEM 供数，但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TMA 不是 tcgen05 指令</w:t>
      </w:r>
      <w:r>
        <w:rPr>
          <w:rFonts w:ascii="Noto Sans CJK SC" w:hAnsi="Noto Sans CJK SC" w:cs="Noto Sans CJK SC" w:eastAsia="Noto Sans CJK SC"/>
        </w:rPr>
        <w:t xml:space="preserve">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CUDA 编程模型中的 warp 为 32 threads，同一 CTA 的线程由同一 SM 执行，cluster 内的 CTA 具有同一 GPC 内协作与同时调度的条件。这些概念规定参与和协作范围，不表示任意两 CTA 就能作为 tcgen05 peer，也不指定 Tensor 计算阵列。[N4]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TMA 的多维 tensor copy 使用 tensor map；它与 tcgen05 的 64-bit SMEM matrix descriptor 是两个不同对象。tcgen05.cp 负责 SMEM→TMEM，不能因为两者都带 Tensor 名称就写成 TMA 直接 Global→TMEM。TMA 还具有其他方向的 bulk 搬运形式，本文只画与矩阵输入有关的供数链。[N5]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SALU、VALU、SFU 可以服务地址计算、控制和结果后处理，它们不是 MALU 内部扩展出来的功能。调度器、访存单元与 Tensor 之间具体队列、端口、带宽和反压实现留到微架构设计；这里仅规定资源可见性、依赖和完成责任。[P1 §9.7.18；N1；N4；N5；J1]</w:t>
      </w:r>
    </w:p>
    <w:bookmarkEnd w:id="28"/>
    <w:bookmarkEnd w:id="29"/>
    <w:bookmarkStart w:id="32" w:name="X5c843507e0bf5cd41dcdf4f8a89c8e40e856790"/>
    <w:p>
      <w:bookmarkStart w:id="120" w:name="tcgen05_section_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3. 架构对象与矩阵数学模型</w:t>
      </w:r>
      <w:bookmarkEnd w:id="120"/>
    </w:p>
    <w:bookmarkStart w:id="30" w:name="X5ab586e1421261a4a0a98a838d553c387f364a9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3.1 基本矩阵对象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令 A 为 M×K，B 为 K×N，D 为 M×N。普通 MMA 更新可表示为：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</m:oMath>
      </m:oMathPara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enable-input-d=false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时旧 D 不参与，数学关系为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D_new=A×B</w:t>
      </w:r>
      <w:r>
        <w:rPr>
          <w:rFonts w:ascii="Noto Sans CJK SC" w:hAnsi="Noto Sans CJK SC" w:cs="Noto Sans CJK SC" w:eastAsia="Noto Sans CJK SC"/>
        </w:rPr>
        <w:t xml:space="preserve">。tcgen05 原生指令中的加数是先前的 D 对象，不是任意独立类型、独立地址的 C。本文需要按数学习惯写 C 时，</w:t>
      </w:r>
      <w:r>
        <w:rPr>
          <w:rFonts w:ascii="Noto Sans CJK SC" w:hAnsi="Noto Sans CJK SC" w:cs="Noto Sans CJK SC" w:eastAsia="Noto Sans CJK SC"/>
          <w:b/>
          <w:bCs/>
        </w:rPr>
        <w:t xml:space="preserve">C 就是本次操作的 D_old</w:t>
      </w:r>
      <w:r>
        <w:rPr>
          <w:rFonts w:ascii="Noto Sans CJK SC" w:hAnsi="Noto Sans CJK SC" w:cs="Noto Sans CJK SC" w:eastAsia="Noto Sans CJK SC"/>
        </w:rPr>
        <w:t xml:space="preserve">。这与项目 MALU 接口中独立提供 C 的传输协议不同。[P1 §9.7.18.10]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368"/>
        <w:gridCol w:w="2863"/>
        <w:gridCol w:w="4406"/>
      </w:tblGrid>
      <w:tr>
        <w:trPr>
          <w:tblHeader w:val="on"/>
          <w:cantSplit/>
        </w:trPr>
        <w:tc>
          <w:tcPr>
            <w:tcW w:type="dxa" w:w="236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对象</w:t>
            </w:r>
          </w:p>
        </w:tc>
        <w:tc>
          <w:tcPr>
            <w:tcW w:type="dxa" w:w="286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常见位置与解释</w:t>
            </w:r>
          </w:p>
        </w:tc>
        <w:tc>
          <w:tcPr>
            <w:tcW w:type="dxa" w:w="440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关键限制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</w:t>
            </w:r>
          </w:p>
        </w:tc>
        <w:tc>
          <w:tcPr>
            <w:tcW w:type="dxa" w:w="286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描述符或 TMEM 地址指定</w:t>
            </w:r>
          </w:p>
        </w:tc>
        <w:tc>
          <w:tcPr>
            <w:tcW w:type="dxa" w:w="44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类型、major-ness、packing、layout 与 kind/shape 关联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</w:t>
            </w:r>
          </w:p>
        </w:tc>
        <w:tc>
          <w:tcPr>
            <w:tcW w:type="dxa" w:w="286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描述符指定</w:t>
            </w:r>
          </w:p>
        </w:tc>
        <w:tc>
          <w:tcPr>
            <w:tcW w:type="dxa" w:w="44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可有 collector 或 LUT 解压缩语义；不等于任意 TMEM B 矩阵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D_old / D_new</w:t>
            </w:r>
          </w:p>
        </w:tc>
        <w:tc>
          <w:tcPr>
            <w:tcW w:type="dxa" w:w="286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同一目的 TMEM 矩阵对象</w:t>
            </w:r>
          </w:p>
        </w:tc>
        <w:tc>
          <w:tcPr>
            <w:tcW w:type="dxa" w:w="44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 类型由 kind/idesc 决定；不是随意选择独立 C/D 类型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scale_A</w:t>
            </w:r>
          </w:p>
        </w:tc>
        <w:tc>
          <w:tcPr>
            <w:tcW w:type="dxa" w:w="286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的 A 缩放矩阵</w:t>
            </w:r>
          </w:p>
        </w:tc>
        <w:tc>
          <w:tcPr>
            <w:tcW w:type="dxa" w:w="44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 A 每行沿 K 分组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scale_B</w:t>
            </w:r>
          </w:p>
        </w:tc>
        <w:tc>
          <w:tcPr>
            <w:tcW w:type="dxa" w:w="286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的 B 缩放矩阵</w:t>
            </w:r>
          </w:p>
        </w:tc>
        <w:tc>
          <w:tcPr>
            <w:tcW w:type="dxa" w:w="44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对 B 每列沿 K 分组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sparse metadata</w:t>
            </w:r>
          </w:p>
        </w:tc>
        <w:tc>
          <w:tcPr>
            <w:tcW w:type="dxa" w:w="286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中的位置元数据</w:t>
            </w:r>
          </w:p>
        </w:tc>
        <w:tc>
          <w:tcPr>
            <w:tcW w:type="dxa" w:w="44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解释压缩 A 的逻辑位置；依 kind 和 target 改变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LUT metadata</w:t>
            </w:r>
          </w:p>
        </w:tc>
        <w:tc>
          <w:tcPr>
            <w:tcW w:type="dxa" w:w="286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中的 B 查找表</w:t>
            </w:r>
          </w:p>
        </w:tc>
        <w:tc>
          <w:tcPr>
            <w:tcW w:type="dxa" w:w="44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只用于规定的 LUT 解压缩形式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output lane disable</w:t>
            </w:r>
          </w:p>
        </w:tc>
        <w:tc>
          <w:tcPr>
            <w:tcW w:type="dxa" w:w="286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指令的输出禁止掩码</w:t>
            </w:r>
          </w:p>
        </w:tc>
        <w:tc>
          <w:tcPr>
            <w:tcW w:type="dxa" w:w="440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控制结果 lane 更新，不是 A/B 元素 mask</w:t>
            </w:r>
          </w:p>
        </w:tc>
      </w:tr>
      <w:tr>
        <w:trPr>
          <w:cantSplit/>
        </w:trPr>
        <w:tc>
          <w:tcPr>
            <w:tcW w:type="dxa" w:w="236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zero-column mask</w:t>
            </w:r>
          </w:p>
        </w:tc>
        <w:tc>
          <w:tcPr>
            <w:tcW w:type="dxa" w:w="286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.ws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的 B 列置零描述符</w:t>
            </w:r>
          </w:p>
        </w:tc>
        <w:tc>
          <w:tcPr>
            <w:tcW w:type="dxa" w:w="440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不等同于禁止写 D</w:t>
            </w:r>
          </w:p>
        </w:tc>
      </w:tr>
    </w:tbl>
    <w:bookmarkEnd w:id="30"/>
    <w:bookmarkStart w:id="31" w:name="X4e50c20df1a6a6572c4cc9acc4dd684f930c220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3.2 必须区分的坐标系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矩阵坐标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(m,n,k)</w:t>
      </w:r>
      <w:r>
        <w:rPr>
          <w:rFonts w:ascii="Noto Sans CJK SC" w:hAnsi="Noto Sans CJK SC" w:cs="Noto Sans CJK SC" w:eastAsia="Noto Sans CJK SC"/>
        </w:rPr>
        <w:t xml:space="preserve">、TMEM 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(lane,column)</w:t>
      </w:r>
      <w:r>
        <w:rPr>
          <w:rFonts w:ascii="Noto Sans CJK SC" w:hAnsi="Noto Sans CJK SC" w:cs="Noto Sans CJK SC" w:eastAsia="Noto Sans CJK SC"/>
        </w:rPr>
        <w:t xml:space="preserve">、warp 的 thread lane、寄存器片段索引和 SMEM 字节偏移是不同坐标系。PTX 的 layout 定义它们之间的可见映射。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M=128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不能直接推导 128 个物理乘法器，TMEM lane 也不能当作 CUDA thread lane 的同义词。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MMA shape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M×N×K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描述逻辑矩阵；数据移动 shape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lane×size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描述 TMEM 访问区域。两种 shape 不能混用来估算一次指令的物理并行度。[P1 §9.7.18.1–.3]</w:t>
      </w:r>
    </w:p>
    <w:bookmarkEnd w:id="31"/>
    <w:bookmarkEnd w:id="32"/>
    <w:bookmarkStart w:id="35" w:name="Xf1817d54bb82a0bfd88f30bbf5de50048d51218"/>
    <w:p>
      <w:bookmarkStart w:id="121" w:name="tcgen05_section_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4. CTA group、指令参与者与访问权限</w:t>
      </w:r>
      <w:bookmarkEnd w:id="121"/>
    </w:p>
    <w:bookmarkStart w:id="33" w:name="Xdb154ae19bd133d28fc368460cd662d0778c250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4.1 CTA 与 CTA pair</w:t>
      </w:r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.cta_group::1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的操作作用于当前 CTA。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.cta_group::2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作用于一对 CTA 的相应资源。CTA pair 是同一 cluster 中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%cluster_ctarank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仅最低 bit 不同的两个 CTA；最低 bit 为 0/1 分别称 even/odd，互为 peer。它不是任意两个 CTA，也不是整个 cluster 的所有 CTA。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有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.cta_group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 tcgen05 操作在同一 kernel 中必须使用一致的 group 值。CTA-pair 操作发射时 peer 必须 active 且没有退出。peer 的生命周期是操作合法性的一部分，不是单纯的地址计算信息。[P1 §9.7.18.5，表 57]</w:t>
      </w:r>
    </w:p>
    <w:bookmarkEnd w:id="33"/>
    <w:bookmarkStart w:id="34" w:name="X6f1eaaeb74d5f4cc6d1b434e5adffdecc914826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4.2 发射粒度不等于数据访问粒度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749"/>
        <w:gridCol w:w="2621"/>
        <w:gridCol w:w="4267"/>
      </w:tblGrid>
      <w:tr>
        <w:trPr>
          <w:tblHeader w:val="on"/>
          <w:cantSplit/>
        </w:trPr>
        <w:tc>
          <w:tcPr>
            <w:tcW w:type="dxa" w:w="274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操作</w:t>
            </w:r>
          </w:p>
        </w:tc>
        <w:tc>
          <w:tcPr>
            <w:tcW w:type="dxa" w:w="262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CTA group 1</w:t>
            </w:r>
          </w:p>
        </w:tc>
        <w:tc>
          <w:tcPr>
            <w:tcW w:type="dxa" w:w="426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CTA group 2 / 其他说明</w:t>
            </w:r>
          </w:p>
        </w:tc>
      </w:tr>
      <w:tr>
        <w:trPr>
          <w:cantSplit/>
        </w:trPr>
        <w:tc>
          <w:tcPr>
            <w:tcW w:type="dxa" w:w="27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mma、cp、shift、commit</w:t>
            </w:r>
          </w:p>
        </w:tc>
        <w:tc>
          <w:tcPr>
            <w:tcW w:type="dxa" w:w="262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一个 thread 发射</w:t>
            </w:r>
          </w:p>
        </w:tc>
        <w:tc>
          <w:tcPr>
            <w:tcW w:type="dxa" w:w="42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CTA pair 中一个 thread 发射即可；不能无意在两侧重复发射同项工作</w:t>
            </w:r>
          </w:p>
        </w:tc>
      </w:tr>
      <w:tr>
        <w:trPr>
          <w:cantSplit/>
        </w:trPr>
        <w:tc>
          <w:tcPr>
            <w:tcW w:type="dxa" w:w="27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alloc、dealloc、relinquish_alloc_permit</w:t>
            </w:r>
          </w:p>
        </w:tc>
        <w:tc>
          <w:tcPr>
            <w:tcW w:type="dxa" w:w="262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一个 warp collective</w:t>
            </w:r>
          </w:p>
        </w:tc>
        <w:tc>
          <w:tcPr>
            <w:tcW w:type="dxa" w:w="42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两个 CTA 各一个 warp 联合参与；第一方可能等待另一方</w:t>
            </w:r>
          </w:p>
        </w:tc>
      </w:tr>
      <w:tr>
        <w:trPr>
          <w:cantSplit/>
        </w:trPr>
        <w:tc>
          <w:tcPr>
            <w:tcW w:type="dxa" w:w="27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ld、st、wait::ld/st</w:t>
            </w:r>
          </w:p>
        </w:tc>
        <w:tc>
          <w:tcPr>
            <w:tcW w:type="dxa" w:w="262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warp collective</w:t>
            </w:r>
          </w:p>
        </w:tc>
        <w:tc>
          <w:tcPr>
            <w:tcW w:type="dxa" w:w="426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不带 CTA group；访问当前 CTA 对应 TMEM 区域</w:t>
            </w:r>
          </w:p>
        </w:tc>
      </w:tr>
      <w:tr>
        <w:trPr>
          <w:cantSplit/>
        </w:trPr>
        <w:tc>
          <w:tcPr>
            <w:tcW w:type="dxa" w:w="27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fence</w:t>
            </w:r>
          </w:p>
        </w:tc>
        <w:tc>
          <w:tcPr>
            <w:tcW w:type="dxa" w:w="262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需要排序的 thread 为自己的访问执行</w:t>
            </w:r>
          </w:p>
        </w:tc>
        <w:tc>
          <w:tcPr>
            <w:tcW w:type="dxa" w:w="426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一个 thread 的 fence 不自动覆盖其他 thread 的全部访问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TMEM load/store 中，每个 warp 访问其 warpgroup 对应的 1/4 TMEM lanes，并可以访问该区域的全部 columns。四个 warp 对应 lanes 0–31、32–63、64–95、96–127。覆盖完整 TMEM lane 视图需要 warpgroup，但这不使 MMA 的发射粒度变成 warpgroup collective。</w:t>
      </w:r>
    </w:p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.sync.aligned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要求参与线程到达同一指令并满足一致控制流等约束。对于 ld/st，warp 内线程使用相同 base TMEM 地址。</w:t>
      </w:r>
      <w:r>
        <w:rPr>
          <w:rFonts w:ascii="Noto Sans CJK SC" w:hAnsi="Noto Sans CJK SC" w:cs="Noto Sans CJK SC" w:eastAsia="Noto Sans CJK SC"/>
          <w:b/>
          <w:bCs/>
        </w:rPr>
        <w:t xml:space="preserve">指令中的</w:t>
      </w:r>
      <w:r>
        <w:rPr>
          <w:rFonts w:ascii="Noto Sans CJK SC" w:hAnsi="Noto Sans CJK SC" w:cs="Noto Sans CJK SC" w:eastAsia="Noto Sans CJK SC"/>
          <w:b/>
          <w:bCs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b/>
          <w:bCs/>
          <w:sz w:val="18"/>
        </w:rPr>
        <w:t xml:space="preserve">.sync</w:t>
      </w:r>
      <w:r>
        <w:rPr>
          <w:rFonts w:ascii="Noto Sans CJK SC" w:hAnsi="Noto Sans CJK SC" w:cs="Noto Sans CJK SC" w:eastAsia="Noto Sans CJK SC"/>
          <w:b/>
          <w:bCs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不意味着异步传输已完成</w:t>
      </w:r>
      <w:r>
        <w:rPr>
          <w:rFonts w:ascii="Noto Sans CJK SC" w:hAnsi="Noto Sans CJK SC" w:cs="Noto Sans CJK SC" w:eastAsia="Noto Sans CJK SC"/>
        </w:rPr>
        <w:t xml:space="preserve">；消费 load 结果或处理覆盖风险仍须遵守其完成契约。[P1 §9.7.18.5、.8]</w:t>
      </w:r>
    </w:p>
    <w:bookmarkEnd w:id="34"/>
    <w:bookmarkEnd w:id="35"/>
    <w:bookmarkStart w:id="42" w:name="X11fbedb1f25145829f02c76252ae1d9994e6988"/>
    <w:p>
      <w:bookmarkStart w:id="122" w:name="tcgen05_section_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5. 存储架构与 TMEM 地址</w:t>
      </w:r>
      <w:bookmarkEnd w:id="122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363332"/>
            <wp:effectExtent b="0" l="0" r="0" t="0"/>
            <wp:docPr descr="图 2：SMEM、TMEM、寄存器与矩阵操作的逻辑关系。箭头不是物理端口或带宽承诺。" title="" id="37" name="Picture"/>
            <a:graphic>
              <a:graphicData uri="http://schemas.openxmlformats.org/drawingml/2006/picture">
                <pic:pic>
                  <pic:nvPicPr>
                    <pic:cNvPr descr="figures/02_memory_and_operand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36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2：SMEM、TMEM、寄存器与矩阵操作的逻辑关系。箭头不是物理端口或带宽承诺。</w:t>
      </w:r>
    </w:p>
    <w:bookmarkStart w:id="39" w:name="X79fb597b5ef7e19c854e496ad9f4556023b69d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5.1 TMEM 的可见模型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TMEM 是专门用于 Tensor 操作的片上二维存储；横向行称 lane，纵向为 column。上传规范在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sm_100a/sm_100f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的说明中给出每 CTA 128 lanes×512 columns、每 cell 32 bit 的视图。这个视图对应 256 KiB 可寻址数据，但不证明每个 CTA 有物理独立复制的 256 KiB SRAM 宏，也不能泛化到全部后续 target。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TMEM 地址为 32 bit：bits 31:16 指定 lane index，bits 15:0 指定 column index。它不是一般字节指针。分配单位、矩阵类型、数据布局和操作 shape 一起决定某地址的合法含义。能编码进字段不等于拥有该位置的 allocation 或访问权。[P1 §9.7.18.1，PDF699–700/印687–688]</w:t>
      </w:r>
    </w:p>
    <w:bookmarkEnd w:id="39"/>
    <w:bookmarkStart w:id="40" w:name="X171bdda4f86e23a585cc77f61f06122a4a5528b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5.2 三类地址表示不得混用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439"/>
        <w:gridCol w:w="3629"/>
        <w:gridCol w:w="3570"/>
      </w:tblGrid>
      <w:tr>
        <w:trPr>
          <w:tblHeader w:val="on"/>
          <w:cantSplit/>
        </w:trPr>
        <w:tc>
          <w:tcPr>
            <w:tcW w:type="dxa" w:w="243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表示</w:t>
            </w:r>
          </w:p>
        </w:tc>
        <w:tc>
          <w:tcPr>
            <w:tcW w:type="dxa" w:w="362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架构用途</w:t>
            </w:r>
          </w:p>
        </w:tc>
        <w:tc>
          <w:tcPr>
            <w:tcW w:type="dxa" w:w="357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禁止的混淆</w:t>
            </w:r>
          </w:p>
        </w:tc>
      </w:tr>
      <w:tr>
        <w:trPr>
          <w:cantSplit/>
        </w:trPr>
        <w:tc>
          <w:tcPr>
            <w:tcW w:type="dxa" w:w="243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address</w:t>
            </w:r>
          </w:p>
        </w:tc>
        <w:tc>
          <w:tcPr>
            <w:tcW w:type="dxa" w:w="36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lane/column 和矩阵片段基址</w:t>
            </w:r>
          </w:p>
        </w:tc>
        <w:tc>
          <w:tcPr>
            <w:tcW w:type="dxa" w:w="357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不按普通 SMEM byte pointer 使用</w:t>
            </w:r>
          </w:p>
        </w:tc>
      </w:tr>
      <w:tr>
        <w:trPr>
          <w:cantSplit/>
        </w:trPr>
        <w:tc>
          <w:tcPr>
            <w:tcW w:type="dxa" w:w="243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matrix descriptor</w:t>
            </w:r>
          </w:p>
        </w:tc>
        <w:tc>
          <w:tcPr>
            <w:tcW w:type="dxa" w:w="362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用于矩阵寻址和布局的 64-bit 编码对象</w:t>
            </w:r>
          </w:p>
        </w:tc>
        <w:tc>
          <w:tcPr>
            <w:tcW w:type="dxa" w:w="357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不仅仅是一个 SMEM 首地址</w:t>
            </w:r>
          </w:p>
        </w:tc>
      </w:tr>
      <w:tr>
        <w:trPr>
          <w:cantSplit/>
        </w:trPr>
        <w:tc>
          <w:tcPr>
            <w:tcW w:type="dxa" w:w="243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 的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[dst]</w:t>
            </w:r>
          </w:p>
        </w:tc>
        <w:tc>
          <w:tcPr>
            <w:tcW w:type="dxa" w:w="36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存放分配结果地址的 SMEM 位置</w:t>
            </w:r>
          </w:p>
        </w:tc>
        <w:tc>
          <w:tcPr>
            <w:tcW w:type="dxa" w:w="357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它不是分配得到的 TMEM 数据区域</w:t>
            </w:r>
          </w:p>
        </w:tc>
      </w:tr>
    </w:tbl>
    <w:bookmarkEnd w:id="40"/>
    <w:bookmarkStart w:id="41" w:name="X0a9becf99fd5f62dcb25d1ddac4831d1d19220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5.3 TMEM 中的元素 packing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D 的 subword 元素不会自动紧密塞满一个 32-bit TMEM word；例如 F16 D 使用相应 word 的低 16 bit。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ld.pack::16b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可以在读取时重组两个 16-bit 片段，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st.unpack::16b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执行相反过程。这种传输转换与 D 的默认存储布局是两件事。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FP4/FP6 输入的 packing 依 kind、K、SMEM/TMEM 位置而异。某些路径使用 padding 或 8-bit container，另一些使用紧密打包。不能把一种输入传输布局推广到所有低位格式，也不能把 padding 位理解为新增有效数精度。[P1 §9.7.18.10.4]</w:t>
      </w:r>
    </w:p>
    <w:bookmarkEnd w:id="41"/>
    <w:bookmarkEnd w:id="42"/>
    <w:bookmarkStart w:id="49" w:name="Xf3e4f0020409676ea18ef67ed55a652fa5140ca"/>
    <w:p>
      <w:bookmarkStart w:id="123" w:name="tcgen05_section_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6. TMEM 资源与所有权生命周期</w:t>
      </w:r>
      <w:bookmarkEnd w:id="123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3626665"/>
            <wp:effectExtent b="0" l="0" r="0" t="0"/>
            <wp:docPr descr="图 3：TMEM 生命周期与 allocation permit 的区别。该图不是硬件状态机。" title="" id="44" name="Picture"/>
            <a:graphic>
              <a:graphicData uri="http://schemas.openxmlformats.org/drawingml/2006/picture">
                <pic:pic>
                  <pic:nvPicPr>
                    <pic:cNvPr descr="figures/03_resource_lifecycl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626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3：TMEM 生命周期与 allocation permit 的区别。该图不是硬件状态机。</w:t>
      </w:r>
    </w:p>
    <w:bookmarkStart w:id="46" w:name="X8c531c9d20f729f1a5ccef34783358f623e73dc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6.1 分配模式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非 exclusive 分配按 32 列单位，列数为 32、64、128、256、512。列数须为 2 的幂，同一 CTA 执行顺序中的连续申请不得递增。分配一列涉及对应的完整 lane 维度；不能把 nCols 当 byte count。[P1 §9.7.18.7.1]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9.4 新增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.exclusive</w:t>
      </w:r>
      <w:r>
        <w:rPr>
          <w:rFonts w:ascii="Noto Sans CJK SC" w:hAnsi="Noto Sans CJK SC" w:cs="Noto Sans CJK SC" w:eastAsia="Noto Sans CJK SC"/>
        </w:rPr>
        <w:t xml:space="preserve">：列数可为 32 的整数倍，不必为 2 的幂。表 60 为 sm_100/sm_103/sm_110 列出至多 512 列，为 sm_107 列出至多 576 列。具体 target 支持还必须同时满足该指令的 Target ISA Notes；容量表不能单独替代 feature 检查。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exclusive allocation 等待没有其他 live allocation，并在存活期间排斥其他 allocation。所有权由相关 CTA 或 CTA pair 持有。释放时必须匹配同一列数及 exclusive 属性。这是规范描述的资源管理范围，不能自行扩大成全 GPU 或跨 kernel 的全局锁。</w:t>
      </w:r>
    </w:p>
    <w:bookmarkEnd w:id="46"/>
    <w:bookmarkStart w:id="47" w:name="X53737ca84ec18edf9a9203f1fd9e4b65113392f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6.2 分配、使用、释放和退出的责任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065"/>
        <w:gridCol w:w="3838"/>
        <w:gridCol w:w="3735"/>
      </w:tblGrid>
      <w:tr>
        <w:trPr>
          <w:tblHeader w:val="on"/>
          <w:cantSplit/>
        </w:trPr>
        <w:tc>
          <w:tcPr>
            <w:tcW w:type="dxa" w:w="206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W w:type="dxa" w:w="383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必须满足的条件</w:t>
            </w:r>
          </w:p>
        </w:tc>
        <w:tc>
          <w:tcPr>
            <w:tcW w:type="dxa" w:w="373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可观察结果</w:t>
            </w:r>
          </w:p>
        </w:tc>
      </w:tr>
      <w:tr>
        <w:trPr>
          <w:cantSplit/>
        </w:trPr>
        <w:tc>
          <w:tcPr>
            <w:tcW w:type="dxa" w:w="20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</w:t>
            </w:r>
          </w:p>
        </w:tc>
        <w:tc>
          <w:tcPr>
            <w:tcW w:type="dxa" w:w="38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参与 warp 满足 collective/aligned、group 与 nCols 条件</w:t>
            </w:r>
          </w:p>
        </w:tc>
        <w:tc>
          <w:tcPr>
            <w:tcW w:type="dxa" w:w="37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等资源可用并把 TMEM 地址写入指定 SMEM 位置</w:t>
            </w:r>
          </w:p>
        </w:tc>
      </w:tr>
      <w:tr>
        <w:trPr>
          <w:cantSplit/>
        </w:trPr>
        <w:tc>
          <w:tcPr>
            <w:tcW w:type="dxa" w:w="20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发布分配结果</w:t>
            </w:r>
          </w:p>
        </w:tc>
        <w:tc>
          <w:tcPr>
            <w:tcW w:type="dxa" w:w="38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给其他使用者建立正确可见性和线程顺序</w:t>
            </w:r>
          </w:p>
        </w:tc>
        <w:tc>
          <w:tcPr>
            <w:tcW w:type="dxa" w:w="37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使用者取得有效 TMEM 地址与所有权上下文</w:t>
            </w:r>
          </w:p>
        </w:tc>
      </w:tr>
      <w:tr>
        <w:trPr>
          <w:cantSplit/>
        </w:trPr>
        <w:tc>
          <w:tcPr>
            <w:tcW w:type="dxa" w:w="20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使用 allocation</w:t>
            </w:r>
          </w:p>
        </w:tc>
        <w:tc>
          <w:tcPr>
            <w:tcW w:type="dxa" w:w="38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所有访问在合法范围内，异步依赖得到处理</w:t>
            </w:r>
          </w:p>
        </w:tc>
        <w:tc>
          <w:tcPr>
            <w:tcW w:type="dxa" w:w="37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指令可操作该资源；地址本身不表达完成</w:t>
            </w:r>
          </w:p>
        </w:tc>
      </w:tr>
      <w:tr>
        <w:trPr>
          <w:cantSplit/>
        </w:trPr>
        <w:tc>
          <w:tcPr>
            <w:tcW w:type="dxa" w:w="20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释放前</w:t>
            </w:r>
          </w:p>
        </w:tc>
        <w:tc>
          <w:tcPr>
            <w:tcW w:type="dxa" w:w="38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本 CTA 与 peer 均无并发 TMEM 访问</w:t>
            </w:r>
          </w:p>
        </w:tc>
        <w:tc>
          <w:tcPr>
            <w:tcW w:type="dxa" w:w="37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可以执行匹配的 dealloc</w:t>
            </w:r>
          </w:p>
        </w:tc>
      </w:tr>
      <w:tr>
        <w:trPr>
          <w:cantSplit/>
        </w:trPr>
        <w:tc>
          <w:tcPr>
            <w:tcW w:type="dxa" w:w="20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dealloc</w:t>
            </w:r>
          </w:p>
        </w:tc>
        <w:tc>
          <w:tcPr>
            <w:tcW w:type="dxa" w:w="38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group、列数和 exclusive 与原分配匹配</w:t>
            </w:r>
          </w:p>
        </w:tc>
        <w:tc>
          <w:tcPr>
            <w:tcW w:type="dxa" w:w="373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allocation 结束，旧地址不可继续使用</w:t>
            </w:r>
          </w:p>
        </w:tc>
      </w:tr>
      <w:tr>
        <w:trPr>
          <w:cantSplit/>
        </w:trPr>
        <w:tc>
          <w:tcPr>
            <w:tcW w:type="dxa" w:w="20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kernel 退出</w:t>
            </w:r>
          </w:p>
        </w:tc>
        <w:tc>
          <w:tcPr>
            <w:tcW w:type="dxa" w:w="38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本 kernel 的所有 allocation 已显式释放</w:t>
            </w:r>
          </w:p>
        </w:tc>
        <w:tc>
          <w:tcPr>
            <w:tcW w:type="dxa" w:w="373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不依赖隐式回收来满足规范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alloc 会在资源不足时阻塞；dealloc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可能阻塞</w:t>
      </w:r>
      <w:r>
        <w:rPr>
          <w:rFonts w:ascii="Noto Sans CJK SC" w:hAnsi="Noto Sans CJK SC" w:cs="Noto Sans CJK SC" w:eastAsia="Noto Sans CJK SC"/>
        </w:rPr>
        <w:t xml:space="preserve">。程序既不能假定 dealloc 总是立即返回，也不能依赖它必然等待 peer 的最后一次访问。释放前的双边同步必须由程序建立。完成合法 dealloc 后，warp 可以退出，不需要为释放本身再添加退出同步；这不免除释放前排除并发访问的责任。[P1 表 58–59、§9.7.18.7.1]</w:t>
      </w:r>
    </w:p>
    <w:bookmarkEnd w:id="47"/>
    <w:bookmarkStart w:id="48" w:name="Xbfc74522929c708d5bce1215ada39dc2b680243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6.3 allocation permit</w:t>
      </w:r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relinquish_alloc_permit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放弃 CTA 后续分配权；该 CTA 之后再 alloc 属于非法行为。它不释放已有 allocation，不等同于 dealloc，也不意味着在途操作完成。permit 和 allocation 必须作为两个架构对象管理。alloc 写入 SMEM 的地址也不因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.sync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就自动向所有其他 warp 完成发布。</w:t>
      </w:r>
    </w:p>
    <w:bookmarkEnd w:id="48"/>
    <w:bookmarkEnd w:id="49"/>
    <w:bookmarkStart w:id="50" w:name="X0dda9aba4eeed931444802be6079fc5298fc036"/>
    <w:p>
      <w:bookmarkStart w:id="124" w:name="tcgen05_section_7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7. 指令家族完整功能视图</w:t>
      </w:r>
      <w:bookmarkEnd w:id="124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下表按外部效果列出指令；不把它们分解成内部微操作。细分语法、修饰符和 target 条件见后续章节。[P1 §9.7.18.7–.12]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265"/>
        <w:gridCol w:w="3820"/>
        <w:gridCol w:w="3553"/>
      </w:tblGrid>
      <w:tr>
        <w:trPr>
          <w:tblHeader w:val="on"/>
          <w:cantSplit/>
        </w:trPr>
        <w:tc>
          <w:tcPr>
            <w:tcW w:type="dxa" w:w="226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指令或形式</w:t>
            </w:r>
          </w:p>
        </w:tc>
        <w:tc>
          <w:tcPr>
            <w:tcW w:type="dxa" w:w="382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架构效果</w:t>
            </w:r>
          </w:p>
        </w:tc>
        <w:tc>
          <w:tcPr>
            <w:tcW w:type="dxa" w:w="355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完成机制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 / dealloc / relinquish_alloc_permit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管理 TMEM 和分配许可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各自资源与参与契约；不能拿来等待 MMA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TMEM→warp 分布寄存器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wait::ld；寄存器依赖规则另见 §13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ld.red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读取并沿 columns 做每 lane 的 min/max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wait::ld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ld.spcompress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F32 2:4 稀疏压缩读取，产生数据和 metadata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wait::ld；9.4、sm_107a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ld.red.spcompress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同时返回压缩结果及规定的归约结果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wait::ld；组合修饰符限制独立校验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st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warp 分布寄存器→TMEM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wait::st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cp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SMEM→TMEM，支持规定的展开和 multicast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+ mbarrier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shift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在指定 TMEM 区域移动数据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+ mbarrier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dense A 的矩阵乘加，含规定的 scale、collector、LUT 形式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+ mbarrier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mma.sp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structured sparse A 的矩阵乘加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+ mbarrier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mma.ws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weight-stationary 卷积矩阵乘加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+ mbarrier；仅 CTA group 1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mma.ws.sp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weight-stationary 与 structured sparse A 的组合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fence::before_thread_sync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把之前 tcgen05 访问与后续顺序操作衔接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排序，不是完成等待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fence::after_thread_sync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把后续 tcgen05 访问与此前顺序操作衔接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排序，不是线程 barrier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</w:t>
            </w:r>
          </w:p>
        </w:tc>
        <w:tc>
          <w:tcPr>
            <w:tcW w:type="dxa" w:w="38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登记本发射线程先前 mma/cp/shift 的完成追踪</w:t>
            </w:r>
          </w:p>
        </w:tc>
        <w:tc>
          <w:tcPr>
            <w:tcW w:type="dxa" w:w="35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使用 mbarrier 等待；commit 发射不是结果完成</w:t>
            </w:r>
          </w:p>
        </w:tc>
      </w:tr>
      <w:tr>
        <w:trPr>
          <w:cantSplit/>
        </w:trPr>
        <w:tc>
          <w:tcPr>
            <w:tcW w:type="dxa" w:w="22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的 sync_restrict 形式</w:t>
            </w:r>
          </w:p>
        </w:tc>
        <w:tc>
          <w:tcPr>
            <w:tcW w:type="dxa" w:w="38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只追踪相关 MMA 对 SMEM A 的读取完成</w:t>
            </w:r>
          </w:p>
        </w:tc>
        <w:tc>
          <w:tcPr>
            <w:tcW w:type="dxa" w:w="35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不代表 D 完成，不能替代普通完成事件</w:t>
            </w:r>
          </w:p>
        </w:tc>
      </w:tr>
    </w:tbl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.ld.red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在 8.8 已存在；9.4 新增的是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.ld{.red}.spcompress</w:t>
      </w:r>
      <w:r>
        <w:rPr>
          <w:rFonts w:ascii="Noto Sans CJK SC" w:hAnsi="Noto Sans CJK SC" w:cs="Noto Sans CJK SC" w:eastAsia="Noto Sans CJK SC"/>
        </w:rPr>
        <w:t xml:space="preserve">。cp 的低位展开、MMA 的 LUT 解压缩和 ld 的稀疏压缩是三种不同转换，不应合并为一个泛化的“压缩模式”。</w:t>
      </w:r>
    </w:p>
    <w:bookmarkEnd w:id="50"/>
    <w:bookmarkStart w:id="54" w:name="X109bbd4b4cd0595277225fc6e647d0cf36cebbe"/>
    <w:p>
      <w:bookmarkStart w:id="125" w:name="tcgen05_section_8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8. 描述符与配置架构</w:t>
      </w:r>
      <w:bookmarkEnd w:id="125"/>
    </w:p>
    <w:bookmarkStart w:id="51" w:name="X9e7d645b4e84a22c6cdf61bb1a69795d598719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8.1 三类描述符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978"/>
        <w:gridCol w:w="2220"/>
        <w:gridCol w:w="4440"/>
      </w:tblGrid>
      <w:tr>
        <w:trPr>
          <w:tblHeader w:val="on"/>
          <w:cantSplit/>
        </w:trPr>
        <w:tc>
          <w:tcPr>
            <w:tcW w:type="dxa" w:w="297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描述符</w:t>
            </w:r>
          </w:p>
        </w:tc>
        <w:tc>
          <w:tcPr>
            <w:tcW w:type="dxa" w:w="222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架构载体</w:t>
            </w:r>
          </w:p>
        </w:tc>
        <w:tc>
          <w:tcPr>
            <w:tcW w:type="dxa" w:w="444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表达的内容</w:t>
            </w:r>
          </w:p>
        </w:tc>
      </w:tr>
      <w:tr>
        <w:trPr>
          <w:cantSplit/>
        </w:trPr>
        <w:tc>
          <w:tcPr>
            <w:tcW w:type="dxa" w:w="29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SMEM matrix descriptor</w:t>
            </w:r>
          </w:p>
        </w:tc>
        <w:tc>
          <w:tcPr>
            <w:tcW w:type="dxa" w:w="22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64-bit register</w:t>
            </w:r>
          </w:p>
        </w:tc>
        <w:tc>
          <w:tcPr>
            <w:tcW w:type="dxa" w:w="444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matrix start、leading/stride dimension、base offset、swizzle、适用的 absolute 模式及 LUT 分段</w:t>
            </w:r>
          </w:p>
        </w:tc>
      </w:tr>
      <w:tr>
        <w:trPr>
          <w:cantSplit/>
        </w:trPr>
        <w:tc>
          <w:tcPr>
            <w:tcW w:type="dxa" w:w="297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instruction descriptor（idesc）</w:t>
            </w:r>
          </w:p>
        </w:tc>
        <w:tc>
          <w:tcPr>
            <w:tcW w:type="dxa" w:w="22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32-bit register</w:t>
            </w:r>
          </w:p>
        </w:tc>
        <w:tc>
          <w:tcPr>
            <w:tcW w:type="dxa" w:w="444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M/N/K、A/B/D 类型、sparsity、transpose/negate、scale 类型及相关 layout/ID</w:t>
            </w:r>
          </w:p>
        </w:tc>
      </w:tr>
      <w:tr>
        <w:trPr>
          <w:cantSplit/>
        </w:trPr>
        <w:tc>
          <w:tcPr>
            <w:tcW w:type="dxa" w:w="297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zero-column mask descriptor</w:t>
            </w:r>
          </w:p>
        </w:tc>
        <w:tc>
          <w:tcPr>
            <w:tcW w:type="dxa" w:w="22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64-bit register</w:t>
            </w:r>
          </w:p>
        </w:tc>
        <w:tc>
          <w:tcPr>
            <w:tcW w:type="dxa" w:w="444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Style w:val="VerbatimChar"/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.ws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 的列置零控制；按 M 组织为规定的子 mask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这些是架构编码宽度，不是拟定 RTL 端口。idesc 的具体字段解释随 kind 改变；同一个 bit 位置不能脱离 kind 解码。本文强调字段语义和联合限制，逐 bit 的生成应以表 51、53–56 为准。[P1 §9.7.18.4，PDF720–730/印708–718]</w:t>
      </w:r>
    </w:p>
    <w:bookmarkEnd w:id="51"/>
    <w:bookmarkStart w:id="52" w:name="X8d49b7dc55ed00768d1fe6966c97be93974ae1a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8.2 SMEM 描述符与布局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SMEM matrix start、leading byte offset 和 stride byte offset 必须 16-byte 对齐；相关编码为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(x &amp; 0x3ffff) &gt;&gt; 4</w:t>
      </w:r>
      <w:r>
        <w:rPr>
          <w:rFonts w:ascii="Noto Sans CJK SC" w:hAnsi="Noto Sans CJK SC" w:cs="Noto Sans CJK SC" w:eastAsia="Noto Sans CJK SC"/>
        </w:rPr>
        <w:t xml:space="preserve">。leading stride 可以表示相对偏移，部分目标还提供 absolute 模式。base offset 与 swizzle 的重复边界配合，不能对所有布局一律写 0。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4658"/>
        <w:gridCol w:w="4980"/>
      </w:tblGrid>
      <w:tr>
        <w:trPr>
          <w:tblHeader w:val="on"/>
          <w:cantSplit/>
        </w:trPr>
        <w:tc>
          <w:tcPr>
            <w:tcW w:type="dxa" w:w="465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swizzle 编码</w:t>
            </w:r>
          </w:p>
        </w:tc>
        <w:tc>
          <w:tcPr>
            <w:tcW w:type="dxa" w:w="498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意义</w:t>
            </w:r>
          </w:p>
        </w:tc>
      </w:tr>
      <w:tr>
        <w:trPr>
          <w:cantSplit/>
        </w:trPr>
        <w:tc>
          <w:tcPr>
            <w:tcW w:type="dxa" w:w="46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  <w:tc>
          <w:tcPr>
            <w:tcW w:type="dxa" w:w="49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no swizzle</w:t>
            </w:r>
          </w:p>
        </w:tc>
      </w:tr>
      <w:tr>
        <w:trPr>
          <w:cantSplit/>
        </w:trPr>
        <w:tc>
          <w:tcPr>
            <w:tcW w:type="dxa" w:w="46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49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128-byte、32-byte atomicity</w:t>
            </w:r>
          </w:p>
        </w:tc>
      </w:tr>
      <w:tr>
        <w:trPr>
          <w:cantSplit/>
        </w:trPr>
        <w:tc>
          <w:tcPr>
            <w:tcW w:type="dxa" w:w="46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49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128-byte</w:t>
            </w:r>
          </w:p>
        </w:tc>
      </w:tr>
      <w:tr>
        <w:trPr>
          <w:cantSplit/>
        </w:trPr>
        <w:tc>
          <w:tcPr>
            <w:tcW w:type="dxa" w:w="46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</w:t>
            </w:r>
          </w:p>
        </w:tc>
        <w:tc>
          <w:tcPr>
            <w:tcW w:type="dxa" w:w="49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64-byte</w:t>
            </w:r>
          </w:p>
        </w:tc>
      </w:tr>
      <w:tr>
        <w:trPr>
          <w:cantSplit/>
        </w:trPr>
        <w:tc>
          <w:tcPr>
            <w:tcW w:type="dxa" w:w="46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</w:t>
            </w:r>
          </w:p>
        </w:tc>
        <w:tc>
          <w:tcPr>
            <w:tcW w:type="dxa" w:w="49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32-byte</w:t>
            </w:r>
          </w:p>
        </w:tc>
      </w:tr>
      <w:tr>
        <w:trPr>
          <w:cantSplit/>
        </w:trPr>
        <w:tc>
          <w:tcPr>
            <w:tcW w:type="dxa" w:w="46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3、5、7</w:t>
            </w:r>
          </w:p>
        </w:tc>
        <w:tc>
          <w:tcPr>
            <w:tcW w:type="dxa" w:w="49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非法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absolute 模式存在 K 数据为 48-byte 时的分块规则，且限制为相应 128B/16B atomicity、K-major、base offset=0 和不可 transpose；相关 target note 指向 sm_103a。它不是通用的任意地址模式。描述符保留位和固定值同样属于合法性检查，不能仅检查地址落在 SMEM 内。</w:t>
      </w:r>
    </w:p>
    <w:bookmarkEnd w:id="52"/>
    <w:bookmarkStart w:id="53" w:name="X9f83eaffc5e5d1580f322fe6834a0cf53189485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8.3 独立配置维度与联合合法性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A/B 元素格式、scale 格式、block size、矩阵 shape、CTA group、稀疏形式、布局和 target capability 是不同语义维度。外部架构可以把它们分别表示，但必须建立合法 tuple 校验。PTX 原生 scale kind 的 A/B 使用同一个 Scale Matrix Type 字段；项目接口把两个 scale 字段分开，不会自动使“不同 A/B scale 类型”变成合法原生指令。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至少需要联合验证：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instruction form × kind × A type × B type × D type × M/N/K × CTA group × sparse version × scale type × block × layout × transpose/negate × target</w:t>
      </w:r>
      <w:r>
        <w:rPr>
          <w:rFonts w:ascii="Noto Sans CJK SC" w:hAnsi="Noto Sans CJK SC" w:cs="Noto Sans CJK SC" w:eastAsia="Noto Sans CJK SC"/>
        </w:rPr>
        <w:t xml:space="preserve">。不同表的一个合法行不能随意与另一表的合法行拼接。</w:t>
      </w:r>
    </w:p>
    <w:bookmarkEnd w:id="53"/>
    <w:bookmarkEnd w:id="54"/>
    <w:bookmarkStart w:id="59" w:name="X03f03c452ce8a9f05bc0e44cae809cb0b632a8b"/>
    <w:p>
      <w:bookmarkStart w:id="126" w:name="tcgen05_section_9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9. 原生数值类型与运算形态</w:t>
      </w:r>
      <w:bookmarkEnd w:id="126"/>
    </w:p>
    <w:bookmarkStart w:id="55" w:name="Xfa282a8e277430c16023c111fb9e2b4e6220150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9.1 tcgen05 的类型集合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409"/>
        <w:gridCol w:w="2409"/>
        <w:gridCol w:w="2409"/>
        <w:gridCol w:w="2409"/>
      </w:tblGrid>
      <w:tr>
        <w:trPr>
          <w:tblHeader w:val="on"/>
          <w:cantSplit/>
        </w:trPr>
        <w:tc>
          <w:tcPr>
            <w:tcW w:type="dxa" w:w="24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kind</w:t>
            </w:r>
          </w:p>
        </w:tc>
        <w:tc>
          <w:tcPr>
            <w:tcW w:type="dxa" w:w="24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A/B 数据格式</w:t>
            </w:r>
          </w:p>
        </w:tc>
        <w:tc>
          <w:tcPr>
            <w:tcW w:type="dxa" w:w="24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D 格式</w:t>
            </w:r>
          </w:p>
        </w:tc>
        <w:tc>
          <w:tcPr>
            <w:tcW w:type="dxa" w:w="24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scale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 或 F32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BF16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F32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F32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f8f6f4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E4M3、E5M2、E2M3、E3M2、E2M1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 或 F32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mxf8f6f4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上述低位浮点类型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F32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UE8M0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i8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S8、U8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S32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E2M1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F32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UE8M0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mxf4nvf4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E2M1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F32</w:t>
            </w:r>
          </w:p>
        </w:tc>
        <w:tc>
          <w:tcPr>
            <w:tcW w:type="dxa" w:w="24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UE8M0、UE4M3、UE5M3</w:t>
            </w:r>
          </w:p>
        </w:tc>
      </w:tr>
      <w:tr>
        <w:trPr>
          <w:cantSplit/>
        </w:trPr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S1Z4M11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S32</w:t>
            </w:r>
          </w:p>
        </w:tc>
        <w:tc>
          <w:tcPr>
            <w:tcW w:type="dxa" w:w="24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表中集合仍受 A/B 配对、K、transpose、指令形式和 target 限制。kind 名称不是任意混合精度的许可。</w:t>
      </w:r>
      <w:r>
        <w:rPr>
          <w:rFonts w:ascii="Noto Sans CJK SC" w:hAnsi="Noto Sans CJK SC" w:cs="Noto Sans CJK SC" w:eastAsia="Noto Sans CJK SC"/>
          <w:b/>
          <w:bCs/>
        </w:rPr>
        <w:t xml:space="preserve">原生 tcgen05 表 50 没有 FP64、INT4、B1 或完整 F32 A/B 乘数行</w:t>
      </w:r>
      <w:r>
        <w:rPr>
          <w:rFonts w:ascii="Noto Sans CJK SC" w:hAnsi="Noto Sans CJK SC" w:cs="Noto Sans CJK SC" w:eastAsia="Noto Sans CJK SC"/>
        </w:rPr>
        <w:t xml:space="preserve">；旧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mma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家族支持的类型不能直接并入该表。本项目 MALU 的更广类型范围应标为项目功能。[P1 表 50、53–55；J1]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低位格式名称描述指数与尾数：E4M3/E5M2 为 8-bit，E2M3/E3M2 为 6-bit，E2M1 为 4-bit，均包含符号位。E4M3 不表示 Inf，NaN 编码限于 0x7f/0xff；FP6 两类与 E2M1 不表示 Inf/NaN。编码精度与存储容器必须分开，例如 §5.2.3 为某些 FP6 寄存器形式规定每 byte 高两位 padding，而 Tensor 的具体 packing 还要遵守第 5、10、13 节的规则。</w:t>
      </w:r>
    </w:p>
    <w:bookmarkEnd w:id="55"/>
    <w:bookmarkStart w:id="56" w:name="X6c2d0aa4c367fe1a9f5502847c0545a35c50f3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9.2 Ti16 与 TF32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Ti16 正式类型名为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.s1z4m11</w:t>
      </w:r>
      <w:r>
        <w:rPr>
          <w:rFonts w:ascii="Noto Sans CJK SC" w:hAnsi="Noto Sans CJK SC" w:cs="Noto Sans CJK SC" w:eastAsia="Noto Sans CJK SC"/>
        </w:rPr>
        <w:t xml:space="preserve">，16-bit signed integer，数学范围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[-2047,2047]</w:t>
      </w:r>
      <w:r>
        <w:rPr>
          <w:rFonts w:ascii="Noto Sans CJK SC" w:hAnsi="Noto Sans CJK SC" w:cs="Noto Sans CJK SC" w:eastAsia="Noto Sans CJK SC"/>
        </w:rPr>
        <w:t xml:space="preserve">，D 为 S32。它不是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.e1z4m11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浮点格式，也不能无依据按普通 S16 或 sign-magnitude 解码。现有原件没有给出足够明确的完整 raw 负数/零编码方程。因此，本架构记录其确定的类型、范围和指令能力，把 raw bit 解码保留为待决项。项目 RTL 的 decoded-Ti16 传输是显式扩展，不能冒充原生编码支持。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PTX 对 TF32 internal layout 明确留给实现决定。F32 容器低 13 bit 清零是本项目当前输入协议，不是 PTX 对所有实现的唯一物理布局。[P1 §5.2.3、§9.7.18.4.2；J1]</w:t>
      </w:r>
    </w:p>
    <w:bookmarkEnd w:id="56"/>
    <w:bookmarkStart w:id="57" w:name="Xf27606b9e233c6db431139126db8a8717ad13a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9.3 数值语义与精度边界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矩阵数学关系不等于逐项标量 IEEE FMA 序列。若规范未给出完整内部累加顺序、舍入路径或全部特殊值逐 bit 行为，架构文档不能补造一套“官方内部精度”。旧 mma 家族的精度文字、某款 GPU 的实验归约位宽，以及本项目的 exact profile 是不同层次的依据。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整数 signedness、允许的 saturation 控制、浮点 negate 和特殊值行为必须随所选形式解释。不能用一个项目级 rounding 枚举推断所有 tcgen05 指令都暴露同样舍入模式。将来做目标设备 bit-match 时，应单独固定 GPU、target、PTX 入口、编译版本和实测 profile。[P1 §9.7.18.10；L1]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把长 K 分解成多条 MMA 并用 D_old 串接，在实数数学上仍是分块求和，但不保证与另一种分块方式逐 bit 相同。指令边界、D 格式和目标数值行为都可能影响结果。架构不能为提高复用或改变 tile 形状而悄悄增加“任何拆分均逐 bit 等价”的承诺。</w:t>
      </w:r>
    </w:p>
    <w:bookmarkEnd w:id="57"/>
    <w:bookmarkStart w:id="58" w:name="Xe9040a3de1b0c82ecee4f3f4d1c670154083e88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9.4 数值修饰符的权限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表 53 的 integer saturation 位只为 i8 提供 0/1 选择；Ti16 的对应位固定为 0（NA），不能套用项目 INT8 的 saturation 请求。i8 的 A/B 不能通过浮点 negate 位任意取负；Ti16 negate 的合并单元格则给出 A/B 的 0/1 选择。Ti16 transpose 另有第 19 节记录的原文冲突。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对 floating kinds，negate、transpose 和 scale-input-d 是不同功能：negate 作用于矩阵元素符号；transpose 改变逻辑矩阵访问映射；scale-input-d 作用于旧 D。三者不能简化为一个“输入变换”控制码。mxf4/mxf4nvf4 支持 negate，但不支持 transpose；更细的类型/shape 限制须继续检查表 64–67。</w:t>
      </w:r>
    </w:p>
    <w:bookmarkEnd w:id="58"/>
    <w:bookmarkEnd w:id="59"/>
    <w:bookmarkStart w:id="63" w:name="Xbb3bd9c2f8dd6cf0077353199f8fa4112d4bc02"/>
    <w:p>
      <w:bookmarkStart w:id="127" w:name="tcgen05_section_10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10. MMA shape 与可见数据布局</w:t>
      </w:r>
      <w:bookmarkEnd w:id="127"/>
    </w:p>
    <w:bookmarkStart w:id="60" w:name="X544c24bd2c41b75dcff20fefa0d5545affd87ec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10.1 常规非 ws 形状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下表列出常规基线和大 K 条件的入口；它不是把每列全交叉后的无限组合。N 最大 256。dense/sparse 的 K 分别按完整数学矩阵的逻辑 K 解释，压缩后的实际 A 存储宽度另见第 12 节。[P1 表 50，PDF700–704/印688–692]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856"/>
        <w:gridCol w:w="1736"/>
        <w:gridCol w:w="1856"/>
        <w:gridCol w:w="2455"/>
        <w:gridCol w:w="1736"/>
      </w:tblGrid>
      <w:tr>
        <w:trPr>
          <w:tblHeader w:val="on"/>
          <w:cantSplit/>
        </w:trPr>
        <w:tc>
          <w:tcPr>
            <w:tcW w:type="dxa" w:w="185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kind</w:t>
            </w:r>
          </w:p>
        </w:tc>
        <w:tc>
          <w:tcPr>
            <w:tcW w:type="dxa" w:w="173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CTA group</w:t>
            </w:r>
          </w:p>
        </w:tc>
        <w:tc>
          <w:tcPr>
            <w:tcW w:type="dxa" w:w="185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M</w:t>
            </w:r>
          </w:p>
        </w:tc>
        <w:tc>
          <w:tcPr>
            <w:tcW w:type="dxa" w:w="245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N</w:t>
            </w:r>
          </w:p>
        </w:tc>
        <w:tc>
          <w:tcPr>
            <w:tcW w:type="dxa" w:w="173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dense K / sparse K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64、128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8..256，步 8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/ 32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128、256</w:t>
            </w:r>
          </w:p>
        </w:tc>
        <w:tc>
          <w:tcPr>
            <w:tcW w:type="dxa" w:w="24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16..256，步 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/ 32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64、128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8..256，步 8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16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128、256</w:t>
            </w:r>
          </w:p>
        </w:tc>
        <w:tc>
          <w:tcPr>
            <w:tcW w:type="dxa" w:w="24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16..256，步 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/ 16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f8f6f4，常规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64、128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8..256，步 8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64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f8f6f4，常规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128、256</w:t>
            </w:r>
          </w:p>
        </w:tc>
        <w:tc>
          <w:tcPr>
            <w:tcW w:type="dxa" w:w="24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16..256，步 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64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mxf8f6f4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8..256，步 8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64；大 K 另核查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mxf8f6f4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dense 128、256；sparse 仅 256</w:t>
            </w:r>
          </w:p>
        </w:tc>
        <w:tc>
          <w:tcPr>
            <w:tcW w:type="dxa" w:w="24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16..256，步 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64；大 K 另核查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i8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64、128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8、16、24、32，其后 48..256 步 16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64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i8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128、256</w:t>
            </w:r>
          </w:p>
        </w:tc>
        <w:tc>
          <w:tcPr>
            <w:tcW w:type="dxa" w:w="24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32..256，步 32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64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 / mxf4nvf4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8..256，步 8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 / 128；96/192 扩展另核查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 / mxf4nvf4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128、256（sparse 仅 256）</w:t>
            </w:r>
          </w:p>
        </w:tc>
        <w:tc>
          <w:tcPr>
            <w:tcW w:type="dxa" w:w="24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16..256，步 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 / 128；大 K 另核查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8..256，步 8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/ 32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  <w:tc>
          <w:tcPr>
            <w:tcW w:type="dxa" w:w="18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</w:t>
            </w:r>
          </w:p>
        </w:tc>
        <w:tc>
          <w:tcPr>
            <w:tcW w:type="dxa" w:w="24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16..256，步 16</w:t>
            </w:r>
          </w:p>
        </w:tc>
        <w:tc>
          <w:tcPr>
            <w:tcW w:type="dxa" w:w="17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/ 32</w:t>
            </w:r>
          </w:p>
        </w:tc>
      </w:tr>
      <w:tr>
        <w:trPr>
          <w:cantSplit/>
        </w:trPr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</w:t>
            </w:r>
          </w:p>
        </w:tc>
        <w:tc>
          <w:tcPr>
            <w:tcW w:type="dxa" w:w="18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128、256</w:t>
            </w:r>
          </w:p>
        </w:tc>
        <w:tc>
          <w:tcPr>
            <w:tcW w:type="dxa" w:w="24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32..256，步 32</w:t>
            </w:r>
          </w:p>
        </w:tc>
        <w:tc>
          <w:tcPr>
            <w:tcW w:type="dxa" w:w="17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 / 32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大 K 的架构规则须与 target 一起使用：f8f6f4 的 dense K64 / sparse K128 含元素类型及 M/N 条件；mxf8f6f4 同样存在 K64 / K128 扩展。mxf4/mxf4nvf4 支持表列的 K96、K128 及 sparse K192 等组合。K96 仅限表中指定的 sm_103a/sm_107a；新增的大 K family 能力另依 sm_107f 条件，不能仅因 descriptor 有编码位就启用。完整特例见规范表 50 及本目录核查记录。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为避免把扩展隐藏在“另核查”中，关键行展开如下；这些行叠加前表的类型和 target 约束，不替代它们。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053"/>
        <w:gridCol w:w="3514"/>
        <w:gridCol w:w="4070"/>
      </w:tblGrid>
      <w:tr>
        <w:trPr>
          <w:tblHeader w:val="on"/>
          <w:cantSplit/>
        </w:trPr>
        <w:tc>
          <w:tcPr>
            <w:tcW w:type="dxa" w:w="205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扩展</w:t>
            </w:r>
          </w:p>
        </w:tc>
        <w:tc>
          <w:tcPr>
            <w:tcW w:type="dxa" w:w="351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具体 M / K 关系</w:t>
            </w:r>
          </w:p>
        </w:tc>
        <w:tc>
          <w:tcPr>
            <w:tcW w:type="dxa" w:w="407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N 与附加限制</w:t>
            </w:r>
          </w:p>
        </w:tc>
      </w:tr>
      <w:tr>
        <w:trPr>
          <w:cantSplit/>
        </w:trPr>
        <w:tc>
          <w:tcPr>
            <w:tcW w:type="dxa" w:w="20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f8f6f4、CTA1</w:t>
            </w:r>
          </w:p>
        </w:tc>
        <w:tc>
          <w:tcPr>
            <w:tcW w:type="dxa" w:w="351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dense K64 对应 M128；原表另列 sparse K128</w:t>
            </w:r>
          </w:p>
        </w:tc>
        <w:tc>
          <w:tcPr>
            <w:tcW w:type="dxa" w:w="407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 合并单元格写步 8 或步 16；不能自行发明 K 与两种步长的一一绑定。K64 类型脚注明确仅 E4M3/E5M2</w:t>
            </w:r>
          </w:p>
        </w:tc>
      </w:tr>
      <w:tr>
        <w:trPr>
          <w:cantSplit/>
        </w:trPr>
        <w:tc>
          <w:tcPr>
            <w:tcW w:type="dxa" w:w="20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f8f6f4、CTA2</w:t>
            </w:r>
          </w:p>
        </w:tc>
        <w:tc>
          <w:tcPr>
            <w:tcW w:type="dxa" w:w="351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dense K64 对应 M256；原表另列 sparse K128</w:t>
            </w:r>
          </w:p>
        </w:tc>
        <w:tc>
          <w:tcPr>
            <w:tcW w:type="dxa" w:w="407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N=16..256 步 16；其余联合条件保持表 50 原意</w:t>
            </w:r>
          </w:p>
        </w:tc>
      </w:tr>
      <w:tr>
        <w:trPr>
          <w:cantSplit/>
        </w:trPr>
        <w:tc>
          <w:tcPr>
            <w:tcW w:type="dxa" w:w="20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mxf8f6f4、CTA1</w:t>
            </w:r>
          </w:p>
        </w:tc>
        <w:tc>
          <w:tcPr>
            <w:tcW w:type="dxa" w:w="351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M128，dense K32/64、sparse K64/128</w:t>
            </w:r>
          </w:p>
        </w:tc>
        <w:tc>
          <w:tcPr>
            <w:tcW w:type="dxa" w:w="407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N=8..256 步 8；没有 f8f6f4 那条 only-FP8 脚注。FP6/FP4 的 dense K64 不能 transpose，packing 另核查</w:t>
            </w:r>
          </w:p>
        </w:tc>
      </w:tr>
      <w:tr>
        <w:trPr>
          <w:cantSplit/>
        </w:trPr>
        <w:tc>
          <w:tcPr>
            <w:tcW w:type="dxa" w:w="20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mxf8f6f4、CTA2</w:t>
            </w:r>
          </w:p>
        </w:tc>
        <w:tc>
          <w:tcPr>
            <w:tcW w:type="dxa" w:w="351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dense K32 可 M128/256，K64 仅 M256；sparse K64/128 仅 M256</w:t>
            </w:r>
          </w:p>
        </w:tc>
        <w:tc>
          <w:tcPr>
            <w:tcW w:type="dxa" w:w="407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N=16..256 步 16</w:t>
            </w:r>
          </w:p>
        </w:tc>
      </w:tr>
      <w:tr>
        <w:trPr>
          <w:cantSplit/>
        </w:trPr>
        <w:tc>
          <w:tcPr>
            <w:tcW w:type="dxa" w:w="20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 / mxf4nvf4、CTA1</w:t>
            </w:r>
          </w:p>
        </w:tc>
        <w:tc>
          <w:tcPr>
            <w:tcW w:type="dxa" w:w="351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M128，dense K64/96；sparse K128/192</w:t>
            </w:r>
          </w:p>
        </w:tc>
        <w:tc>
          <w:tcPr>
            <w:tcW w:type="dxa" w:w="407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N=8..256 步 8</w:t>
            </w:r>
          </w:p>
        </w:tc>
      </w:tr>
      <w:tr>
        <w:trPr>
          <w:cantSplit/>
        </w:trPr>
        <w:tc>
          <w:tcPr>
            <w:tcW w:type="dxa" w:w="20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 / mxf4nvf4、CTA2</w:t>
            </w:r>
          </w:p>
        </w:tc>
        <w:tc>
          <w:tcPr>
            <w:tcW w:type="dxa" w:w="351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dense K64 可 M128/256，K96/128 仅 M256；sparse K128/192 仅 M256</w:t>
            </w:r>
          </w:p>
        </w:tc>
        <w:tc>
          <w:tcPr>
            <w:tcW w:type="dxa" w:w="407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N=16..256 步 16；K96 与新增 K128 的 target 条件分别检查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f8f6f4 的跨页表采用共享单元格，本文保留其 N 列 OR 表述，未在排版不能证明的地方额外生成精确 legalizer 规则；实施时应先澄清该关系，再固化接受集合。</w:t>
      </w:r>
    </w:p>
    <w:bookmarkEnd w:id="60"/>
    <w:bookmarkStart w:id="61" w:name="X3760544e5860812244feea517ac5ff25b41a8b8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10.2 ws 形状</w:t>
      </w:r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.ws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仅支持 CTA group 1，M 为 32、64、128；dense N 为 64、128、256，sparse N 为 64、128。f16、tf32、f8f6f4、i8、ti16 有 ws 行，K 延续相应 kind 的规定；mxf8f6f4、mxf4、mxf4nvf4 没有 ws 支持。不存在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.ws.cta_group::2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的合法对应行。</w:t>
      </w:r>
    </w:p>
    <w:bookmarkEnd w:id="61"/>
    <w:bookmarkStart w:id="62" w:name="X627385de54dda141818b6e3d0233d65182d1d1f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10.3 layout A–G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以下 organization 名称描述公开的数据映射，不能推导真实算术阵列形状。[P1 §9.7.18.10.5]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809"/>
        <w:gridCol w:w="1919"/>
        <w:gridCol w:w="2991"/>
        <w:gridCol w:w="1919"/>
      </w:tblGrid>
      <w:tr>
        <w:trPr>
          <w:tblHeader w:val="on"/>
          <w:cantSplit/>
        </w:trPr>
        <w:tc>
          <w:tcPr>
            <w:tcW w:type="dxa" w:w="280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M / CTA group / 形式</w:t>
            </w:r>
          </w:p>
        </w:tc>
        <w:tc>
          <w:tcPr>
            <w:tcW w:type="dxa" w:w="19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layout</w:t>
            </w:r>
          </w:p>
        </w:tc>
        <w:tc>
          <w:tcPr>
            <w:tcW w:type="dxa" w:w="2991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规范 organization</w:t>
            </w:r>
          </w:p>
        </w:tc>
        <w:tc>
          <w:tcPr>
            <w:tcW w:type="dxa" w:w="191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TMEM lane 对齐</w:t>
            </w:r>
          </w:p>
        </w:tc>
      </w:tr>
      <w:tr>
        <w:trPr>
          <w:cantSplit/>
        </w:trPr>
        <w:tc>
          <w:tcPr>
            <w:tcW w:type="dxa" w:w="28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256 / 2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</w:t>
            </w:r>
          </w:p>
        </w:tc>
        <w:tc>
          <w:tcPr>
            <w:tcW w:type="dxa" w:w="29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4×1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 / 2 / dense</w:t>
            </w:r>
          </w:p>
        </w:tc>
        <w:tc>
          <w:tcPr>
            <w:tcW w:type="dxa" w:w="19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</w:t>
            </w:r>
          </w:p>
        </w:tc>
        <w:tc>
          <w:tcPr>
            <w:tcW w:type="dxa" w:w="29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2×2</w:t>
            </w:r>
          </w:p>
        </w:tc>
        <w:tc>
          <w:tcPr>
            <w:tcW w:type="dxa" w:w="19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 / 2 / sparse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</w:t>
            </w:r>
          </w:p>
        </w:tc>
        <w:tc>
          <w:tcPr>
            <w:tcW w:type="dxa" w:w="29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4×1，half utilization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 或 16</w:t>
            </w:r>
          </w:p>
        </w:tc>
      </w:tr>
      <w:tr>
        <w:trPr>
          <w:cantSplit/>
        </w:trPr>
        <w:tc>
          <w:tcPr>
            <w:tcW w:type="dxa" w:w="28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 / 1</w:t>
            </w:r>
          </w:p>
        </w:tc>
        <w:tc>
          <w:tcPr>
            <w:tcW w:type="dxa" w:w="19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</w:t>
            </w:r>
          </w:p>
        </w:tc>
        <w:tc>
          <w:tcPr>
            <w:tcW w:type="dxa" w:w="29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4×1</w:t>
            </w:r>
          </w:p>
        </w:tc>
        <w:tc>
          <w:tcPr>
            <w:tcW w:type="dxa" w:w="19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 / 1 / ws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</w:t>
            </w:r>
          </w:p>
        </w:tc>
        <w:tc>
          <w:tcPr>
            <w:tcW w:type="dxa" w:w="29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2×2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0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 / 1 / non-ws</w:t>
            </w:r>
          </w:p>
        </w:tc>
        <w:tc>
          <w:tcPr>
            <w:tcW w:type="dxa" w:w="19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</w:t>
            </w:r>
          </w:p>
        </w:tc>
        <w:tc>
          <w:tcPr>
            <w:tcW w:type="dxa" w:w="2991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4×1，half utilization</w:t>
            </w:r>
          </w:p>
        </w:tc>
        <w:tc>
          <w:tcPr>
            <w:tcW w:type="dxa" w:w="191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 或 16</w:t>
            </w:r>
          </w:p>
        </w:tc>
      </w:tr>
      <w:tr>
        <w:trPr>
          <w:cantSplit/>
        </w:trPr>
        <w:tc>
          <w:tcPr>
            <w:tcW w:type="dxa" w:w="280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 / 1 / ws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G</w:t>
            </w:r>
          </w:p>
        </w:tc>
        <w:tc>
          <w:tcPr>
            <w:tcW w:type="dxa" w:w="2991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1×4</w:t>
            </w:r>
          </w:p>
        </w:tc>
        <w:tc>
          <w:tcPr>
            <w:tcW w:type="dxa" w:w="191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layout C/F 中 A、D 与 sparse metadata 必须采用一致的 TMEM lane 对齐。transpose、major-ness、元素宽度和 swizzle 还会增加限制。例如 32-bit transpose 使用规定的 128B/32B atomicity 模式；8/16-bit transpose 排除此模式；mxf4/mxf4nvf4 本身不支持 transpose。Ti16 transpose 在表 53 与表 64 存在不一致，本文不擅自作统一承诺。</w:t>
      </w:r>
    </w:p>
    <w:bookmarkEnd w:id="62"/>
    <w:bookmarkEnd w:id="63"/>
    <w:bookmarkStart w:id="70" w:name="X902bbf0a89bdbd02992f158210f249854eb5dd1"/>
    <w:p>
      <w:bookmarkStart w:id="128" w:name="tcgen05_section_11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11. Block scaling 架构</w:t>
      </w:r>
      <w:bookmarkEnd w:id="128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249999"/>
            <wp:effectExtent b="0" l="0" r="0" t="0"/>
            <wp:docPr descr="图 4：AB 格式、scale 格式与 BLOCK16/BLOCK32 分开描述；图中仅展示 dense K64 的分组，不能直接用于 sparse。" title="" id="65" name="Picture"/>
            <a:graphic>
              <a:graphicData uri="http://schemas.openxmlformats.org/drawingml/2006/picture">
                <pic:pic>
                  <pic:nvPicPr>
                    <pic:cNvPr descr="figures/05_scale_domain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2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4：AB 格式、scale 格式与 BLOCK16/BLOCK32 分开描述；图中仅展示 dense K64 的分组，不能直接用于 sparse。</w:t>
      </w:r>
    </w:p>
    <w:bookmarkStart w:id="67" w:name="X529c5def732cd1b729c2dd97556cad968e391b8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11.1 数学对象与独立配置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block scaling 先按分组对 A/B 元素缩放，再执行矩阵乘加；这里的元素缩放不是把原矩阵与 scale 矩阵做普通矩阵乘法。scale_A 是按 A 每行沿 K 分组的矩阵，scale_B 是按 B 每列沿 K 分组的矩阵。它们不是一个对整条指令共用的 scalar。scale 矩阵位于 TMEM，其地址、布局和复制条件是供数契约的一部分。[P1 §9.7.18.10.7]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对于 dense、block size B 的简单逻辑表示，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g=floor(k/B)</w:t>
      </w:r>
      <w:r>
        <w:rPr>
          <w:rFonts w:ascii="Noto Sans CJK SC" w:hAnsi="Noto Sans CJK SC" w:cs="Noto Sans CJK SC" w:eastAsia="Noto Sans CJK SC"/>
        </w:rPr>
        <w:t xml:space="preserve">，同一输出元素使用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scale_A[m,g]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和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scale_B[g,n]</w:t>
      </w:r>
      <w:r>
        <w:rPr>
          <w:rFonts w:ascii="Noto Sans CJK SC" w:hAnsi="Noto Sans CJK SC" w:cs="Noto Sans CJK SC" w:eastAsia="Noto Sans CJK SC"/>
        </w:rPr>
        <w:t xml:space="preserve">。这个表达式说明逻辑分组，不取代 TMEM layout、scale ID 或 sparse 模式下的具体索引规则。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t> </m:t>
          </m:r>
          <m:sSubSup>
            <m:e>
              <m:r>
                <m:t>s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b>
            <m:sup>
              <m:r>
                <m:t>A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t> </m:t>
          </m:r>
          <m:sSubSup>
            <m:e>
              <m:r>
                <m:t>s</m:t>
              </m:r>
            </m:e>
            <m: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,</m:t>
              </m:r>
              <m:r>
                <m:t>n</m:t>
              </m:r>
            </m:sub>
            <m:sup>
              <m:r>
                <m:t>B</m:t>
              </m:r>
            </m:sup>
          </m:sSubSup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</m:oMath>
      </m:oMathPara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275"/>
        <w:gridCol w:w="2275"/>
        <w:gridCol w:w="2544"/>
        <w:gridCol w:w="2544"/>
      </w:tblGrid>
      <w:tr>
        <w:trPr>
          <w:tblHeader w:val="on"/>
          <w:cantSplit/>
        </w:trPr>
        <w:tc>
          <w:tcPr>
            <w:tcW w:type="dxa" w:w="227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kind</w:t>
            </w:r>
          </w:p>
        </w:tc>
        <w:tc>
          <w:tcPr>
            <w:tcW w:type="dxa" w:w="227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A/B 格式</w:t>
            </w:r>
          </w:p>
        </w:tc>
        <w:tc>
          <w:tcPr>
            <w:tcW w:type="dxa" w:w="25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scale type</w:t>
            </w:r>
          </w:p>
        </w:tc>
        <w:tc>
          <w:tcPr>
            <w:tcW w:type="dxa" w:w="25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block 配置</w:t>
            </w:r>
          </w:p>
        </w:tc>
      </w:tr>
      <w:tr>
        <w:trPr>
          <w:cantSplit/>
        </w:trPr>
        <w:tc>
          <w:tcPr>
            <w:tcW w:type="dxa" w:w="227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mxf8f6f4</w:t>
            </w:r>
          </w:p>
        </w:tc>
        <w:tc>
          <w:tcPr>
            <w:tcW w:type="dxa" w:w="227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FP8/FP6/FP4 规定类型</w:t>
            </w:r>
          </w:p>
        </w:tc>
        <w:tc>
          <w:tcPr>
            <w:tcW w:type="dxa" w:w="25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UE8M0</w:t>
            </w:r>
          </w:p>
        </w:tc>
        <w:tc>
          <w:tcPr>
            <w:tcW w:type="dxa" w:w="25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BLOCK32</w:t>
            </w:r>
          </w:p>
        </w:tc>
      </w:tr>
      <w:tr>
        <w:trPr>
          <w:cantSplit/>
        </w:trPr>
        <w:tc>
          <w:tcPr>
            <w:tcW w:type="dxa" w:w="227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</w:t>
            </w:r>
          </w:p>
        </w:tc>
        <w:tc>
          <w:tcPr>
            <w:tcW w:type="dxa" w:w="227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E2M1</w:t>
            </w:r>
          </w:p>
        </w:tc>
        <w:tc>
          <w:tcPr>
            <w:tcW w:type="dxa" w:w="25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UE8M0</w:t>
            </w:r>
          </w:p>
        </w:tc>
        <w:tc>
          <w:tcPr>
            <w:tcW w:type="dxa" w:w="25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BLOCK32</w:t>
            </w:r>
          </w:p>
        </w:tc>
      </w:tr>
      <w:tr>
        <w:trPr>
          <w:cantSplit/>
        </w:trPr>
        <w:tc>
          <w:tcPr>
            <w:tcW w:type="dxa" w:w="227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mxf4nvf4</w:t>
            </w:r>
          </w:p>
        </w:tc>
        <w:tc>
          <w:tcPr>
            <w:tcW w:type="dxa" w:w="227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E2M1</w:t>
            </w:r>
          </w:p>
        </w:tc>
        <w:tc>
          <w:tcPr>
            <w:tcW w:type="dxa" w:w="25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UE8M0、UE4M3、UE5M3</w:t>
            </w:r>
          </w:p>
        </w:tc>
        <w:tc>
          <w:tcPr>
            <w:tcW w:type="dxa" w:w="25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BLOCK16 或 BLOCK32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UE8M0、UE4M3、UE5M3 是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scale 格式</w:t>
      </w:r>
      <w:r>
        <w:rPr>
          <w:rFonts w:ascii="Noto Sans CJK SC" w:hAnsi="Noto Sans CJK SC" w:cs="Noto Sans CJK SC" w:eastAsia="Noto Sans CJK SC"/>
        </w:rPr>
        <w:t xml:space="preserve">，E4M3/E5M2/E2M3/E3M2/E2M1 是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A/B 元素格式</w:t>
      </w:r>
      <w:r>
        <w:rPr>
          <w:rFonts w:ascii="Noto Sans CJK SC" w:hAnsi="Noto Sans CJK SC" w:cs="Noto Sans CJK SC" w:eastAsia="Noto Sans CJK SC"/>
        </w:rPr>
        <w:t xml:space="preserve">，16/32 是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K 分组配置</w:t>
      </w:r>
      <w:r>
        <w:rPr>
          <w:rFonts w:ascii="Noto Sans CJK SC" w:hAnsi="Noto Sans CJK SC" w:cs="Noto Sans CJK SC" w:eastAsia="Noto Sans CJK SC"/>
        </w:rPr>
        <w:t xml:space="preserve">。三者必须分别表达。UE5M3，以及 UE4M3 与 BLOCK32 的组合，受 sm_107f 同 family 后续目标条件限制。字段独立不意味着所有格式与 block 均可交叉。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696"/>
        <w:gridCol w:w="3453"/>
        <w:gridCol w:w="4488"/>
      </w:tblGrid>
      <w:tr>
        <w:trPr>
          <w:tblHeader w:val="on"/>
          <w:cantSplit/>
        </w:trPr>
        <w:tc>
          <w:tcPr>
            <w:tcW w:type="dxa" w:w="169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scale type</w:t>
            </w:r>
          </w:p>
        </w:tc>
        <w:tc>
          <w:tcPr>
            <w:tcW w:type="dxa" w:w="345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无符号数值格式</w:t>
            </w:r>
          </w:p>
        </w:tc>
        <w:tc>
          <w:tcPr>
            <w:tcW w:type="dxa" w:w="448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特殊值与寄存器表示</w:t>
            </w:r>
          </w:p>
        </w:tc>
      </w:tr>
      <w:tr>
        <w:trPr>
          <w:cantSplit/>
        </w:trPr>
        <w:tc>
          <w:tcPr>
            <w:tcW w:type="dxa" w:w="169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UE8M0</w:t>
            </w:r>
          </w:p>
        </w:tc>
        <w:tc>
          <w:tcPr>
            <w:tcW w:type="dxa" w:w="34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8-bit：8 exponent、0 mantissa</w:t>
            </w:r>
          </w:p>
        </w:tc>
        <w:tc>
          <w:tcPr>
            <w:tcW w:type="dxa" w:w="4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 Inf，NaN=0xff；§5.2.3 的 packed ue8m0x2 使用 b16</w:t>
            </w:r>
          </w:p>
        </w:tc>
      </w:tr>
      <w:tr>
        <w:trPr>
          <w:cantSplit/>
        </w:trPr>
        <w:tc>
          <w:tcPr>
            <w:tcW w:type="dxa" w:w="169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UE4M3</w:t>
            </w:r>
          </w:p>
        </w:tc>
        <w:tc>
          <w:tcPr>
            <w:tcW w:type="dxa" w:w="345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7-bit：4 exponent、3 mantissa</w:t>
            </w:r>
          </w:p>
        </w:tc>
        <w:tc>
          <w:tcPr>
            <w:tcW w:type="dxa" w:w="448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 Inf，NaN=0x7f；单值使用 b8，最高位以 0 padding</w:t>
            </w:r>
          </w:p>
        </w:tc>
      </w:tr>
      <w:tr>
        <w:trPr>
          <w:cantSplit/>
        </w:trPr>
        <w:tc>
          <w:tcPr>
            <w:tcW w:type="dxa" w:w="169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UE5M3</w:t>
            </w:r>
          </w:p>
        </w:tc>
        <w:tc>
          <w:tcPr>
            <w:tcW w:type="dxa" w:w="345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8-bit：5 exponent、3 mantissa</w:t>
            </w:r>
          </w:p>
        </w:tc>
        <w:tc>
          <w:tcPr>
            <w:tcW w:type="dxa" w:w="448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 Inf，NaN=0xff；单值使用 b8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上表来自 PTX §5.2.3，规定的是格式及其声明方式；它不替代 TMEM scale 矩阵的布局，也不规定内部 scale 乘法的物理实现。</w:t>
      </w:r>
    </w:p>
    <w:bookmarkEnd w:id="67"/>
    <w:bookmarkStart w:id="68" w:name="Xc28ca8f6adc94e5f19881899f76e9a01a79775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11.2 block size 与 scale vector 数量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对于 dense，BLOCK16/BLOCK32 指定每个 scale 覆盖多少逻辑 K 元素；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.scale_vec::1X/2X/4X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指定的是对应形式中的 scale 数量。两者不是永远一对一的别名，K 改变时不能固定映射。sparse 必须按压缩 K 与规定 scale layout 解释，不能把完整 logical K 直接套进 dense 分组计数。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843"/>
        <w:gridCol w:w="3398"/>
        <w:gridCol w:w="3398"/>
      </w:tblGrid>
      <w:tr>
        <w:trPr>
          <w:tblHeader w:val="on"/>
          <w:cantSplit/>
        </w:trPr>
        <w:tc>
          <w:tcPr>
            <w:tcW w:type="dxa" w:w="2843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dense K 的分组示例</w:t>
            </w:r>
          </w:p>
        </w:tc>
        <w:tc>
          <w:tcPr>
            <w:tcW w:type="dxa" w:w="339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BLOCK32</w:t>
            </w:r>
          </w:p>
        </w:tc>
        <w:tc>
          <w:tcPr>
            <w:tcW w:type="dxa" w:w="339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BLOCK16</w:t>
            </w:r>
          </w:p>
        </w:tc>
      </w:tr>
      <w:tr>
        <w:trPr>
          <w:cantSplit/>
        </w:trPr>
        <w:tc>
          <w:tcPr>
            <w:tcW w:type="dxa" w:w="28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64</w:t>
            </w:r>
          </w:p>
        </w:tc>
        <w:tc>
          <w:tcPr>
            <w:tcW w:type="dxa" w:w="33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 个 scale</w:t>
            </w:r>
          </w:p>
        </w:tc>
        <w:tc>
          <w:tcPr>
            <w:tcW w:type="dxa" w:w="33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 个 scale</w:t>
            </w:r>
          </w:p>
        </w:tc>
      </w:tr>
      <w:tr>
        <w:trPr>
          <w:cantSplit/>
        </w:trPr>
        <w:tc>
          <w:tcPr>
            <w:tcW w:type="dxa" w:w="2843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96</w:t>
            </w:r>
          </w:p>
        </w:tc>
        <w:tc>
          <w:tcPr>
            <w:tcW w:type="dxa" w:w="33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 个 scale</w:t>
            </w:r>
          </w:p>
        </w:tc>
        <w:tc>
          <w:tcPr>
            <w:tcW w:type="dxa" w:w="339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 个 scale</w:t>
            </w:r>
          </w:p>
        </w:tc>
      </w:tr>
      <w:tr>
        <w:trPr>
          <w:cantSplit/>
        </w:trPr>
        <w:tc>
          <w:tcPr>
            <w:tcW w:type="dxa" w:w="2843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128</w:t>
            </w:r>
          </w:p>
        </w:tc>
        <w:tc>
          <w:tcPr>
            <w:tcW w:type="dxa" w:w="33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 个 scale</w:t>
            </w:r>
          </w:p>
        </w:tc>
        <w:tc>
          <w:tcPr>
            <w:tcW w:type="dxa" w:w="339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 个 scale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此表说明数学分组数量，具体指令仍需存在合法 K/kind/target 行；不应由表反推任意 kind 支持 K128。mxf4 省略 scale_vectorsize 时有规定默认值，mxf4nvf4 要求显式给出。sparse logical K、压缩存储 K 与历史 scale_vec alias 的口径必须按原表处理，不能直接套用 dense 表。[P1 表 70–71]</w:t>
      </w:r>
    </w:p>
    <w:bookmarkEnd w:id="68"/>
    <w:bookmarkStart w:id="69" w:name="X8cdb74e0e85c5bd1eac8ecfe5ab79b71e63349e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11.3 scale 布局与 D 缩放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B scale 要按规定复制到 TMEM 的 32-lane partitions。sm_107f 的部分 A scale 写入规则允许采用不同复制处理，不能用单一广播假设替代各 layout。</w:t>
      </w:r>
    </w:p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scale-input-d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表示旧 D 乘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2^(-s)</w:t>
      </w:r>
      <w:r>
        <w:rPr>
          <w:rFonts w:ascii="Noto Sans CJK SC" w:hAnsi="Noto Sans CJK SC" w:cs="Noto Sans CJK SC" w:eastAsia="Noto Sans CJK SC"/>
        </w:rPr>
        <w:t xml:space="preserve">，s 为 0..15，仅允许规定的 f16/tf32 形式。它不是 A/B block scaling，也不是第三种 scale 矩阵。项目请求中如表达 C 缩放，应单独登记，不与 ABfmt、scale type 或 block size 合并。</w:t>
      </w:r>
    </w:p>
    <w:bookmarkEnd w:id="69"/>
    <w:bookmarkEnd w:id="70"/>
    <w:bookmarkStart w:id="74" w:name="Xd43d6bb91cffb5918dde717bbb19911ca9c6fb5"/>
    <w:p>
      <w:bookmarkStart w:id="129" w:name="tcgen05_section_12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12. Structured sparsity 与其他数据变换</w:t>
      </w:r>
      <w:bookmarkEnd w:id="129"/>
    </w:p>
    <w:bookmarkStart w:id="71" w:name="X29319aed02ed1ef12828d2d773c2ed19634fac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12.1 sparse A 的数学与存储</w:t>
      </w:r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.mma.sp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的数学 A 仍为 M×K，压缩存储为 M×(K/2) 加 metadata。metadata 把保留值放回逻辑 K 位置；被省略的位置按规定为零。D 的逻辑 shape 不因压缩而缩小。[P1 §9.7.18.10.9]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770"/>
        <w:gridCol w:w="1958"/>
        <w:gridCol w:w="4910"/>
      </w:tblGrid>
      <w:tr>
        <w:trPr>
          <w:tblHeader w:val="on"/>
          <w:cantSplit/>
        </w:trPr>
        <w:tc>
          <w:tcPr>
            <w:tcW w:type="dxa" w:w="277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kind 类别</w:t>
            </w:r>
          </w:p>
        </w:tc>
        <w:tc>
          <w:tcPr>
            <w:tcW w:type="dxa" w:w="195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结构</w:t>
            </w:r>
          </w:p>
        </w:tc>
        <w:tc>
          <w:tcPr>
            <w:tcW w:type="dxa" w:w="491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必须保留的限制</w:t>
            </w:r>
          </w:p>
        </w:tc>
      </w:tr>
      <w:tr>
        <w:trPr>
          <w:cantSplit/>
        </w:trPr>
        <w:tc>
          <w:tcPr>
            <w:tcW w:type="dxa" w:w="277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</w:t>
            </w:r>
          </w:p>
        </w:tc>
        <w:tc>
          <w:tcPr>
            <w:tcW w:type="dxa" w:w="19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1:2</w:t>
            </w:r>
          </w:p>
        </w:tc>
        <w:tc>
          <w:tcPr>
            <w:tcW w:type="dxa" w:w="491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不直接称为普通 2:4；有效 metadata 有专门规定</w:t>
            </w:r>
          </w:p>
        </w:tc>
      </w:tr>
      <w:tr>
        <w:trPr>
          <w:cantSplit/>
        </w:trPr>
        <w:tc>
          <w:tcPr>
            <w:tcW w:type="dxa" w:w="277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f16、ti16、f8f6f4、mxf8f6f4、i8</w:t>
            </w:r>
          </w:p>
        </w:tc>
        <w:tc>
          <w:tcPr>
            <w:tcW w:type="dxa" w:w="19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2:4</w:t>
            </w:r>
          </w:p>
        </w:tc>
        <w:tc>
          <w:tcPr>
            <w:tcW w:type="dxa" w:w="491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metadata 位解释、版本、位置和 layout 依规定</w:t>
            </w:r>
          </w:p>
        </w:tc>
      </w:tr>
      <w:tr>
        <w:trPr>
          <w:cantSplit/>
        </w:trPr>
        <w:tc>
          <w:tcPr>
            <w:tcW w:type="dxa" w:w="277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mxf4、mxf4nvf4</w:t>
            </w:r>
          </w:p>
        </w:tc>
        <w:tc>
          <w:tcPr>
            <w:tcW w:type="dxa" w:w="19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成对 4:8</w:t>
            </w:r>
          </w:p>
        </w:tc>
        <w:tc>
          <w:tcPr>
            <w:tcW w:type="dxa" w:w="491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每两个元素组成子组，必须整体零或整体非零；不是任意 4-of-8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TF32 有效 metadata 4-bit 值为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1110</w:t>
      </w:r>
      <w:r>
        <w:rPr>
          <w:rFonts w:ascii="Noto Sans CJK SC" w:hAnsi="Noto Sans CJK SC" w:cs="Noto Sans CJK SC" w:eastAsia="Noto Sans CJK SC"/>
        </w:rPr>
        <w:t xml:space="preserve">、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0100</w:t>
      </w:r>
      <w:r>
        <w:rPr>
          <w:rFonts w:ascii="Noto Sans CJK SC" w:hAnsi="Noto Sans CJK SC" w:cs="Noto Sans CJK SC" w:eastAsia="Noto Sans CJK SC"/>
        </w:rPr>
        <w:t xml:space="preserve">。上传规范对 2:4 metadata 的枚举包含需进一步核实的特殊项，不能凭常见“六种二选二”理解删改原文。mxf4/mxf4nvf4 的 sparsity version bit 也有 sm_100/103/110 与 sm_107 的目标区分。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sparse 模式的可见运算量和市场公布的 sparse 峰值必须保留统计口径；不能把压缩存储宽度当数学 K，更不能用 dense 数值简单补成所有格式的 sparse 吞吐。</w:t>
      </w:r>
    </w:p>
    <w:bookmarkEnd w:id="71"/>
    <w:bookmarkStart w:id="72" w:name="X552de25a5dc235d11010f16f7ae120f1861dbc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12.2 load reduction 与 load sparse compression</w:t>
      </w:r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ld.red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在每个 TMEM lane 沿 columns 做 min/max，支持规定的 F32、S32/U32 形式及相关 abs/NaN 控制。它是 TMEM 读取附带的归约，不是给 MALU 新增通用标量 ALU 指令。</w:t>
      </w:r>
    </w:p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ld.spcompress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仅在规定的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.32x32b</w:t>
      </w:r>
      <w:r>
        <w:rPr>
          <w:rFonts w:ascii="Noto Sans CJK SC" w:hAnsi="Noto Sans CJK SC" w:cs="Noto Sans CJK SC" w:eastAsia="Noto Sans CJK SC"/>
        </w:rPr>
        <w:t xml:space="preserve">、F32、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sp::2:4</w:t>
      </w:r>
      <w:r>
        <w:rPr>
          <w:rFonts w:ascii="Noto Sans CJK SC" w:hAnsi="Noto Sans CJK SC" w:cs="Noto Sans CJK SC" w:eastAsia="Noto Sans CJK SC"/>
        </w:rPr>
        <w:t xml:space="preserve">、b2 metadata 形式使用；支持的重复数为 x4..x128。返回压缩数据和位置 metadata；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.red.spcompress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另外返回规定的 reduction。组合形式的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.NaN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仅作用于 reduction，spcompress 本身保留 NaN。该功能由 9.4 引入且目标为 sm_107a。其输出 metadata 不应未经类型和布局适配就当作任意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mma.sp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的合法输入。</w:t>
      </w:r>
    </w:p>
    <w:bookmarkEnd w:id="72"/>
    <w:bookmarkStart w:id="73" w:name="X83a6981e263f9668187b35ad7848513edd6a2d6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12.3 cp 的低位展开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cp 可以把规定的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.b4x16_p64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或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.b6x16_p32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展开到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.b8x16</w:t>
      </w:r>
      <w:r>
        <w:rPr>
          <w:rFonts w:ascii="Noto Sans CJK SC" w:hAnsi="Noto Sans CJK SC" w:cs="Noto Sans CJK SC" w:eastAsia="Noto Sans CJK SC"/>
        </w:rPr>
        <w:t xml:space="preserve">。这是布局与 padding 的展开，不等于浮点数值转换成任意 FP8 标准。ld 的稀疏压缩、cp 的展开与下节的 LUT 解压缩应分别建模。</w:t>
      </w:r>
    </w:p>
    <w:bookmarkEnd w:id="73"/>
    <w:bookmarkEnd w:id="74"/>
    <w:bookmarkStart w:id="80" w:name="X05686109ad448437bc0fa69a1fc00caf3d75279"/>
    <w:p>
      <w:bookmarkStart w:id="130" w:name="tcgen05_section_13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13. 数据移动、复用与卷积架构</w:t>
      </w:r>
      <w:bookmarkEnd w:id="130"/>
    </w:p>
    <w:bookmarkStart w:id="75" w:name="X2e4c42072db553565eb160374028dad8b43ff0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13.1 load/store 的 shape 和片段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744"/>
        <w:gridCol w:w="2744"/>
        <w:gridCol w:w="4149"/>
      </w:tblGrid>
      <w:tr>
        <w:trPr>
          <w:tblHeader w:val="on"/>
          <w:cantSplit/>
        </w:trPr>
        <w:tc>
          <w:tcPr>
            <w:tcW w:type="dxa" w:w="27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基础 shape</w:t>
            </w:r>
          </w:p>
        </w:tc>
        <w:tc>
          <w:tcPr>
            <w:tcW w:type="dxa" w:w="274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每 thread 的 b32 register 数量（相对</w:t>
            </w: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.num</w:t>
            </w: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）</w:t>
            </w:r>
          </w:p>
        </w:tc>
        <w:tc>
          <w:tcPr>
            <w:tcW w:type="dxa" w:w="414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7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32x32b</w:t>
            </w:r>
          </w:p>
        </w:tc>
        <w:tc>
          <w:tcPr>
            <w:tcW w:type="dxa" w:w="27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num</w:t>
            </w:r>
          </w:p>
        </w:tc>
        <w:tc>
          <w:tcPr>
            <w:tcW w:type="dxa" w:w="41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访问 32 个 TMEM lanes</w:t>
            </w:r>
          </w:p>
        </w:tc>
      </w:tr>
      <w:tr>
        <w:trPr>
          <w:cantSplit/>
        </w:trPr>
        <w:tc>
          <w:tcPr>
            <w:tcW w:type="dxa" w:w="27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16x64b</w:t>
            </w:r>
          </w:p>
        </w:tc>
        <w:tc>
          <w:tcPr>
            <w:tcW w:type="dxa" w:w="27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num</w:t>
            </w:r>
          </w:p>
        </w:tc>
        <w:tc>
          <w:tcPr>
            <w:tcW w:type="dxa" w:w="41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16-lane shape</w:t>
            </w:r>
          </w:p>
        </w:tc>
      </w:tr>
      <w:tr>
        <w:trPr>
          <w:cantSplit/>
        </w:trPr>
        <w:tc>
          <w:tcPr>
            <w:tcW w:type="dxa" w:w="27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16x128b</w:t>
            </w:r>
          </w:p>
        </w:tc>
        <w:tc>
          <w:tcPr>
            <w:tcW w:type="dxa" w:w="27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2×num</w:t>
            </w:r>
          </w:p>
        </w:tc>
        <w:tc>
          <w:tcPr>
            <w:tcW w:type="dxa" w:w="41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最大重复数受限制</w:t>
            </w:r>
          </w:p>
        </w:tc>
      </w:tr>
      <w:tr>
        <w:trPr>
          <w:cantSplit/>
        </w:trPr>
        <w:tc>
          <w:tcPr>
            <w:tcW w:type="dxa" w:w="27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16x256b</w:t>
            </w:r>
          </w:p>
        </w:tc>
        <w:tc>
          <w:tcPr>
            <w:tcW w:type="dxa" w:w="274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4×num</w:t>
            </w:r>
          </w:p>
        </w:tc>
        <w:tc>
          <w:tcPr>
            <w:tcW w:type="dxa" w:w="41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最大重复数受限制</w:t>
            </w:r>
          </w:p>
        </w:tc>
      </w:tr>
      <w:tr>
        <w:trPr>
          <w:cantSplit/>
        </w:trPr>
        <w:tc>
          <w:tcPr>
            <w:tcW w:type="dxa" w:w="27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16x32bx2</w:t>
            </w:r>
          </w:p>
        </w:tc>
        <w:tc>
          <w:tcPr>
            <w:tcW w:type="dxa" w:w="274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num</w:t>
            </w:r>
          </w:p>
        </w:tc>
        <w:tc>
          <w:tcPr>
            <w:tcW w:type="dxa" w:w="41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两个访问位置相差 immHalfSplitoff</w:t>
            </w:r>
          </w:p>
        </w:tc>
      </w:tr>
    </w:tbl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.num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为基础 shape 的 repeat factor，并非所有 shape 都允许 x128。例如 16x128b 的上限为 x64，16x256b 为 x32。寄存器向量长度、TMEM 地址对齐和 warp lane 映射必须联动计算。[P1 §9.7.18.2.3、.8，表 61/63]</w:t>
      </w:r>
    </w:p>
    <w:bookmarkEnd w:id="75"/>
    <w:bookmarkStart w:id="76" w:name="X19e7c76675ee3861bc721a611fb2882217f3716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13.2 cp 与 shift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cp 支持 4x256b、32x128b、64x128b、128x256b、128x128b 等规定的 SMEM→TMEM 形态。64x128b 配置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warpx2::02_13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或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warpx2::01_23</w:t>
      </w:r>
      <w:r>
        <w:rPr>
          <w:rFonts w:ascii="Noto Sans CJK SC" w:hAnsi="Noto Sans CJK SC" w:cs="Noto Sans CJK SC" w:eastAsia="Noto Sans CJK SC"/>
        </w:rPr>
        <w:t xml:space="preserve">，32x128b 使用 warpx4，以规定的 warp 分组 multicast。这里的 multicast 是数据布局行为，不能推出某种物理广播总线。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shift 在 warp 对应区域把 32-byte 元素沿 TMEM row 向下移动，最后 row 除外；隐含 shape 为 31x256b，地址 lane 要求 32 对齐。CTA group 2 的操作涉及两侧相应 TMEM。MMA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.ashift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与独立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tcgen05.shift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相关，但不是同一指令或任意可互换的序列。[P1 §9.7.18.9]</w:t>
      </w:r>
    </w:p>
    <w:bookmarkEnd w:id="76"/>
    <w:bookmarkStart w:id="77" w:name="X33dde0ea5737ea25e5facb9ec84782236601302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13.3 collector 与 stationarity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默认 MMA 在规范中称 activation-stationary；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.ws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是 weight-stationary 卷积形式，主要复用 B。collector 的 fill/use/lastuse/discard 表达许可的复用语义，</w:t>
      </w:r>
      <w:r>
        <w:rPr>
          <w:rFonts w:ascii="Noto Sans CJK SC" w:hAnsi="Noto Sans CJK SC" w:cs="Noto Sans CJK SC" w:eastAsia="Noto Sans CJK SC"/>
          <w:b/>
          <w:bCs/>
        </w:rPr>
        <w:t xml:space="preserve">复用是 opportunistic</w:t>
      </w:r>
      <w:r>
        <w:rPr>
          <w:rFonts w:ascii="Noto Sans CJK SC" w:hAnsi="Noto Sans CJK SC" w:cs="Noto Sans CJK SC" w:eastAsia="Noto Sans CJK SC"/>
        </w:rPr>
        <w:t xml:space="preserve">。即便使用 use，执行仍可能重新读取源矩阵，所以不能据“已经装入 collector”就在 MMA 完成前任意覆盖源数据。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9.4 增加普通 MMA 的 B collector 指定形式。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.ashift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用于规定的 TMEM A row 移动，M 仅 128/256，且与相应 collector:</w:t>
      </w:r>
      <w:r>
        <w:rPr>
          <w:rFonts w:ascii="Noto Sans CJK SC" w:hAnsi="Noto Sans CJK SC" w:cs="Noto Sans CJK SC" w:eastAsia="Noto Sans CJK SC"/>
        </w:rPr>
        <w:t xml:space="preserve">🅰️</w:t>
      </w:r>
      <w:r>
        <w:rPr>
          <w:rFonts w:ascii="Noto Sans CJK SC" w:hAnsi="Noto Sans CJK SC" w:cs="Noto Sans CJK SC" w:eastAsia="Noto Sans CJK SC"/>
        </w:rPr>
        <w:t xml:space="preserve">:fill/use 限制关联。软件可观察复用不决定内部 collector 容量、bank、寄存器实现或访问延迟。</w:t>
      </w:r>
    </w:p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.ws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 B collector 具有 b0、b1、b2、b3 四个软件可选编号；这不是“四个物理 bank”的证明。idesc 还规定尝试 B 复用时的 maximum shift 编码，可表示 no shift、8、16、32。它约束可见复用请求，不提供命中保证或内部搬运周期。</w:t>
      </w:r>
    </w:p>
    <w:p>
      <w:pPr>
        <w:pStyle w:val="BodyText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.ws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的 zero-column mask 把 B 的指定列按零处理；非 block-scale 形式的 disable-output-lane 则抑制对应 D lane 的更新，CTA group 1/2 分别采用规定的 4/8 个 32-bit mask。二者不能合并成统一的“有效位”。[P1 §9.7.18.4.3、.10]</w:t>
      </w:r>
    </w:p>
    <w:bookmarkEnd w:id="77"/>
    <w:bookmarkStart w:id="78" w:name="Xd6e2692788f63c9b57b3ec598c69776a8faffcd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13.4 LUT B 解压缩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9.4 的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.decompress::lut::b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适用于规定的 f8f6f4/mxf8f6f4 普通 MMA 形式。SMEM 中 B 存的是 3-bit 索引，TMEM LUT 为每个规定的 8-column slice 提供 8 个候选 8-bit 值。解码后的 B 仅允许 E4M3，不能 transpose，并排除 layout B/C/F；该能力依赖 sm_107f 条件。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它不是一般熵解码器，不给任意 B 格式、任意压缩比例或任意 sparse mask 提供语义。LUT 的生命周期和数据可见性属于 MMA 输入契约。[P1 §9.7.18.10.8]</w:t>
      </w:r>
    </w:p>
    <w:bookmarkEnd w:id="78"/>
    <w:bookmarkStart w:id="79" w:name="X18fb653803060889e2bcf9997156c4fce8eaeb8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13.5 两份卷积专利提供什么信息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US20250060938A1 描述驻留 activation、shift 保留重叠子集并补入新数据的直接卷积序列；US20250077615A1 描述 weight-stationary 的直接卷积序列。两者支持在架构上讨论“选择驻留对象、移动窗口、补入缺失数据、执行矩阵操作、复用累加结果”的分工。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专利的 physical A-input/B-input 标签与 PTX 数学矩阵 A/B 不可未经映射就画等号。专利实施例中出现的 lane 数、collector、AGU、crossbar 或某周期供数安排不在本架构中固化，也不能据此宣称商品 GPU 必然采用同一微架构。独立权利要求与具体实施例的证据范围分开记录。[L2；L3]</w:t>
      </w:r>
    </w:p>
    <w:bookmarkEnd w:id="79"/>
    <w:bookmarkEnd w:id="80"/>
    <w:bookmarkStart w:id="89" w:name="X328be8da8b58f297a3dc2658e00906791a8eba6"/>
    <w:p>
      <w:bookmarkStart w:id="131" w:name="tcgen05_section_14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14. 异步执行、完成与内存顺序</w:t>
      </w:r>
      <w:bookmarkEnd w:id="131"/>
    </w:p>
    <w:p>
      <w:pPr>
        <w:pStyle w:val="CaptionedFigure"/>
        <w:keepNext/>
        <w:keepLines/>
        <w:widowControl/>
        <w:jc w:val="center"/>
      </w:pPr>
      <w:r>
        <w:rPr>
          <w:rFonts w:ascii="Noto Sans CJK SC" w:hAnsi="Noto Sans CJK SC" w:cs="Noto Sans CJK SC" w:eastAsia="Noto Sans CJK SC"/>
        </w:rPr>
        <w:drawing>
          <wp:inline>
            <wp:extent cx="6120000" cy="4249999"/>
            <wp:effectExtent b="0" l="0" r="0" t="0"/>
            <wp:docPr descr="图 5：普通完成、输入读取完成与 load 完成的不同责任。箭头表示依赖关系，不表示固定延迟。" title="" id="82" name="Picture"/>
            <a:graphic>
              <a:graphicData uri="http://schemas.openxmlformats.org/drawingml/2006/picture">
                <pic:pic>
                  <pic:nvPicPr>
                    <pic:cNvPr descr="figures/04_async_comple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2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widowControl/>
        <w:spacing w:after="180"/>
        <w:jc w:val="center"/>
      </w:pPr>
      <w:r>
        <w:rPr>
          <w:rFonts w:ascii="Noto Sans CJK SC" w:hAnsi="Noto Sans CJK SC" w:cs="Noto Sans CJK SC" w:eastAsia="Noto Sans CJK SC"/>
          <w:color w:val="52687B"/>
          <w:sz w:val="18"/>
        </w:rPr>
        <w:t xml:space="preserve">图 5：普通完成、输入读取完成与 load 完成的不同责任。箭头表示依赖关系，不表示固定延迟。</w:t>
      </w:r>
    </w:p>
    <w:bookmarkStart w:id="84" w:name="Xf68d4d35dad5113d41c5028d7c4d05ebdbd3f1a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14.1 两套完成机制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756"/>
        <w:gridCol w:w="3165"/>
        <w:gridCol w:w="3717"/>
      </w:tblGrid>
      <w:tr>
        <w:trPr>
          <w:tblHeader w:val="on"/>
          <w:cantSplit/>
        </w:trPr>
        <w:tc>
          <w:tcPr>
            <w:tcW w:type="dxa" w:w="275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操作对象</w:t>
            </w:r>
          </w:p>
        </w:tc>
        <w:tc>
          <w:tcPr>
            <w:tcW w:type="dxa" w:w="316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完成追踪</w:t>
            </w:r>
          </w:p>
        </w:tc>
        <w:tc>
          <w:tcPr>
            <w:tcW w:type="dxa" w:w="371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观察完成后可做的事情</w:t>
            </w:r>
          </w:p>
        </w:tc>
      </w:tr>
      <w:tr>
        <w:trPr>
          <w:cantSplit/>
        </w:trPr>
        <w:tc>
          <w:tcPr>
            <w:tcW w:type="dxa" w:w="27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本线程先前发射的 mma/cp/shift</w:t>
            </w:r>
          </w:p>
        </w:tc>
        <w:tc>
          <w:tcPr>
            <w:tcW w:type="dxa" w:w="31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commit 登记，mbarrier phase 完成等待</w:t>
            </w:r>
          </w:p>
        </w:tc>
        <w:tc>
          <w:tcPr>
            <w:tcW w:type="dxa" w:w="371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结合所需线程/proxy 顺序，消费相应结果或复用资源</w:t>
            </w:r>
          </w:p>
        </w:tc>
      </w:tr>
      <w:tr>
        <w:trPr>
          <w:cantSplit/>
        </w:trPr>
        <w:tc>
          <w:tcPr>
            <w:tcW w:type="dxa" w:w="27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本线程先前发射的 ld</w:t>
            </w:r>
          </w:p>
        </w:tc>
        <w:tc>
          <w:tcPr>
            <w:tcW w:type="dxa" w:w="31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wait::ld</w:t>
            </w:r>
          </w:p>
        </w:tc>
        <w:tc>
          <w:tcPr>
            <w:tcW w:type="dxa" w:w="371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规定的读取完成；处理反依赖与存储复用风险</w:t>
            </w:r>
          </w:p>
        </w:tc>
      </w:tr>
      <w:tr>
        <w:trPr>
          <w:cantSplit/>
        </w:trPr>
        <w:tc>
          <w:tcPr>
            <w:tcW w:type="dxa" w:w="275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本线程先前发射的 st</w:t>
            </w:r>
          </w:p>
        </w:tc>
        <w:tc>
          <w:tcPr>
            <w:tcW w:type="dxa" w:w="316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wait::st</w:t>
            </w:r>
          </w:p>
        </w:tc>
        <w:tc>
          <w:tcPr>
            <w:tcW w:type="dxa" w:w="371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规定的写入完成；再按依赖访问相应区域</w:t>
            </w:r>
          </w:p>
        </w:tc>
      </w:tr>
      <w:tr>
        <w:trPr>
          <w:cantSplit/>
        </w:trPr>
        <w:tc>
          <w:tcPr>
            <w:tcW w:type="dxa" w:w="275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 的 SMEM A 读取阶段</w:t>
            </w:r>
          </w:p>
        </w:tc>
        <w:tc>
          <w:tcPr>
            <w:tcW w:type="dxa" w:w="316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受限 commit 所关联的 mbarrier</w:t>
            </w:r>
          </w:p>
        </w:tc>
        <w:tc>
          <w:tcPr>
            <w:tcW w:type="dxa" w:w="371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仅证明相应输入读取完成，不能据此读取 D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commit 不阻塞等待所有矩阵计算结束；wait::ld/st 不追踪 MMA；fence 不等待结果，也不替代线程 barrier。mbarrier 的地址、phase、参与计数和作用域必须与所等待的事件对应。对错误 phase 或无关 barrier 的成功观察不能证明本次工作完成。</w:t>
      </w:r>
    </w:p>
    <w:bookmarkEnd w:id="84"/>
    <w:bookmarkStart w:id="85" w:name="Xb3bb71648b88b9bb00ec7fa7578df71254282ce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14.2 有保证的 pipelined 指令关系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规范只对指定配对给出顺序保证：[P1 §9.7.18.6.2]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4289"/>
        <w:gridCol w:w="5349"/>
      </w:tblGrid>
      <w:tr>
        <w:trPr>
          <w:tblHeader w:val="on"/>
          <w:cantSplit/>
        </w:trPr>
        <w:tc>
          <w:tcPr>
            <w:tcW w:type="dxa" w:w="428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前项→后项</w:t>
            </w:r>
          </w:p>
        </w:tc>
        <w:tc>
          <w:tcPr>
            <w:tcW w:type="dxa" w:w="534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附加条件</w:t>
            </w:r>
          </w:p>
        </w:tc>
      </w:tr>
      <w:tr>
        <w:trPr>
          <w:cantSplit/>
        </w:trPr>
        <w:tc>
          <w:tcPr>
            <w:tcW w:type="dxa" w:w="4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mma→mma</w:t>
            </w:r>
          </w:p>
        </w:tc>
        <w:tc>
          <w:tcPr>
            <w:tcW w:type="dxa" w:w="53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相同 CTA group、accumulator、shape、kind</w:t>
            </w:r>
          </w:p>
        </w:tc>
      </w:tr>
      <w:tr>
        <w:trPr>
          <w:cantSplit/>
        </w:trPr>
        <w:tc>
          <w:tcPr>
            <w:tcW w:type="dxa" w:w="4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cp→mma</w:t>
            </w:r>
          </w:p>
        </w:tc>
        <w:tc>
          <w:tcPr>
            <w:tcW w:type="dxa" w:w="53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相同 CTA group</w:t>
            </w:r>
          </w:p>
        </w:tc>
      </w:tr>
      <w:tr>
        <w:trPr>
          <w:cantSplit/>
        </w:trPr>
        <w:tc>
          <w:tcPr>
            <w:tcW w:type="dxa" w:w="4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shift→mma</w:t>
            </w:r>
          </w:p>
        </w:tc>
        <w:tc>
          <w:tcPr>
            <w:tcW w:type="dxa" w:w="53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相同 CTA group</w:t>
            </w:r>
          </w:p>
        </w:tc>
      </w:tr>
      <w:tr>
        <w:trPr>
          <w:cantSplit/>
        </w:trPr>
        <w:tc>
          <w:tcPr>
            <w:tcW w:type="dxa" w:w="428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shift→cp.4x256b</w:t>
            </w:r>
          </w:p>
        </w:tc>
        <w:tc>
          <w:tcPr>
            <w:tcW w:type="dxa" w:w="534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相同 CTA group</w:t>
            </w:r>
          </w:p>
        </w:tc>
      </w:tr>
      <w:tr>
        <w:trPr>
          <w:cantSplit/>
        </w:trPr>
        <w:tc>
          <w:tcPr>
            <w:tcW w:type="dxa" w:w="428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mma→shift</w:t>
            </w:r>
          </w:p>
        </w:tc>
        <w:tc>
          <w:tcPr>
            <w:tcW w:type="dxa" w:w="534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相同 CTA group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commit 与它追踪的 mma/cp/shift、wait 与对应 ld/st 还有 implicit pipeline 关系。其余组合不能从“同一 thread 按程序顺序发射”推导天然按序完成。跨线程形成这些关系时还必须建立正确的线程间顺序。</w:t>
      </w:r>
    </w:p>
    <w:bookmarkEnd w:id="85"/>
    <w:bookmarkStart w:id="86" w:name="Xacf85405e4dfa20b0567bb2350cfea58f335013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14.3 线程间顺序</w:t>
      </w:r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fence::before_thread_sync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把之前的 tcgen05 操作与后续执行顺序操作连接；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fence::after_thread_sync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把之后的 tcgen05 操作与此前同步连接。它们与 barrier、mbarrier 或规范允许的其他 execution-ordering 操作组合，才能在不同线程之间建立所需顺序。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例如由一个 thread 发射 MMA，另一个 warp 读取 D，通常需要：发射者 commit 登记完成；消费者正确等待相应 mbarrier phase；消费者执行相应 after_thread_sync；然后 collective ld 并遵守 ld 完成规则。不能只在发射 thread 执行 fence，就认为所有消费者已同步。[P1 §9.7.18.6.3–.4]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tcgen05.ld 的真实 register dependency 会被尊重，但这不自动为任意后续 memory access、反依赖或 TMEM 复用建立顺序。此类风险仍需 wait::ld 和规范要求的同步。</w:t>
      </w:r>
    </w:p>
    <w:bookmarkEnd w:id="86"/>
    <w:bookmarkStart w:id="87" w:name="X784baa2e264694c3a07eb02810118fd0cad921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14.4 proxy 与 SMEM 供数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tcgen05.mma/cp 的 SMEM 访问属于 async proxy。generic proxy 的 SMEM 写入、TMA 的数据到达和 Tensor 的输入读取之间，必须依据 producer 路径建立正确可见性；需要时使用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fence.proxy.async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等机制。</w:t>
      </w:r>
      <w:r>
        <w:rPr>
          <w:rFonts w:ascii="Noto Sans CJK SC" w:hAnsi="Noto Sans CJK SC" w:cs="Noto Sans CJK SC" w:eastAsia="Noto Sans CJK SC"/>
          <w:b/>
          <w:bCs/>
        </w:rPr>
        <w:t xml:space="preserve">TMA 完成、跨 proxy 可见、MMA 完成是三个不同条件。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commit 访问 mbarrier 使用 generic proxy。multicast commit 在目标 CTA 的 SMEM 相同 offset 作用于对应 barrier；它不是将 D 结果复制到多个 CTA。默认 ctaMask 为 16-bit，显式 32-bit 形式受 sm_107f 条件限制。[P1 §9.7.18.6.5、.12]</w:t>
      </w:r>
    </w:p>
    <w:bookmarkEnd w:id="87"/>
    <w:bookmarkStart w:id="88" w:name="Xbc6b507efbf1e56808a55b1f0ec97447905cdac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14.5 只跟踪 A 读取的受限 commit</w:t>
      </w:r>
    </w:p>
    <w:p>
      <w:pPr>
        <w:pStyle w:val="FirstParagraph"/>
        <w:widowControl/>
      </w:pP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.sync_restrict::shared::read::mma::a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在先前相关 MMA 对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  <w:b/>
          <w:bCs/>
        </w:rPr>
        <w:t xml:space="preserve">SMEM A 的读取完成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时产生相应完成通知。这个事件可帮助确定何时复用 A 的 SMEM 区域；它不证明 B 已不再读取、D 已生成、MMA 已全部结束，或 TMEM 已可释放。消费者仍要观察普通的整体完成条件。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该能力由 9.4 引入且受 sm_107f 同 family 条件限制。原规范对 commit 的“同步类别”和“异步完成”使用不同层次术语，项目必须把“发射已执行”和“被追踪事件已完成”分别表示。[P1 §9.7.18.12.1，PDF844–846/印832–834]</w:t>
      </w:r>
    </w:p>
    <w:bookmarkEnd w:id="88"/>
    <w:bookmarkEnd w:id="89"/>
    <w:bookmarkStart w:id="95" w:name="X0ea967eb332754fea31a80c428551e83a3ab09a"/>
    <w:p>
      <w:bookmarkStart w:id="132" w:name="tcgen05_section_15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15. 架构级操作流程与示例</w:t>
      </w:r>
      <w:bookmarkEnd w:id="132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以下是依赖与对象的示例，不是可直接汇编的 PTX，也不规定线程调度和流水组织。具体 barrier/proxy 操作可依据合法 pipeline 关系简化，但不能省略对应责任。</w:t>
      </w:r>
    </w:p>
    <w:bookmarkStart w:id="90" w:name="X71d41dbc961366f6fba194c0540364a917267bc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15.1 单 CTA dense F16，M128×N64×K16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cs="Noto Sans CJK SC" w:eastAsia="Noto Sans CJK SC"/>
        </w:rPr>
        <w:t xml:space="preserve">一 warp 申请满足 D 和其他 TMEM 对象布局需求的列数；发布 alloc 返回地址，并正确初始化及发布随后使用的 barrier 对象。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cs="Noto Sans CJK SC" w:eastAsia="Noto Sans CJK SC"/>
        </w:rPr>
        <w:t xml:space="preserve">producer 把 A128×16 和 B16×64 准备到 SMEM，建立 Tensor 读取所需可见性；构造合法矩阵描述符和 f16 idesc。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cs="Noto Sans CJK SC" w:eastAsia="Noto Sans CJK SC"/>
        </w:rPr>
        <w:t xml:space="preserve">D 类型选择 F32，首次操作令 enable-input-d=false；若需要非零 C，先按 D 布局建立 D_old，再用 true。例如经 st 初始化时，须完成 wait::st 及使用者之间所需同步。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cs="Noto Sans CJK SC" w:eastAsia="Noto Sans CJK SC"/>
        </w:rPr>
        <w:t xml:space="preserve">合法发射 thread 发起 MMA；为后续结果消费登记 commit 和关联 mbarrier。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cs="Noto Sans CJK SC" w:eastAsia="Noto Sans CJK SC"/>
        </w:rPr>
        <w:t xml:space="preserve">consumer 等待正确 phase，建立跨线程 tcgen05 顺序；按 layout D 和各 warp 权限读取 TMEM。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SC" w:hAnsi="Noto Sans CJK SC" w:cs="Noto Sans CJK SC" w:eastAsia="Noto Sans CJK SC"/>
        </w:rPr>
        <w:t xml:space="preserve">collective ld 后遵守 wait::ld/依赖规则再用寄存器结果。完成所有 TMEM 访问后 matching dealloc，再退出。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单条数学运算量按普通 dense 计数为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2×128×64×16=262144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浮点操作。这是数学工作量，不是 cycle 数或物理单元数；若比较带独立 C 的精确计数，应统一统计约定。</w:t>
      </w:r>
    </w:p>
    <w:bookmarkEnd w:id="90"/>
    <w:bookmarkStart w:id="91" w:name="X029384a80504cfb063cd4367113b6e94c1135f1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15.2 FP4 + scale，M128×N64×K64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选择有相应 capability 的 mxf4nvf4 形式，A/B 为 E2M1，D 为 F32。A/B 格式、scale type 和 block 配置分别记录：UE8M0+BLOCK32 时，A 每行和 B 每列沿 K 分别需要两组逻辑 scale；BLOCK16 时分别需要四组。若选择 UE5M3，须先确认对应 sm_107f 目标支持。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准备 scale 矩阵的 TMEM layout 和所需复制，再准备 A/B 与 idesc。MMA 发射前，数据、scale 和 descriptor 必须引用同一逻辑 tile。不能用“FP4 模式”隐含 scale 格式，也不能由一个 beat 的长度推断 block size。完成和资源释放责任与 dense 流程一致。</w:t>
      </w:r>
    </w:p>
    <w:bookmarkEnd w:id="91"/>
    <w:bookmarkStart w:id="92" w:name="Xd148bfb2967dd38fce6d640446344606205ad8f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15.3 CTA pair，M256×N128×K16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选择 f16、CTA group 2 和对应 layout A。even/odd 两个 CTA 先满足 cluster 配对与 active 条件；各一 warp 联合 alloc，双方建立所需输入与地址可见性。一个合法 thread 发射 pair MMA，不能两侧误发两次。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结果及相关 TMEM 访问按两侧布局组织。用于通知的 barrier/multicast 必须覆盖实际消费者。两侧完成所有访问并建立释放前同步后，各自参与联合 dealloc。不得让一侧提前退出或在另一侧仍访问时释放。</w:t>
      </w:r>
    </w:p>
    <w:bookmarkEnd w:id="92"/>
    <w:bookmarkStart w:id="93" w:name="X5d00b45863d332f5f208b60fa225ea6c0c376d7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15.4 Ti16 与整数路径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对支持 kind::ti16 的目标，可选择 M128×N64×K16、A/B 为 S1Z4M11、D 为 S32。架构层能确定类型、shape 和数学范围；在 raw 编码依据补足前，项目不能声称已经把该原生指令完整接入现有 decoded-Ti16 MALU。i8 的 S8/U8 则按各自 idesc signedness 解释，不与 Ti16 混成任意整型互转。</w:t>
      </w:r>
    </w:p>
    <w:bookmarkEnd w:id="93"/>
    <w:bookmarkStart w:id="94" w:name="Xea7733183d392f1ed08a070c4d8cb1759fd8175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15.5 卷积滑窗与驻留数据复用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先选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.ws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或默认 stationarity，再确定矩阵 A/B 与卷积 activation/weight 的映射。驻留对象保持规范要求的有效性；每个滑窗步骤通过合法 shift/cp/collector 操作保留重叠数据、补入缺失部分，并发起下一 MMA。D_old 可以承接前序累加结果。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这种序列解释了数据复用的架构价值，但不指定 local buffer 数量、AGU 数目或“每周期补一列”的实现。完成依赖仍按第 14 节分别处理，不能因复用而省略输入保护。</w:t>
      </w:r>
    </w:p>
    <w:bookmarkEnd w:id="94"/>
    <w:bookmarkEnd w:id="95"/>
    <w:bookmarkStart w:id="96" w:name="Xb4c5d4a99b460cd43dba4cbfdca64e37f8780fd"/>
    <w:p>
      <w:bookmarkStart w:id="133" w:name="tcgen05_section_16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16. 面向本项目的架构接口契约</w:t>
      </w:r>
      <w:bookmarkEnd w:id="133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以下是逻辑信息和责任，不是 RTL 信号表，不规定字段位宽、总线拍数或握手协议。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127"/>
        <w:gridCol w:w="4036"/>
        <w:gridCol w:w="3474"/>
      </w:tblGrid>
      <w:tr>
        <w:trPr>
          <w:tblHeader w:val="on"/>
          <w:cantSplit/>
        </w:trPr>
        <w:tc>
          <w:tcPr>
            <w:tcW w:type="dxa" w:w="2127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逻辑接口</w:t>
            </w:r>
          </w:p>
        </w:tc>
        <w:tc>
          <w:tcPr>
            <w:tcW w:type="dxa" w:w="403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必须携带或保持的上下文</w:t>
            </w:r>
          </w:p>
        </w:tc>
        <w:tc>
          <w:tcPr>
            <w:tcW w:type="dxa" w:w="347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完成/责任</w:t>
            </w:r>
          </w:p>
        </w:tc>
      </w:tr>
      <w:tr>
        <w:trPr>
          <w:cantSplit/>
        </w:trPr>
        <w:tc>
          <w:tcPr>
            <w:tcW w:type="dxa" w:w="21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核心执行→Tensor 命令</w:t>
            </w:r>
          </w:p>
        </w:tc>
        <w:tc>
          <w:tcPr>
            <w:tcW w:type="dxa" w:w="40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opcode/form、target capability、CTA/peer、group、kind、shape、descriptor 引用</w:t>
            </w:r>
          </w:p>
        </w:tc>
        <w:tc>
          <w:tcPr>
            <w:tcW w:type="dxa" w:w="347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指令参与者合法；区分发射与完成</w:t>
            </w:r>
          </w:p>
        </w:tc>
      </w:tr>
      <w:tr>
        <w:trPr>
          <w:cantSplit/>
        </w:trPr>
        <w:tc>
          <w:tcPr>
            <w:tcW w:type="dxa" w:w="21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Tensor→资源管理</w:t>
            </w:r>
          </w:p>
        </w:tc>
        <w:tc>
          <w:tcPr>
            <w:tcW w:type="dxa" w:w="40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owner、allocation 列数、exclusive、permit、生命周期</w:t>
            </w:r>
          </w:p>
        </w:tc>
        <w:tc>
          <w:tcPr>
            <w:tcW w:type="dxa" w:w="347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防止越权、释放后访问和 peer 提前退出</w:t>
            </w:r>
          </w:p>
        </w:tc>
      </w:tr>
      <w:tr>
        <w:trPr>
          <w:cantSplit/>
        </w:trPr>
        <w:tc>
          <w:tcPr>
            <w:tcW w:type="dxa" w:w="21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供数→矩阵运算</w:t>
            </w:r>
          </w:p>
        </w:tc>
        <w:tc>
          <w:tcPr>
            <w:tcW w:type="dxa" w:w="40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A/B 数据及坐标、旧 D、AB/D 格式、scale 数据/类型/block、metadata、mask</w:t>
            </w:r>
          </w:p>
        </w:tc>
        <w:tc>
          <w:tcPr>
            <w:tcW w:type="dxa" w:w="347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数据与配置属于同一 tile，已满足可见性</w:t>
            </w:r>
          </w:p>
        </w:tc>
      </w:tr>
      <w:tr>
        <w:trPr>
          <w:cantSplit/>
        </w:trPr>
        <w:tc>
          <w:tcPr>
            <w:tcW w:type="dxa" w:w="21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矩阵运算→MALU</w:t>
            </w:r>
          </w:p>
        </w:tc>
        <w:tc>
          <w:tcPr>
            <w:tcW w:type="dxa" w:w="40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逻辑 dot 的 A/B、正式 C、数值格式及匹配 scale</w:t>
            </w:r>
          </w:p>
        </w:tc>
        <w:tc>
          <w:tcPr>
            <w:tcW w:type="dxa" w:w="347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MALU 只执行 dot；不负责解释全部 TMEM/SMEM 描述符</w:t>
            </w:r>
          </w:p>
        </w:tc>
      </w:tr>
      <w:tr>
        <w:trPr>
          <w:cantSplit/>
        </w:trPr>
        <w:tc>
          <w:tcPr>
            <w:tcW w:type="dxa" w:w="2127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Tensor→完成观察</w:t>
            </w:r>
          </w:p>
        </w:tc>
        <w:tc>
          <w:tcPr>
            <w:tcW w:type="dxa" w:w="403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操作归属、被追踪事件、barrier/phase 或 load/store 类别</w:t>
            </w:r>
          </w:p>
        </w:tc>
        <w:tc>
          <w:tcPr>
            <w:tcW w:type="dxa" w:w="347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输入读取完成、结果完成、读取完成不可混用</w:t>
            </w:r>
          </w:p>
        </w:tc>
      </w:tr>
      <w:tr>
        <w:trPr>
          <w:cantSplit/>
        </w:trPr>
        <w:tc>
          <w:tcPr>
            <w:tcW w:type="dxa" w:w="2127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结果→消费者</w:t>
            </w:r>
          </w:p>
        </w:tc>
        <w:tc>
          <w:tcPr>
            <w:tcW w:type="dxa" w:w="403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 的布局/类型和所属 tile，合法访问范围</w:t>
            </w:r>
          </w:p>
        </w:tc>
        <w:tc>
          <w:tcPr>
            <w:tcW w:type="dxa" w:w="347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consumer 建立顺序并完成读取后，才能覆盖或释放相关资源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原生 ISA legalizer 应位于能看到完整 kind/shape/target 的架构边界，而不能仅依赖 MALU 的数值格式检查。项目当前 MALU 接受的混合类型、独立 C/D、FP64、INT4、B1 等更广配置，不代表 Tensor 前端必须或可以把它们编码成 tcgen05。[J1]</w:t>
      </w:r>
    </w:p>
    <w:bookmarkEnd w:id="96"/>
    <w:bookmarkStart w:id="99" w:name="Xd9892111556485fcaa6669e55b09c7a4c7bf0e3"/>
    <w:p>
      <w:bookmarkStart w:id="134" w:name="tcgen05_section_17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17. 性能架构、资源复用与 Rubin 目标</w:t>
      </w:r>
      <w:bookmarkEnd w:id="134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架构层可以定义工作量、格式能力、驻留复用机会、数据需求和产品目标；不能从 PTX shape 推导 latency、initiation interval、频率、乘法器数量或每周期 dot 数。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资源复用首先体现在同一 A/B tile、scale、metadata 和 D_old 可以服务多个合法操作，以及 collector、shift、cp 减少重复搬运的机会。后续微架构可选择共享计算资源或提高并发度，但必须维持本文的数值、生命周期和顺序契约。当前 MALU 的串行共享乘法与逐字累加只是一个项目实现，不约束未来 Tensor 必须采用同一结构。</w:t>
      </w:r>
    </w:p>
    <w:bookmarkStart w:id="97" w:name="X4606d2d4065981bf64e537aafa6627e4db7afe9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17.1 Rubin 产品目标与 ISA 合法性分开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既有核验取得的 NVIDIA Rubin 单 GPU 规格采用下表口径；不是本项目实测，也不是从 PTX 推导。[N3；R1]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4260"/>
        <w:gridCol w:w="2858"/>
        <w:gridCol w:w="2520"/>
      </w:tblGrid>
      <w:tr>
        <w:trPr>
          <w:tblHeader w:val="on"/>
          <w:cantSplit/>
        </w:trPr>
        <w:tc>
          <w:tcPr>
            <w:tcW w:type="dxa" w:w="426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格式/用途</w:t>
            </w:r>
          </w:p>
        </w:tc>
        <w:tc>
          <w:tcPr>
            <w:tcW w:type="dxa" w:w="285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官方单 GPU 值</w:t>
            </w:r>
          </w:p>
        </w:tc>
        <w:tc>
          <w:tcPr>
            <w:tcW w:type="dxa" w:w="252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对 FP16/BF16 归一化</w:t>
            </w:r>
          </w:p>
        </w:tc>
      </w:tr>
      <w:tr>
        <w:trPr>
          <w:cantSplit/>
        </w:trPr>
        <w:tc>
          <w:tcPr>
            <w:tcW w:type="dxa" w:w="42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TF32 dense</w:t>
            </w:r>
          </w:p>
        </w:tc>
        <w:tc>
          <w:tcPr>
            <w:tcW w:type="dxa" w:w="28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2 PFLOPS</w:t>
            </w:r>
          </w:p>
        </w:tc>
        <w:tc>
          <w:tcPr>
            <w:tcW w:type="dxa" w:w="25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42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FP16/BF16 dense</w:t>
            </w:r>
          </w:p>
        </w:tc>
        <w:tc>
          <w:tcPr>
            <w:tcW w:type="dxa" w:w="28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 PFLOPS</w:t>
            </w:r>
          </w:p>
        </w:tc>
        <w:tc>
          <w:tcPr>
            <w:tcW w:type="dxa" w:w="25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FP8/FP6 Training dense</w:t>
            </w:r>
          </w:p>
        </w:tc>
        <w:tc>
          <w:tcPr>
            <w:tcW w:type="dxa" w:w="28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17.5 PFLOPS</w:t>
            </w:r>
          </w:p>
        </w:tc>
        <w:tc>
          <w:tcPr>
            <w:tcW w:type="dxa" w:w="25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4.375</w:t>
            </w:r>
          </w:p>
        </w:tc>
      </w:tr>
      <w:tr>
        <w:trPr>
          <w:cantSplit/>
        </w:trPr>
        <w:tc>
          <w:tcPr>
            <w:tcW w:type="dxa" w:w="426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NVFP4 Training dense</w:t>
            </w:r>
          </w:p>
        </w:tc>
        <w:tc>
          <w:tcPr>
            <w:tcW w:type="dxa" w:w="28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35 PFLOPS</w:t>
            </w:r>
          </w:p>
        </w:tc>
        <w:tc>
          <w:tcPr>
            <w:tcW w:type="dxa" w:w="252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8.75</w:t>
            </w:r>
          </w:p>
        </w:tc>
      </w:tr>
      <w:tr>
        <w:trPr>
          <w:cantSplit/>
        </w:trPr>
        <w:tc>
          <w:tcPr>
            <w:tcW w:type="dxa" w:w="426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NVFP4 Inference sparse</w:t>
            </w:r>
          </w:p>
        </w:tc>
        <w:tc>
          <w:tcPr>
            <w:tcW w:type="dxa" w:w="28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50 PFLOPS</w:t>
            </w:r>
          </w:p>
        </w:tc>
        <w:tc>
          <w:tcPr>
            <w:tcW w:type="dxa" w:w="252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righ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单列，不混入上述 dense 比例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这些产品值不能补全 Ti16、I8、每个 scale/BLOCK 组合的吞吐，也不能证明某个 sm_107 target 就是 Rubin。未来性能分配还需给出明确的合法 tuple、dense/sparse、训练/推理、计数口径和可达带宽。本文不把目标比写成当前 RTL 已实现的性能。</w:t>
      </w:r>
    </w:p>
    <w:bookmarkEnd w:id="97"/>
    <w:bookmarkStart w:id="98" w:name="X093a54bb7ee3994920728f7c3f3727dfa63bfb3"/>
    <w:p>
      <w:pPr>
        <w:pStyle w:val="Heading2"/>
        <w:widowControl/>
      </w:pPr>
      <w:r>
        <w:rPr>
          <w:rFonts w:ascii="Noto Sans CJK SC" w:hAnsi="Noto Sans CJK SC" w:cs="Noto Sans CJK SC" w:eastAsia="Noto Sans CJK SC"/>
        </w:rPr>
        <w:t xml:space="preserve">17.2 架构级数据需求与复用评估</w:t>
      </w:r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对一个 dense tile，A/B 的逻辑元素数分别为 MK、KN，D 为 MN。若输入有效位宽为 bA/bB，则未计布局与复用的有效输入位数为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MK×bA + KN×bB</w:t>
      </w:r>
      <w:r>
        <w:rPr>
          <w:rFonts w:ascii="Noto Sans CJK SC" w:hAnsi="Noto Sans CJK SC" w:cs="Noto Sans CJK SC" w:eastAsia="Noto Sans CJK SC"/>
        </w:rPr>
        <w:t xml:space="preserve">。这只是数据量下界，实际 TMEM/SMEM 占用还受 padding、D 的 32-bit cell 布局、scale 复制、metadata 和 32 列分配粒度影响。不能直接用有效位数除八充当实际 TMEM allocation。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dense 分组下 scale 的逻辑项数分别为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M×ceil(K/B)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Fonts w:ascii="Noto Sans CJK SC" w:hAnsi="Noto Sans CJK SC" w:cs="Noto Sans CJK SC" w:eastAsia="Noto Sans CJK SC"/>
        </w:rPr>
        <w:t xml:space="preserve">和</w:t>
      </w:r>
      <w:r>
        <w:rPr>
          <w:rFonts w:ascii="Noto Sans CJK SC" w:hAnsi="Noto Sans CJK SC" w:cs="Noto Sans CJK SC" w:eastAsia="Noto Sans CJK SC"/>
        </w:rPr>
        <w:t xml:space="preserve"> 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ceil(K/B)×N</w:t>
      </w:r>
      <w:r>
        <w:rPr>
          <w:rFonts w:ascii="Noto Sans CJK SC" w:hAnsi="Noto Sans CJK SC" w:cs="Noto Sans CJK SC" w:eastAsia="Noto Sans CJK SC"/>
        </w:rPr>
        <w:t xml:space="preserve">，其中 B 为 block size；对不完整组和 sparse 模式须遵守具体指令规定。一个 A tile 服务多个 N tile、一个 B tile 服务多个 M tile、D 在连续 K tile 间留驻，分别对应输入复用与累加复用机会。collector/shift/cp 提供其中部分可见机制，但实际命中率和带宽节省必须测量。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因此性能架构需要分别约束“数值工作量、数据供给、TMEM 容量/所有权、可见依赖”四项。只有在 workload 和真实实现明确后，才能把它们转成端口宽度、并发队列或计算实例数；这些转化属于后续微架构。</w:t>
      </w:r>
    </w:p>
    <w:bookmarkEnd w:id="98"/>
    <w:bookmarkEnd w:id="99"/>
    <w:bookmarkStart w:id="100" w:name="Xda7393d459c5eb192b81aefdf24f349345c09bc"/>
    <w:p>
      <w:bookmarkStart w:id="135" w:name="tcgen05_section_18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18. 架构验证与验收清单</w:t>
      </w:r>
      <w:bookmarkEnd w:id="135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这里定义需要验证的可观察行为，不指定 testbench 类层次或内部断言实现。当前 MALU 的三轮验证仅证明其已列出的功能，不能当作完整 Tensor 验收。[J1]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982"/>
        <w:gridCol w:w="3926"/>
        <w:gridCol w:w="3729"/>
      </w:tblGrid>
      <w:tr>
        <w:trPr>
          <w:tblHeader w:val="on"/>
          <w:cantSplit/>
        </w:trPr>
        <w:tc>
          <w:tcPr>
            <w:tcW w:type="dxa" w:w="1982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验证域</w:t>
            </w:r>
          </w:p>
        </w:tc>
        <w:tc>
          <w:tcPr>
            <w:tcW w:type="dxa" w:w="392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主要检查对象</w:t>
            </w:r>
          </w:p>
        </w:tc>
        <w:tc>
          <w:tcPr>
            <w:tcW w:type="dxa" w:w="372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capability / legal tuple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kind、类型、M/N/K、ws、group、scale、sparse、target</w:t>
            </w:r>
          </w:p>
        </w:tc>
        <w:tc>
          <w:tcPr>
            <w:tcW w:type="dxa" w:w="37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接受合法组合；对非法组合按项目边界阻止执行，不编造 PTX trap 语义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生命周期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alloc/exclusive/permit、列数、ownership、释放后访问</w:t>
            </w:r>
          </w:p>
        </w:tc>
        <w:tc>
          <w:tcPr>
            <w:tcW w:type="dxa" w:w="372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满足资源约束、双边参与和退出条件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地址与布局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地址、SMEM descriptor、A–G、packing、alignment</w:t>
            </w:r>
          </w:p>
        </w:tc>
        <w:tc>
          <w:tcPr>
            <w:tcW w:type="dxa" w:w="37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逻辑矩阵与存储/寄存器映射一致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矩阵数学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dense、enable-input-d、D 缩放、signedness、特殊值</w:t>
            </w:r>
          </w:p>
        </w:tc>
        <w:tc>
          <w:tcPr>
            <w:tcW w:type="dxa" w:w="372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与明示的 ISA/profile 合约一致；设备 bit-match 单独验收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 scaling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格式、16/32、K 索引、scale ID/布局/复制</w:t>
            </w:r>
          </w:p>
        </w:tc>
        <w:tc>
          <w:tcPr>
            <w:tcW w:type="dxa" w:w="37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不漏 scale、不串 tile；非法交叉组合不执行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sparsity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logical K、压缩 A、metadata、版本、位置恢复</w:t>
            </w:r>
          </w:p>
        </w:tc>
        <w:tc>
          <w:tcPr>
            <w:tcW w:type="dxa" w:w="372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还原逻辑矩阵正确，不接受未经定义的 metadata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数据移动与变换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ld/st/cp/shift、red、spcompress、LUT</w:t>
            </w:r>
          </w:p>
        </w:tc>
        <w:tc>
          <w:tcPr>
            <w:tcW w:type="dxa" w:w="37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片段、packing、metadata 和结果语义符合所选形式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复用与输入保护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collector、ws、ashift、B zero mask、write-disable</w:t>
            </w:r>
          </w:p>
        </w:tc>
        <w:tc>
          <w:tcPr>
            <w:tcW w:type="dxa" w:w="372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可观察结果正确；未把 opportunistic reuse 误当提前覆盖许可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异步与同步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同线程/跨线程 pipeline、commit/wait/fence、phase、proxy</w:t>
            </w:r>
          </w:p>
        </w:tc>
        <w:tc>
          <w:tcPr>
            <w:tcW w:type="dxa" w:w="37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无提前读结果、提前改输入或释放；各完成域不可混用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CTA pair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rank 配对、peer active、联合 alloc/dealloc、双边消费</w:t>
            </w:r>
          </w:p>
        </w:tc>
        <w:tc>
          <w:tcPr>
            <w:tcW w:type="dxa" w:w="372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不重复发射，不提前退出，无释放竞态</w:t>
            </w:r>
          </w:p>
        </w:tc>
      </w:tr>
      <w:tr>
        <w:trPr>
          <w:cantSplit/>
        </w:trPr>
        <w:tc>
          <w:tcPr>
            <w:tcW w:type="dxa" w:w="1982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性能声明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工作量、统计口径、实际运行或综合证据</w:t>
            </w:r>
          </w:p>
        </w:tc>
        <w:tc>
          <w:tcPr>
            <w:tcW w:type="dxa" w:w="372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产品目标、架构预算、RTL测量分别标记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PTX 对某些非法输入定义 undefined behavior，并未承诺统一错误码或异常中断。项目可以在入口添加诊断/拒绝机制，但必须标为项目策略，不能把 MALU 的 BAD_CFG/UNSUPPORTED 状态描述成 PTX 原生异常。</w:t>
      </w:r>
    </w:p>
    <w:bookmarkEnd w:id="100"/>
    <w:bookmarkStart w:id="101" w:name="Xf066e2a4069034c355e9488255226668000de96"/>
    <w:p>
      <w:bookmarkStart w:id="136" w:name="tcgen05_section_19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19. 待决事项与后续微架构输入</w:t>
      </w:r>
      <w:bookmarkEnd w:id="136"/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2238"/>
        <w:gridCol w:w="3745"/>
        <w:gridCol w:w="3655"/>
      </w:tblGrid>
      <w:tr>
        <w:trPr>
          <w:tblHeader w:val="on"/>
          <w:cantSplit/>
        </w:trPr>
        <w:tc>
          <w:tcPr>
            <w:tcW w:type="dxa" w:w="223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事项</w:t>
            </w:r>
          </w:p>
        </w:tc>
        <w:tc>
          <w:tcPr>
            <w:tcW w:type="dxa" w:w="374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已确定</w:t>
            </w:r>
          </w:p>
        </w:tc>
        <w:tc>
          <w:tcPr>
            <w:tcW w:type="dxa" w:w="3655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本版保留的缺口</w:t>
            </w:r>
          </w:p>
        </w:tc>
      </w:tr>
      <w:tr>
        <w:trPr>
          <w:cantSplit/>
        </w:trPr>
        <w:tc>
          <w:tcPr>
            <w:tcW w:type="dxa" w:w="22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 raw 编码</w:t>
            </w:r>
          </w:p>
        </w:tc>
        <w:tc>
          <w:tcPr>
            <w:tcW w:type="dxa" w:w="37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正式类型、16-bit 容器、范围、S32 D、target/shape</w:t>
            </w:r>
          </w:p>
        </w:tc>
        <w:tc>
          <w:tcPr>
            <w:tcW w:type="dxa" w:w="36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完整逐 bit 编码与转换依据</w:t>
            </w:r>
          </w:p>
        </w:tc>
      </w:tr>
      <w:tr>
        <w:trPr>
          <w:cantSplit/>
        </w:trPr>
        <w:tc>
          <w:tcPr>
            <w:tcW w:type="dxa" w:w="22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Ti16 transpose</w:t>
            </w:r>
          </w:p>
        </w:tc>
        <w:tc>
          <w:tcPr>
            <w:tcW w:type="dxa" w:w="37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表 53 与表 64 有相关字段/能力描述</w:t>
            </w:r>
          </w:p>
        </w:tc>
        <w:tc>
          <w:tcPr>
            <w:tcW w:type="dxa" w:w="36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两表不一致，需官方勘误或明确实验依据</w:t>
            </w:r>
          </w:p>
        </w:tc>
      </w:tr>
      <w:tr>
        <w:trPr>
          <w:cantSplit/>
        </w:trPr>
        <w:tc>
          <w:tcPr>
            <w:tcW w:type="dxa" w:w="22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sparse metadata</w:t>
            </w:r>
          </w:p>
        </w:tc>
        <w:tc>
          <w:tcPr>
            <w:tcW w:type="dxa" w:w="37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各 kind 结构和 target version 有规定</w:t>
            </w:r>
          </w:p>
        </w:tc>
        <w:tc>
          <w:tcPr>
            <w:tcW w:type="dxa" w:w="36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上传原文特殊枚举需精确核查，不凭常识删改</w:t>
            </w:r>
          </w:p>
        </w:tc>
      </w:tr>
      <w:tr>
        <w:trPr>
          <w:cantSplit/>
        </w:trPr>
        <w:tc>
          <w:tcPr>
            <w:tcW w:type="dxa" w:w="22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scale alias 与 K</w:t>
            </w:r>
          </w:p>
        </w:tc>
        <w:tc>
          <w:tcPr>
            <w:tcW w:type="dxa" w:w="37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BLOCK16/32 与表 70 特例明确</w:t>
            </w:r>
          </w:p>
        </w:tc>
        <w:tc>
          <w:tcPr>
            <w:tcW w:type="dxa" w:w="36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历史 alias、dense/sparse K 口径重叠处继续澄清</w:t>
            </w:r>
          </w:p>
        </w:tc>
      </w:tr>
      <w:tr>
        <w:trPr>
          <w:cantSplit/>
        </w:trPr>
        <w:tc>
          <w:tcPr>
            <w:tcW w:type="dxa" w:w="22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target→产品映射</w:t>
            </w:r>
          </w:p>
        </w:tc>
        <w:tc>
          <w:tcPr>
            <w:tcW w:type="dxa" w:w="37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已查到 B200/GB200、B300/GB300 官方 CC 信息</w:t>
            </w:r>
          </w:p>
        </w:tc>
        <w:tc>
          <w:tcPr>
            <w:tcW w:type="dxa" w:w="36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没有据此证明 sm_107 与 Rubin 的映射</w:t>
            </w:r>
          </w:p>
        </w:tc>
      </w:tr>
      <w:tr>
        <w:trPr>
          <w:cantSplit/>
        </w:trPr>
        <w:tc>
          <w:tcPr>
            <w:tcW w:type="dxa" w:w="223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数值 profile</w:t>
            </w:r>
          </w:p>
        </w:tc>
        <w:tc>
          <w:tcPr>
            <w:tcW w:type="dxa" w:w="374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数学运算与类型明确；项目 exact profile 已定义</w:t>
            </w:r>
          </w:p>
        </w:tc>
        <w:tc>
          <w:tcPr>
            <w:tcW w:type="dxa" w:w="3655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特定设备完整逐 bit 行为另建 profile</w:t>
            </w:r>
          </w:p>
        </w:tc>
      </w:tr>
      <w:tr>
        <w:trPr>
          <w:cantSplit/>
        </w:trPr>
        <w:tc>
          <w:tcPr>
            <w:tcW w:type="dxa" w:w="223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微架构资源</w:t>
            </w:r>
          </w:p>
        </w:tc>
        <w:tc>
          <w:tcPr>
            <w:tcW w:type="dxa" w:w="374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架构责任和合法复用机会明确</w:t>
            </w:r>
          </w:p>
        </w:tc>
        <w:tc>
          <w:tcPr>
            <w:tcW w:type="dxa" w:w="3655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并行度、流水、队列、TMEM 实现、仲裁、频率及 PPA 均待后续设计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后续微架构文档应以本文的对象、依赖和验收条件为输入，再做资源与时序决策；不能用某个实现选择反向改写 ISA 保证。任何新增项目扩展均应与原生 tcgen05 capability 分开版本管理。</w:t>
      </w:r>
    </w:p>
    <w:bookmarkEnd w:id="101"/>
    <w:bookmarkStart w:id="117" w:name="Xa66e945d69e2fe0a870d96da4cfcae087d8de13"/>
    <w:p>
      <w:bookmarkStart w:id="137" w:name="tcgen05_section_20"/>
      <w:pPr>
        <w:pStyle w:val="Heading1"/>
        <w:widowControl/>
      </w:pPr>
      <w:r>
        <w:rPr>
          <w:rFonts w:ascii="Noto Sans CJK SC" w:hAnsi="Noto Sans CJK SC" w:cs="Noto Sans CJK SC" w:eastAsia="Noto Sans CJK SC"/>
        </w:rPr>
        <w:t xml:space="preserve">20. 来源、页码与阅读路径</w:t>
      </w:r>
      <w:bookmarkEnd w:id="137"/>
    </w:p>
    <w:p>
      <w:pPr>
        <w:pStyle w:val="FirstParagraph"/>
        <w:widowControl/>
      </w:pPr>
      <w:r>
        <w:rPr>
          <w:rFonts w:ascii="Noto Sans CJK SC" w:hAnsi="Noto Sans CJK SC" w:cs="Noto Sans CJK SC" w:eastAsia="Noto Sans CJK SC"/>
        </w:rPr>
        <w:t xml:space="preserve">PDF 页码为从 1 开始的物理页；“印”指原文页脚。上传 PTX 相关章节满足 PDF 页=印刷页+12。附件原件不复制入仓库。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1454"/>
        <w:gridCol w:w="3926"/>
        <w:gridCol w:w="4258"/>
      </w:tblGrid>
      <w:tr>
        <w:trPr>
          <w:tblHeader w:val="on"/>
          <w:cantSplit/>
        </w:trPr>
        <w:tc>
          <w:tcPr>
            <w:tcW w:type="dxa" w:w="1454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W w:type="dxa" w:w="3926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来源</w:t>
            </w:r>
          </w:p>
        </w:tc>
        <w:tc>
          <w:tcPr>
            <w:tcW w:type="dxa" w:w="4258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本文使用范围与限制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P1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用户上传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r>
              <w:rPr>
                <w:rFonts w:ascii="Noto Sans CJK SC" w:hAnsi="Noto Sans CJK SC" w:cs="Noto Sans CJK SC" w:eastAsia="Noto Sans CJK SC"/>
                <w:b w:val="0"/>
                <w:i/>
                <w:iCs/>
                <w:color w:val="213342"/>
                <w:sz w:val="18"/>
              </w:rPr>
              <w:t xml:space="preserve">PTX ISA Release 9.4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，2026-07-17；</w:t>
            </w:r>
            <w:hyperlink r:id="rId102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官方滚动入口</w:t>
              </w:r>
            </w:hyperlink>
          </w:p>
        </w:tc>
        <w:tc>
          <w:tcPr>
            <w:tcW w:type="dxa" w:w="42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规范基准为上传原件，不假定滚动网页与其一致；SHA256 见下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N1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hyperlink r:id="rId103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NVIDIA Blackwell Tuning Guide</w:t>
              </w:r>
            </w:hyperlink>
          </w:p>
        </w:tc>
        <w:tc>
          <w:tcPr>
            <w:tcW w:type="dxa" w:w="42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周边软件架构背景与已列产品目标；不能补造未来产品映射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N2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hyperlink r:id="rId104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NVIDIA CUDA GPU Compute Capability</w:t>
              </w:r>
            </w:hyperlink>
          </w:p>
        </w:tc>
        <w:tc>
          <w:tcPr>
            <w:tcW w:type="dxa" w:w="42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产品与 compute capability 的公开映射；访问时快照边界见来源审查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N3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hyperlink r:id="rId105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Vera Rubin NVL72</w:t>
              </w:r>
            </w:hyperlink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；</w:t>
            </w:r>
            <w:hyperlink r:id="rId106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Rubin Technical Blog</w:t>
              </w:r>
            </w:hyperlink>
          </w:p>
        </w:tc>
        <w:tc>
          <w:tcPr>
            <w:tcW w:type="dxa" w:w="42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单 GPU 峰值和 dense/sparse 脚注，非项目实测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N4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hyperlink r:id="rId107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CUDA Programming Guide：Programming Model</w:t>
              </w:r>
            </w:hyperlink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，§1.2.2–.3</w:t>
            </w:r>
          </w:p>
        </w:tc>
        <w:tc>
          <w:tcPr>
            <w:tcW w:type="dxa" w:w="42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warp、CTA、cluster 与内存角色；本轮页面 v13.4.2，不能当作上传 PTX 的同一快照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N5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hyperlink r:id="rId108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CUDA Programming Guide：Asynchronous Data Copies</w:t>
              </w:r>
            </w:hyperlink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，§4.12.2</w:t>
            </w:r>
          </w:p>
        </w:tc>
        <w:tc>
          <w:tcPr>
            <w:tcW w:type="dxa" w:w="42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TMA 与 tensor map；与 tcgen05.cp、SMEM matrix descriptor 及其完成域分开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L1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用户上传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hyperlink r:id="rId109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Accurate Models of NVIDIA Tensor Cores</w:t>
              </w:r>
            </w:hyperlink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，Khattak、Mikaitis，所传 v3，2026-04-04</w:t>
            </w:r>
          </w:p>
        </w:tc>
        <w:tc>
          <w:tcPr>
            <w:tcW w:type="dxa" w:w="42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特定设备与指令入口的数值实验；不推广到 Rubin、全部 FP4/FP6、Ti16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L2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用户上传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hyperlink r:id="rId110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US20250060938A1</w:t>
              </w:r>
            </w:hyperlink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，NVIDIA，公开于 2025-02-20</w:t>
            </w:r>
          </w:p>
        </w:tc>
        <w:tc>
          <w:tcPr>
            <w:tcW w:type="dxa" w:w="42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直接卷积的驻留、shift、补入及 MMA 序列；不是商品 GPU 实现证明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L3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用户上传</w:t>
            </w: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 </w:t>
            </w:r>
            <w:hyperlink r:id="rId111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US20250077615A1</w:t>
              </w:r>
            </w:hyperlink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，NVIDIA，公开于 2025-03-06</w:t>
            </w:r>
          </w:p>
        </w:tc>
        <w:tc>
          <w:tcPr>
            <w:tcW w:type="dxa" w:w="42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weight-stationary 直接卷积；实施例与权利要求分开解释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R1</w:t>
            </w:r>
          </w:p>
        </w:tc>
        <w:tc>
          <w:tcPr>
            <w:tcW w:type="dxa" w:w="3926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hyperlink r:id="rId112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既有 Rubin 来源交叉核验</w:t>
              </w:r>
            </w:hyperlink>
          </w:p>
        </w:tc>
        <w:tc>
          <w:tcPr>
            <w:tcW w:type="dxa" w:w="4258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官方规格脚注和第三方/知乎访问限制的真实记录</w:t>
            </w:r>
          </w:p>
        </w:tc>
      </w:tr>
      <w:tr>
        <w:trPr>
          <w:cantSplit/>
        </w:trPr>
        <w:tc>
          <w:tcPr>
            <w:tcW w:type="dxa" w:w="1454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J1</w:t>
            </w:r>
          </w:p>
        </w:tc>
        <w:tc>
          <w:tcPr>
            <w:tcW w:type="dxa" w:w="3926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hyperlink r:id="rId113">
              <w:r>
                <w:rPr>
                  <w:rStyle w:val="Hyperlink"/>
                  <w:rFonts w:ascii="Noto Sans CJK SC" w:hAnsi="Noto Sans CJK SC" w:cs="Noto Sans CJK SC" w:eastAsia="Noto Sans CJK SC"/>
                  <w:b w:val="0"/>
                  <w:color w:val="213342"/>
                  <w:sz w:val="18"/>
                </w:rPr>
                <w:t xml:space="preserve">项目 MALU RTL 实现与检查</w:t>
              </w:r>
            </w:hyperlink>
          </w:p>
        </w:tc>
        <w:tc>
          <w:tcPr>
            <w:tcW w:type="dxa" w:w="4258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项目功能与验证边界；不是 NVIDIA 规范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P1 上传原件 SHA256：</w:t>
      </w:r>
      <w:r>
        <w:rPr>
          <w:rStyle w:val="VerbatimChar"/>
          <w:rFonts w:ascii="DejaVu Sans Mono" w:hAnsi="DejaVu Sans Mono" w:cs="DejaVu Sans Mono" w:eastAsia="Noto Sans CJK SC"/>
          <w:sz w:val="18"/>
        </w:rPr>
        <w:t xml:space="preserve">4be2905e240b70a8b176b4d6fb162714f2fc361a9503572d848ff723abf289c3</w:t>
      </w:r>
      <w:r>
        <w:rPr>
          <w:rFonts w:ascii="Noto Sans CJK SC" w:hAnsi="Noto Sans CJK SC" w:cs="Noto Sans CJK SC" w:eastAsia="Noto Sans CJK SC"/>
        </w:rPr>
        <w:t xml:space="preserve">；1002 个 PDF 页。核心架构章节定位如下：</w:t>
      </w:r>
    </w:p>
    <w:tbl>
      <w:tblPr>
        <w:tblStyle w:val="tcgen05Table"/>
        <w:tblW w:type="dxa" w:w="9638"/>
        <w:jc w:val="center"/>
        <w:tblLayout w:type="fixed"/>
        <w:tblLook w:firstRow="1" w:lastRow="0" w:firstColumn="0" w:lastColumn="0" w:noHBand="0" w:noVBand="0" w:val="0020"/>
        <w:tblBorders>
          <w:top w:val="single" w:sz="4" w:color="CBD7E1"/>
          <w:left w:val="single" w:sz="4" w:color="CBD7E1"/>
          <w:bottom w:val="single" w:sz="4" w:color="CBD7E1"/>
          <w:right w:val="single" w:sz="4" w:color="CBD7E1"/>
          <w:insideH w:val="single" w:sz="4" w:color="CBD7E1"/>
          <w:insideV w:val="single" w:sz="4" w:color="CBD7E1"/>
        </w:tblBorders>
      </w:tblPr>
      <w:tblGrid>
        <w:gridCol w:w="3279"/>
        <w:gridCol w:w="3080"/>
        <w:gridCol w:w="3279"/>
      </w:tblGrid>
      <w:tr>
        <w:trPr>
          <w:tblHeader w:val="on"/>
          <w:cantSplit/>
        </w:trPr>
        <w:tc>
          <w:tcPr>
            <w:tcW w:type="dxa" w:w="327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主题</w:t>
            </w:r>
          </w:p>
        </w:tc>
        <w:tc>
          <w:tcPr>
            <w:tcW w:type="dxa" w:w="3080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PTX 章节</w:t>
            </w:r>
          </w:p>
        </w:tc>
        <w:tc>
          <w:tcPr>
            <w:tcW w:type="dxa" w:w="3279"/>
            <w:vAlign w:val="top"/>
            <w:shd w:fill="1735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 xml:space="preserve">PDF / 印刷页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与地址</w:t>
            </w:r>
          </w:p>
        </w:tc>
        <w:tc>
          <w:tcPr>
            <w:tcW w:type="dxa" w:w="30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§9.7.18.1</w:t>
            </w:r>
          </w:p>
        </w:tc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699–700 / 687–688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 shape</w:t>
            </w:r>
          </w:p>
        </w:tc>
        <w:tc>
          <w:tcPr>
            <w:tcW w:type="dxa" w:w="30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§9.7.18.2、表 50</w:t>
            </w:r>
          </w:p>
        </w:tc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700–704 / 688–692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数据移动与 SMEM 布局</w:t>
            </w:r>
          </w:p>
        </w:tc>
        <w:tc>
          <w:tcPr>
            <w:tcW w:type="dxa" w:w="30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§9.7.18.2.3–.3</w:t>
            </w:r>
          </w:p>
        </w:tc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705–720 / 693–708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描述符</w:t>
            </w:r>
          </w:p>
        </w:tc>
        <w:tc>
          <w:tcPr>
            <w:tcW w:type="dxa" w:w="30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§9.7.18.4、表 51/53–56</w:t>
            </w:r>
          </w:p>
        </w:tc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720–730 / 708–718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参与者与 CTA pair</w:t>
            </w:r>
          </w:p>
        </w:tc>
        <w:tc>
          <w:tcPr>
            <w:tcW w:type="dxa" w:w="30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§9.7.18.5、表 57</w:t>
            </w:r>
          </w:p>
        </w:tc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730–732 / 718–720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内存顺序与同步模式</w:t>
            </w:r>
          </w:p>
        </w:tc>
        <w:tc>
          <w:tcPr>
            <w:tcW w:type="dxa" w:w="30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§9.7.18.6</w:t>
            </w:r>
          </w:p>
        </w:tc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732–738 / 720–726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TMEM 分配管理</w:t>
            </w:r>
          </w:p>
        </w:tc>
        <w:tc>
          <w:tcPr>
            <w:tcW w:type="dxa" w:w="30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§9.7.18.7</w:t>
            </w:r>
          </w:p>
        </w:tc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738–741 / 726–729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ld/st/wait</w:t>
            </w:r>
          </w:p>
        </w:tc>
        <w:tc>
          <w:tcPr>
            <w:tcW w:type="dxa" w:w="30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§9.7.18.8</w:t>
            </w:r>
          </w:p>
        </w:tc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741–749 / 729–737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cp/shift</w:t>
            </w:r>
          </w:p>
        </w:tc>
        <w:tc>
          <w:tcPr>
            <w:tcW w:type="dxa" w:w="30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§9.7.18.9</w:t>
            </w:r>
          </w:p>
        </w:tc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749–754 / 737–742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MMA 总体与 layout</w:t>
            </w:r>
          </w:p>
        </w:tc>
        <w:tc>
          <w:tcPr>
            <w:tcW w:type="dxa" w:w="30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§9.7.18.10.1–.6</w:t>
            </w:r>
          </w:p>
        </w:tc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755–774 / 743–762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block scale、LUT、sparse</w:t>
            </w:r>
          </w:p>
        </w:tc>
        <w:tc>
          <w:tcPr>
            <w:tcW w:type="dxa" w:w="30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§9.7.18.10.7–.9</w:t>
            </w:r>
          </w:p>
        </w:tc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774–823 / 762–811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四类 MMA 指令</w:t>
            </w:r>
          </w:p>
        </w:tc>
        <w:tc>
          <w:tcPr>
            <w:tcW w:type="dxa" w:w="3080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§9.7.18.10.10</w:t>
            </w:r>
          </w:p>
        </w:tc>
        <w:tc>
          <w:tcPr>
            <w:tcW w:type="dxa" w:w="3279"/>
            <w:vAlign w:val="top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823–842 / 811–830</w:t>
            </w:r>
          </w:p>
        </w:tc>
      </w:tr>
      <w:tr>
        <w:trPr>
          <w:cantSplit/>
        </w:trPr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fence 与 commit</w:t>
            </w:r>
          </w:p>
        </w:tc>
        <w:tc>
          <w:tcPr>
            <w:tcW w:type="dxa" w:w="3080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§9.7.18.11–.12</w:t>
            </w:r>
          </w:p>
        </w:tc>
        <w:tc>
          <w:tcPr>
            <w:tcW w:type="dxa" w:w="3279"/>
            <w:vAlign w:val="top"/>
            <w:shd w:fill="EDF5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pStyle w:val="Compact"/>
              <w:keepNext w:val="0"/>
              <w:spacing w:after="40" w:before="0" w:line="269" w:lineRule="auto"/>
              <w:jc w:val="left"/>
            </w:pPr>
            <w:r>
              <w:rPr>
                <w:rFonts w:ascii="Noto Sans CJK SC" w:hAnsi="Noto Sans CJK SC" w:cs="Noto Sans CJK SC" w:eastAsia="Noto Sans CJK SC"/>
                <w:b w:val="0"/>
                <w:color w:val="213342"/>
                <w:sz w:val="18"/>
              </w:rPr>
              <w:t xml:space="preserve">843–846 / 831–834</w:t>
            </w:r>
          </w:p>
        </w:tc>
      </w:tr>
    </w:tbl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论文关键依据为 PDF4–5 的矩阵定义、PDF11–12/14 的入口和覆盖范围、PDF15 表4的设备模型；它不提供全部新类型的通用实现。专利关键依据为 60938 PDF52–54 的实施例和 PDF69–70 的权利要求，以及 77615 PDF61–62 的实施例和 PDF80–81 的权利要求。逐条出处、图号和附件 SHA 见</w:t>
      </w:r>
      <w:r>
        <w:rPr>
          <w:rFonts w:ascii="Noto Sans CJK SC" w:hAnsi="Noto Sans CJK SC" w:cs="Noto Sans CJK SC" w:eastAsia="Noto Sans CJK SC"/>
        </w:rPr>
        <w:t xml:space="preserve"> </w:t>
      </w:r>
      <w:hyperlink r:id="rId114">
        <w:r>
          <w:rPr>
            <w:rStyle w:val="Hyperlink"/>
            <w:rFonts w:ascii="Noto Sans CJK SC" w:hAnsi="Noto Sans CJK SC" w:cs="Noto Sans CJK SC" w:eastAsia="Noto Sans CJK SC"/>
          </w:rPr>
          <w:t xml:space="preserve">既有论文/专利核验</w:t>
        </w:r>
      </w:hyperlink>
      <w:r>
        <w:rPr>
          <w:rFonts w:ascii="Noto Sans CJK SC" w:hAnsi="Noto Sans CJK SC" w:cs="Noto Sans CJK SC" w:eastAsia="Noto Sans CJK SC"/>
        </w:rPr>
        <w:t xml:space="preserve">。</w:t>
      </w:r>
    </w:p>
    <w:p>
      <w:pPr>
        <w:pStyle w:val="BodyText"/>
        <w:widowControl/>
      </w:pPr>
      <w:r>
        <w:rPr>
          <w:rFonts w:ascii="Noto Sans CJK SC" w:hAnsi="Noto Sans CJK SC" w:cs="Noto Sans CJK SC" w:eastAsia="Noto Sans CJK SC"/>
        </w:rPr>
        <w:t xml:space="preserve">本轮补充的来源与范围审查见</w:t>
      </w:r>
      <w:r>
        <w:rPr>
          <w:rFonts w:ascii="Noto Sans CJK SC" w:hAnsi="Noto Sans CJK SC" w:cs="Noto Sans CJK SC" w:eastAsia="Noto Sans CJK SC"/>
        </w:rPr>
        <w:t xml:space="preserve"> </w:t>
      </w:r>
      <w:hyperlink r:id="rId115">
        <w:r>
          <w:rPr>
            <w:rStyle w:val="Hyperlink"/>
            <w:rFonts w:ascii="Noto Sans CJK SC" w:hAnsi="Noto Sans CJK SC" w:cs="Noto Sans CJK SC" w:eastAsia="Noto Sans CJK SC"/>
          </w:rPr>
          <w:t xml:space="preserve">架构来源审查</w:t>
        </w:r>
      </w:hyperlink>
      <w:r>
        <w:rPr>
          <w:rFonts w:ascii="Noto Sans CJK SC" w:hAnsi="Noto Sans CJK SC" w:cs="Noto Sans CJK SC" w:eastAsia="Noto Sans CJK SC"/>
        </w:rPr>
        <w:t xml:space="preserve">。图 1–5 为依据上述契约整理的项目原创逻辑图，不是 NVIDIA 芯片框图；SVG/PNG 与生成脚本随文档保存，DOCX/PDF 构建方法见</w:t>
      </w:r>
      <w:r>
        <w:rPr>
          <w:rFonts w:ascii="Noto Sans CJK SC" w:hAnsi="Noto Sans CJK SC" w:cs="Noto Sans CJK SC" w:eastAsia="Noto Sans CJK SC"/>
        </w:rPr>
        <w:t xml:space="preserve"> </w:t>
      </w:r>
      <w:hyperlink r:id="rId116">
        <w:r>
          <w:rPr>
            <w:rStyle w:val="Hyperlink"/>
            <w:rFonts w:ascii="Noto Sans CJK SC" w:hAnsi="Noto Sans CJK SC" w:cs="Noto Sans CJK SC" w:eastAsia="Noto Sans CJK SC"/>
          </w:rPr>
          <w:t xml:space="preserve">BUILDING.md</w:t>
        </w:r>
      </w:hyperlink>
      <w:r>
        <w:rPr>
          <w:rFonts w:ascii="Noto Sans CJK SC" w:hAnsi="Noto Sans CJK SC" w:cs="Noto Sans CJK SC" w:eastAsia="Noto Sans CJK SC"/>
        </w:rPr>
        <w:t xml:space="preserve">。</w:t>
      </w:r>
    </w:p>
    <w:bookmarkEnd w:id="117"/>
    <w:sectPr>
      <w:headerReference w:type="default" r:id="rId9"/>
      <w:footerReference w:type="default" r:id="rId10"/>
      <w:pgSz w:w="11906" w:h="16838"/>
      <w:pgMar w:top="1077" w:bottom="1020" w:left="1134" w:right="1134" w:header="482" w:footer="48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cs="Noto Sans CJK SC" w:eastAsia="Noto Sans CJK SC"/>
        <w:color w:val="52687B"/>
        <w:sz w:val="17"/>
      </w:rPr>
      <w:t xml:space="preserve">v1.0  ·  </w:t>
    </w:r>
    <w:r>
      <w:rPr>
        <w:rFonts w:ascii="Noto Sans CJK SC" w:hAnsi="Noto Sans CJK SC" w:cs="Noto Sans CJK SC" w:eastAsia="Noto Sans CJK SC"/>
        <w:color w:val="5268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cs="Noto Sans CJK SC" w:eastAsia="Noto Sans CJK SC"/>
        <w:color w:val="52687B"/>
        <w:sz w:val="17"/>
      </w:rPr>
      <w:t>tcgen05  /  TENSOR ARCHITECTURE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DejaVu Math TeX Gyre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93" w:lineRule="auto" w:after="100"/>
    </w:pPr>
    <w:rPr>
      <w:rFonts w:ascii="Noto Sans CJK SC" w:hAnsi="Noto Sans CJK SC" w:cs="Noto Sans CJK SC" w:eastAsia="Noto Sans CJK SC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20" w:before="260"/>
      <w:outlineLvl w:val="0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17355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1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087F8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2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color w:val="087F8C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120" w:before="180"/>
      <w:outlineLvl w:val="3"/>
    </w:pPr>
    <w:rPr>
      <w:rFonts w:asciiTheme="majorHAnsi" w:cstheme="majorBidi" w:eastAsiaTheme="majorEastAsia" w:hAnsiTheme="majorHAnsi" w:ascii="Noto Sans CJK SC" w:hAnsi="Noto Sans CJK SC" w:cs="Noto Sans CJK SC" w:eastAsia="Noto Sans CJK SC"/>
      <w:b/>
      <w:bCs/>
      <w:i/>
      <w:color w:val="087F8C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 CJK SC" w:hAnsi="Noto Sans CJK SC" w:cs="Noto Sans CJK SC" w:eastAsia="Noto Sans CJK SC"/>
      <w:b w:val="0"/>
      <w:i/>
      <w:color w:val="52687B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Noto Sans CJK SC" w:hAnsi="Noto Sans CJK SC" w:cs="Noto Sans CJK SC" w:eastAsia="Noto Sans CJK SC"/>
      <w:b w:val="0"/>
      <w:color w:val="52687B"/>
      <w:sz w:val="18"/>
    </w:rPr>
  </w:style>
  <w:style w:customStyle="1" w:styleId="ImageCaption" w:type="paragraph">
    <w:name w:val="Image Caption"/>
    <w:basedOn w:val="Caption"/>
    <w:rPr>
      <w:rFonts w:ascii="Noto Sans CJK SC" w:hAnsi="Noto Sans CJK SC" w:cs="Noto Sans CJK SC" w:eastAsia="Noto Sans CJK SC"/>
      <w:b w:val="0"/>
      <w:color w:val="52687B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CJK SC" w:hAnsi="Noto Sans CJK SC" w:cs="Noto Sans CJK SC" w:eastAsia="Noto Sans CJK SC"/>
      <w:b w:val="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CJK SC" w:hAnsi="Noto Sans CJK SC" w:cs="Noto Sans CJK SC" w:eastAsia="Noto Sans CJK SC"/>
      <w:b w:val="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tcgen05Table">
    <w:name w:val="tcgen05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81" Type="http://schemas.openxmlformats.org/officeDocument/2006/relationships/image" Target="media/rId81.png"/><Relationship Id="rId64" Type="http://schemas.openxmlformats.org/officeDocument/2006/relationships/image" Target="media/rId64.png"/><Relationship Id="rId113" Type="http://schemas.openxmlformats.org/officeDocument/2006/relationships/hyperlink" Target="../malu/RTL_IMPLEMENTATION.md" TargetMode="External"/><Relationship Id="rId114" Type="http://schemas.openxmlformats.org/officeDocument/2006/relationships/hyperlink" Target="../malu/research/literature_findings.md" TargetMode="External"/><Relationship Id="rId112" Type="http://schemas.openxmlformats.org/officeDocument/2006/relationships/hyperlink" Target="../malu/research/rubin_source_crosscheck.md" TargetMode="External"/><Relationship Id="rId116" Type="http://schemas.openxmlformats.org/officeDocument/2006/relationships/hyperlink" Target="BUILDING.md" TargetMode="External"/><Relationship Id="rId109" Type="http://schemas.openxmlformats.org/officeDocument/2006/relationships/hyperlink" Target="https://arxiv.org/abs/2512.07004" TargetMode="External"/><Relationship Id="rId106" Type="http://schemas.openxmlformats.org/officeDocument/2006/relationships/hyperlink" Target="https://developer.nvidia.com/blog/inside-the-nvidia-rubin-platform-six-new-chips-one-ai-supercomputer/" TargetMode="External"/><Relationship Id="rId104" Type="http://schemas.openxmlformats.org/officeDocument/2006/relationships/hyperlink" Target="https://developer.nvidia.com/cuda/gpus" TargetMode="External"/><Relationship Id="rId103" Type="http://schemas.openxmlformats.org/officeDocument/2006/relationships/hyperlink" Target="https://docs.nvidia.com/cuda/blackwell-tuning-guide/" TargetMode="External"/><Relationship Id="rId107" Type="http://schemas.openxmlformats.org/officeDocument/2006/relationships/hyperlink" Target="https://docs.nvidia.com/cuda/cuda-programming-guide/01-introduction/programming-model.html" TargetMode="External"/><Relationship Id="rId108" Type="http://schemas.openxmlformats.org/officeDocument/2006/relationships/hyperlink" Target="https://docs.nvidia.com/cuda/cuda-programming-guide/04-special-topics/async-copies.html" TargetMode="External"/><Relationship Id="rId102" Type="http://schemas.openxmlformats.org/officeDocument/2006/relationships/hyperlink" Target="https://docs.nvidia.com/cuda/parallel-thread-execution/" TargetMode="External"/><Relationship Id="rId110" Type="http://schemas.openxmlformats.org/officeDocument/2006/relationships/hyperlink" Target="https://patents.google.com/patent/US20250060938A1/en" TargetMode="External"/><Relationship Id="rId111" Type="http://schemas.openxmlformats.org/officeDocument/2006/relationships/hyperlink" Target="https://patents.google.com/patent/US20250077615A1/en" TargetMode="External"/><Relationship Id="rId105" Type="http://schemas.openxmlformats.org/officeDocument/2006/relationships/hyperlink" Target="https://www.nvidia.com/en-us/data-center/vera-rubin-nvl72/" TargetMode="External"/><Relationship Id="rId115" Type="http://schemas.openxmlformats.org/officeDocument/2006/relationships/hyperlink" Target="research/architecture_source_review.md" TargetMode="External"/><Relationship Id="rId20" Type="http://schemas.openxmlformats.org/officeDocument/2006/relationships/hyperlink" Target="research/ptx94_architecture_audit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../malu/RTL_IMPLEMENTATION.md" TargetMode="External"/><Relationship Id="rId114" Type="http://schemas.openxmlformats.org/officeDocument/2006/relationships/hyperlink" Target="../malu/research/literature_findings.md" TargetMode="External"/><Relationship Id="rId112" Type="http://schemas.openxmlformats.org/officeDocument/2006/relationships/hyperlink" Target="../malu/research/rubin_source_crosscheck.md" TargetMode="External"/><Relationship Id="rId116" Type="http://schemas.openxmlformats.org/officeDocument/2006/relationships/hyperlink" Target="BUILDING.md" TargetMode="External"/><Relationship Id="rId109" Type="http://schemas.openxmlformats.org/officeDocument/2006/relationships/hyperlink" Target="https://arxiv.org/abs/2512.07004" TargetMode="External"/><Relationship Id="rId106" Type="http://schemas.openxmlformats.org/officeDocument/2006/relationships/hyperlink" Target="https://developer.nvidia.com/blog/inside-the-nvidia-rubin-platform-six-new-chips-one-ai-supercomputer/" TargetMode="External"/><Relationship Id="rId104" Type="http://schemas.openxmlformats.org/officeDocument/2006/relationships/hyperlink" Target="https://developer.nvidia.com/cuda/gpus" TargetMode="External"/><Relationship Id="rId103" Type="http://schemas.openxmlformats.org/officeDocument/2006/relationships/hyperlink" Target="https://docs.nvidia.com/cuda/blackwell-tuning-guide/" TargetMode="External"/><Relationship Id="rId107" Type="http://schemas.openxmlformats.org/officeDocument/2006/relationships/hyperlink" Target="https://docs.nvidia.com/cuda/cuda-programming-guide/01-introduction/programming-model.html" TargetMode="External"/><Relationship Id="rId108" Type="http://schemas.openxmlformats.org/officeDocument/2006/relationships/hyperlink" Target="https://docs.nvidia.com/cuda/cuda-programming-guide/04-special-topics/async-copies.html" TargetMode="External"/><Relationship Id="rId102" Type="http://schemas.openxmlformats.org/officeDocument/2006/relationships/hyperlink" Target="https://docs.nvidia.com/cuda/parallel-thread-execution/" TargetMode="External"/><Relationship Id="rId110" Type="http://schemas.openxmlformats.org/officeDocument/2006/relationships/hyperlink" Target="https://patents.google.com/patent/US20250060938A1/en" TargetMode="External"/><Relationship Id="rId111" Type="http://schemas.openxmlformats.org/officeDocument/2006/relationships/hyperlink" Target="https://patents.google.com/patent/US20250077615A1/en" TargetMode="External"/><Relationship Id="rId105" Type="http://schemas.openxmlformats.org/officeDocument/2006/relationships/hyperlink" Target="https://www.nvidia.com/en-us/data-center/vera-rubin-nvl72/" TargetMode="External"/><Relationship Id="rId115" Type="http://schemas.openxmlformats.org/officeDocument/2006/relationships/hyperlink" Target="research/architecture_source_review.md" TargetMode="External"/><Relationship Id="rId20" Type="http://schemas.openxmlformats.org/officeDocument/2006/relationships/hyperlink" Target="research/ptx94_architecture_audi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tcgen05 Tensor 架构文档</dc:title>
  <dc:creator>项目架构研究记录</dc:creator>
  <cp:keywords>tcgen05, Tensor Core, TMEM, PTX, asynchronous MMA</cp:keywords>
  <dcterms:created xsi:type="dcterms:W3CDTF">2026-10-26T08:00:52Z</dcterms:created>
  <dcterms:modified xsi:type="dcterms:W3CDTF">2026-10-26T08:00:52Z</dcterms:modified>
  <dc:subject>tcgen05 Tensor architecture, TMEM, descriptors and asynchronous execution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