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 w:line="312" w:lineRule="auto"/>
        <w:jc w:val="center"/>
        <w:rPr>
          <w:lang w:eastAsia="zh-CN"/>
        </w:rPr>
      </w:pPr>
      <w:r>
        <w:rPr>
          <w:rFonts w:eastAsia="黑体"/>
          <w:b/>
          <w:sz w:val="38"/>
          <w:lang w:eastAsia="zh-CN"/>
        </w:rPr>
        <w:t>S3  概要设计与结构度量报告</w:t>
      </w:r>
    </w:p>
    <w:tbl>
      <w:tblPr>
        <w:tblStyle w:val="17"/>
        <w:tblW w:w="878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061"/>
        <w:gridCol w:w="1928"/>
        <w:gridCol w:w="18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1928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组  号</w:t>
            </w:r>
          </w:p>
        </w:tc>
        <w:tc>
          <w:tcPr>
            <w:tcW w:w="306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项目名称</w:t>
            </w:r>
          </w:p>
        </w:tc>
        <w:tc>
          <w:tcPr>
            <w:tcW w:w="1928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本阶段主笔</w:t>
            </w:r>
          </w:p>
        </w:tc>
        <w:tc>
          <w:tcPr>
            <w:tcW w:w="187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提交日期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before="40" w:after="40"/>
              <w:jc w:val="center"/>
            </w:pPr>
          </w:p>
        </w:tc>
        <w:tc>
          <w:tcPr>
            <w:tcW w:w="3061" w:type="dxa"/>
          </w:tcPr>
          <w:p>
            <w:pPr>
              <w:spacing w:before="40" w:after="40"/>
              <w:jc w:val="center"/>
            </w:pPr>
          </w:p>
        </w:tc>
        <w:tc>
          <w:tcPr>
            <w:tcW w:w="1928" w:type="dxa"/>
          </w:tcPr>
          <w:p>
            <w:pPr>
              <w:spacing w:before="40" w:after="40"/>
              <w:jc w:val="center"/>
            </w:pPr>
          </w:p>
        </w:tc>
        <w:tc>
          <w:tcPr>
            <w:tcW w:w="1871" w:type="dxa"/>
          </w:tcPr>
          <w:p>
            <w:pPr>
              <w:spacing w:before="40" w:after="40"/>
              <w:jc w:val="center"/>
            </w:pPr>
          </w:p>
        </w:tc>
      </w:tr>
    </w:tbl>
    <w:p>
      <w:pPr>
        <w:spacing w:after="80"/>
      </w:pPr>
    </w:p>
    <w:p>
      <w:pPr>
        <w:spacing w:line="360" w:lineRule="auto"/>
        <w:rPr>
          <w:lang w:eastAsia="zh-CN"/>
        </w:rPr>
      </w:pPr>
      <w:r>
        <w:rPr>
          <w:rFonts w:eastAsia="楷体"/>
          <w:sz w:val="21"/>
          <w:lang w:eastAsia="zh-CN"/>
        </w:rPr>
        <w:t xml:space="preserve">提交时点：第 4 次课当日 </w:t>
      </w:r>
      <w:r>
        <w:rPr>
          <w:rFonts w:hint="eastAsia" w:eastAsia="楷体"/>
          <w:sz w:val="21"/>
          <w:lang w:val="en-US" w:eastAsia="zh-CN"/>
        </w:rPr>
        <w:t>11</w:t>
      </w:r>
      <w:r>
        <w:rPr>
          <w:rFonts w:eastAsia="楷体"/>
          <w:sz w:val="21"/>
          <w:lang w:eastAsia="zh-CN"/>
        </w:rPr>
        <w:t>:</w:t>
      </w:r>
      <w:r>
        <w:rPr>
          <w:rFonts w:hint="eastAsia" w:eastAsia="楷体"/>
          <w:sz w:val="21"/>
          <w:lang w:val="en-US" w:eastAsia="zh-CN"/>
        </w:rPr>
        <w:t>3</w:t>
      </w:r>
      <w:r>
        <w:rPr>
          <w:rFonts w:eastAsia="楷体"/>
          <w:sz w:val="21"/>
          <w:lang w:eastAsia="zh-CN"/>
        </w:rPr>
        <w:t>0     对应实训报告终版章节：第 3 章</w:t>
      </w:r>
    </w:p>
    <w:p>
      <w:pPr>
        <w:pStyle w:val="3"/>
        <w:spacing w:after="120" w:line="336" w:lineRule="auto"/>
      </w:pPr>
      <w:r>
        <w:rPr>
          <w:rFonts w:ascii="Times New Roman" w:hAnsi="Times New Roman" w:eastAsia="黑体"/>
          <w:color w:val="000000"/>
          <w:sz w:val="28"/>
        </w:rPr>
        <w:t>1  系统架构与模块结构图</w:t>
      </w:r>
      <w:bookmarkStart w:id="0" w:name="_GoBack"/>
      <w:bookmarkEnd w:id="0"/>
    </w:p>
    <w:p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模块结构图须标明调用关系与方向，这是后面计算扇入扇出与耦合度的依据。</w:t>
      </w: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120" w:line="360" w:lineRule="auto"/>
        <w:jc w:val="center"/>
        <w:rPr>
          <w:lang w:eastAsia="zh-CN"/>
        </w:rPr>
      </w:pPr>
      <w:r>
        <w:rPr>
          <w:rFonts w:eastAsia="楷体"/>
          <w:sz w:val="20"/>
          <w:lang w:eastAsia="zh-CN"/>
        </w:rPr>
        <w:t>图 3-1  系统模块结构图</w:t>
      </w:r>
    </w:p>
    <w:p>
      <w:pPr>
        <w:pStyle w:val="3"/>
        <w:spacing w:after="120" w:line="336" w:lineRule="auto"/>
      </w:pPr>
      <w:r>
        <w:rPr>
          <w:rFonts w:ascii="Times New Roman" w:hAnsi="Times New Roman" w:eastAsia="黑体"/>
          <w:color w:val="000000"/>
          <w:sz w:val="28"/>
        </w:rPr>
        <w:t>2  数据库设计</w:t>
      </w: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120" w:line="360" w:lineRule="auto"/>
        <w:jc w:val="center"/>
      </w:pPr>
      <w:r>
        <w:rPr>
          <w:rFonts w:eastAsia="楷体"/>
          <w:sz w:val="20"/>
        </w:rPr>
        <w:t>图 3-2  E-R 图</w:t>
      </w:r>
    </w:p>
    <w:tbl>
      <w:tblPr>
        <w:tblStyle w:val="17"/>
        <w:tblW w:w="878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474"/>
        <w:gridCol w:w="2608"/>
        <w:gridCol w:w="1474"/>
        <w:gridCol w:w="17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表名</w:t>
            </w:r>
          </w:p>
        </w:tc>
        <w:tc>
          <w:tcPr>
            <w:tcW w:w="147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中文名</w:t>
            </w:r>
          </w:p>
        </w:tc>
        <w:tc>
          <w:tcPr>
            <w:tcW w:w="2608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主要字段</w:t>
            </w:r>
          </w:p>
        </w:tc>
        <w:tc>
          <w:tcPr>
            <w:tcW w:w="147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主键/外键</w:t>
            </w:r>
          </w:p>
        </w:tc>
        <w:tc>
          <w:tcPr>
            <w:tcW w:w="175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75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75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75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75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75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757" w:type="dxa"/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pStyle w:val="3"/>
        <w:spacing w:after="120" w:line="336" w:lineRule="auto"/>
      </w:pPr>
      <w:r>
        <w:rPr>
          <w:rFonts w:ascii="Times New Roman" w:hAnsi="Times New Roman" w:eastAsia="黑体"/>
          <w:color w:val="000000"/>
          <w:sz w:val="28"/>
        </w:rPr>
        <w:t>3  模块内聚性度量</w:t>
      </w:r>
    </w:p>
    <w:p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对全部模块逐一判定内聚类型，“判定理由”必须具体（说明模块内各成分的关系）。内聚率＝(功能内聚+顺序内聚模块数)÷模块总数×100%。对判定为逻辑内聚、时间内聚、偶然内聚的模块，必须在第 6 节给出改进方案。</w:t>
      </w:r>
    </w:p>
    <w:tbl>
      <w:tblPr>
        <w:tblStyle w:val="17"/>
        <w:tblW w:w="878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474"/>
        <w:gridCol w:w="1814"/>
        <w:gridCol w:w="1247"/>
        <w:gridCol w:w="2608"/>
        <w:gridCol w:w="9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序号</w:t>
            </w:r>
          </w:p>
        </w:tc>
        <w:tc>
          <w:tcPr>
            <w:tcW w:w="147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模块名</w:t>
            </w:r>
          </w:p>
        </w:tc>
        <w:tc>
          <w:tcPr>
            <w:tcW w:w="181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模块职责</w:t>
            </w:r>
          </w:p>
        </w:tc>
        <w:tc>
          <w:tcPr>
            <w:tcW w:w="124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内聚类型</w:t>
            </w:r>
          </w:p>
        </w:tc>
        <w:tc>
          <w:tcPr>
            <w:tcW w:w="2608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判定理由</w:t>
            </w:r>
          </w:p>
        </w:tc>
        <w:tc>
          <w:tcPr>
            <w:tcW w:w="96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是否需改进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814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814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814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814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814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814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814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814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814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814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608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after="120" w:line="360" w:lineRule="auto"/>
        <w:rPr>
          <w:lang w:eastAsia="zh-CN"/>
        </w:rPr>
      </w:pPr>
      <w:r>
        <w:rPr>
          <w:lang w:eastAsia="zh-CN"/>
        </w:rPr>
        <w:t>内聚率 ＝ (______ ＋ ______) ÷ ______ × 100% ＝ ________ %     本组阈值：≥ ______%     判定：□ 达标  □ 超阈</w:t>
      </w:r>
    </w:p>
    <w:p>
      <w:pPr>
        <w:pStyle w:val="3"/>
        <w:spacing w:after="120" w:line="336" w:lineRule="auto"/>
      </w:pPr>
      <w:r>
        <w:rPr>
          <w:rFonts w:ascii="Times New Roman" w:hAnsi="Times New Roman" w:eastAsia="黑体"/>
          <w:color w:val="000000"/>
          <w:sz w:val="28"/>
        </w:rPr>
        <w:t>4  模块耦合性度量</w:t>
      </w:r>
    </w:p>
    <w:p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耦合等级：R0 无耦合、R1 数据耦合、R2 标记耦合、R3 控制耦合、R4 公共耦合、R5 内容耦合。c(X,Y) 按讲义公式计算，取模块对之间最紧密的耦合关系 Rk 与该关系的连接数 n。全局耦合度 C(S) 取所有模块对 c(X,Y) 的中位数。必须给出改进前后两组数据。</w:t>
      </w: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40" w:line="360" w:lineRule="auto"/>
        <w:ind w:firstLine="480"/>
        <w:rPr>
          <w:lang w:eastAsia="zh-CN"/>
        </w:rPr>
      </w:pPr>
    </w:p>
    <w:p>
      <w:pPr>
        <w:spacing w:after="120" w:line="360" w:lineRule="auto"/>
        <w:jc w:val="center"/>
      </w:pPr>
      <w:r>
        <w:rPr>
          <w:rFonts w:eastAsia="楷体"/>
          <w:sz w:val="20"/>
        </w:rPr>
        <w:t>图 3-3  模块耦合图</w:t>
      </w:r>
    </w:p>
    <w:tbl>
      <w:tblPr>
        <w:tblStyle w:val="17"/>
        <w:tblW w:w="878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134"/>
        <w:gridCol w:w="2154"/>
        <w:gridCol w:w="794"/>
        <w:gridCol w:w="1020"/>
        <w:gridCol w:w="1361"/>
        <w:gridCol w:w="9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模块对 (X, Y)</w:t>
            </w:r>
          </w:p>
        </w:tc>
        <w:tc>
          <w:tcPr>
            <w:tcW w:w="113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耦合关系类型</w:t>
            </w:r>
          </w:p>
        </w:tc>
        <w:tc>
          <w:tcPr>
            <w:tcW w:w="2154" w:type="dxa"/>
            <w:shd w:val="clear" w:color="auto" w:fill="D9E2F3"/>
          </w:tcPr>
          <w:p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8"/>
                <w:lang w:eastAsia="zh-CN"/>
              </w:rPr>
              <w:t>判定依据（传了什么/共享了什么）</w:t>
            </w:r>
          </w:p>
        </w:tc>
        <w:tc>
          <w:tcPr>
            <w:tcW w:w="79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连接数 n</w:t>
            </w:r>
          </w:p>
        </w:tc>
        <w:tc>
          <w:tcPr>
            <w:tcW w:w="1020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c(X,Y) 改进前</w:t>
            </w:r>
          </w:p>
        </w:tc>
        <w:tc>
          <w:tcPr>
            <w:tcW w:w="136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改进措施</w:t>
            </w:r>
          </w:p>
        </w:tc>
        <w:tc>
          <w:tcPr>
            <w:tcW w:w="96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c(X,Y) 改进后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2154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2154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2154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2154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2154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2154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2154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2154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2154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2154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964" w:type="dxa"/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after="120" w:line="360" w:lineRule="auto"/>
      </w:pPr>
      <w:r>
        <w:t>改进前 C(S) ＝ ________     改进后 C(S) ＝ ________     是否仍存在 R4/R5 耦合：□ 否  □ 是（说明：____________________）</w:t>
      </w:r>
    </w:p>
    <w:p>
      <w:pPr>
        <w:pStyle w:val="3"/>
        <w:spacing w:after="120" w:line="336" w:lineRule="auto"/>
      </w:pPr>
      <w:r>
        <w:rPr>
          <w:rFonts w:ascii="Times New Roman" w:hAnsi="Times New Roman" w:eastAsia="黑体"/>
          <w:color w:val="000000"/>
          <w:sz w:val="28"/>
        </w:rPr>
        <w:t>5  信息流结构度量</w:t>
      </w:r>
    </w:p>
    <w:p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扇入＝直接调用该模块的上级模块个数；扇出＝该模块直接调用的下级模块个数。长度(M) 用代码行数表示（S3 阶段可用预估值，S5 阶段回填实际值）。两种方法都要算，并比较结论是否一致。</w:t>
      </w:r>
    </w:p>
    <w:p>
      <w:pPr>
        <w:spacing w:after="120" w:line="360" w:lineRule="auto"/>
        <w:rPr>
          <w:lang w:eastAsia="zh-CN"/>
        </w:rPr>
      </w:pPr>
      <w:r>
        <w:rPr>
          <w:lang w:eastAsia="zh-CN"/>
        </w:rPr>
        <w:t>Henry-Kafura：HC(M) ＝ 长度(M) × [FAN-IN(M) × FAN-OUT(M)]²        Shepperd：SC(M) ＝ [FAN-IN(M) × FAN-OUT(M)]²</w:t>
      </w:r>
    </w:p>
    <w:tbl>
      <w:tblPr>
        <w:tblStyle w:val="17"/>
        <w:tblW w:w="878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50"/>
        <w:gridCol w:w="907"/>
        <w:gridCol w:w="1077"/>
        <w:gridCol w:w="1247"/>
        <w:gridCol w:w="1077"/>
        <w:gridCol w:w="1077"/>
        <w:gridCol w:w="8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模块名</w:t>
            </w:r>
          </w:p>
        </w:tc>
        <w:tc>
          <w:tcPr>
            <w:tcW w:w="850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FAN-IN</w:t>
            </w:r>
          </w:p>
        </w:tc>
        <w:tc>
          <w:tcPr>
            <w:tcW w:w="90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FAN-OUT</w:t>
            </w:r>
          </w:p>
        </w:tc>
        <w:tc>
          <w:tcPr>
            <w:tcW w:w="107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长度 (LOC)</w:t>
            </w:r>
          </w:p>
        </w:tc>
        <w:tc>
          <w:tcPr>
            <w:tcW w:w="124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Henry-Kafura</w:t>
            </w:r>
          </w:p>
        </w:tc>
        <w:tc>
          <w:tcPr>
            <w:tcW w:w="107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Shepperd</w:t>
            </w:r>
          </w:p>
        </w:tc>
        <w:tc>
          <w:tcPr>
            <w:tcW w:w="107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是否超阈</w:t>
            </w:r>
          </w:p>
          <w:p>
            <w:pPr>
              <w:spacing w:after="40"/>
              <w:jc w:val="center"/>
            </w:pPr>
            <w:r>
              <w:rPr>
                <w:rFonts w:eastAsia="黑体"/>
                <w:b/>
                <w:sz w:val="18"/>
              </w:rPr>
              <w:t>(扇出 ≤ 7)</w:t>
            </w:r>
          </w:p>
        </w:tc>
        <w:tc>
          <w:tcPr>
            <w:tcW w:w="850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  <w:tc>
          <w:tcPr>
            <w:tcW w:w="850" w:type="dxa"/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after="120" w:line="360" w:lineRule="auto"/>
        <w:rPr>
          <w:lang w:eastAsia="zh-CN"/>
        </w:rPr>
      </w:pPr>
      <w:r>
        <w:rPr>
          <w:lang w:eastAsia="zh-CN"/>
        </w:rPr>
        <w:t>两种方法结论是否一致：□ 一致  □ 不一致（分析原因：__________________________）</w:t>
      </w:r>
    </w:p>
    <w:p>
      <w:pPr>
        <w:pStyle w:val="3"/>
        <w:spacing w:after="120" w:line="336" w:lineRule="auto"/>
      </w:pPr>
      <w:r>
        <w:rPr>
          <w:rFonts w:ascii="Times New Roman" w:hAnsi="Times New Roman" w:eastAsia="黑体"/>
          <w:color w:val="000000"/>
          <w:sz w:val="28"/>
        </w:rPr>
        <w:t>6  结构缺陷清单与改进</w:t>
      </w:r>
    </w:p>
    <w:tbl>
      <w:tblPr>
        <w:tblStyle w:val="17"/>
        <w:tblW w:w="878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474"/>
        <w:gridCol w:w="1361"/>
        <w:gridCol w:w="1361"/>
        <w:gridCol w:w="2041"/>
        <w:gridCol w:w="1134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编号</w:t>
            </w:r>
          </w:p>
        </w:tc>
        <w:tc>
          <w:tcPr>
            <w:tcW w:w="1474" w:type="dxa"/>
            <w:shd w:val="clear" w:color="auto" w:fill="D9E2F3"/>
          </w:tcPr>
          <w:p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8"/>
                <w:lang w:eastAsia="zh-CN"/>
              </w:rPr>
              <w:t>缺陷类型</w:t>
            </w:r>
          </w:p>
          <w:p>
            <w:pPr>
              <w:spacing w:after="4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8"/>
                <w:lang w:eastAsia="zh-CN"/>
              </w:rPr>
              <w:t>(低内聚/高耦合/高扇出)</w:t>
            </w:r>
          </w:p>
        </w:tc>
        <w:tc>
          <w:tcPr>
            <w:tcW w:w="136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涉及模块</w:t>
            </w:r>
          </w:p>
        </w:tc>
        <w:tc>
          <w:tcPr>
            <w:tcW w:w="136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度量证据</w:t>
            </w:r>
          </w:p>
        </w:tc>
        <w:tc>
          <w:tcPr>
            <w:tcW w:w="204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改进方案</w:t>
            </w:r>
          </w:p>
        </w:tc>
        <w:tc>
          <w:tcPr>
            <w:tcW w:w="113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改进后复量值</w:t>
            </w:r>
          </w:p>
        </w:tc>
        <w:tc>
          <w:tcPr>
            <w:tcW w:w="73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责任人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204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73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204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73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204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73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204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73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204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73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2041" w:type="dxa"/>
          </w:tcPr>
          <w:p>
            <w:pPr>
              <w:spacing w:before="40" w:after="40"/>
            </w:pPr>
          </w:p>
        </w:tc>
        <w:tc>
          <w:tcPr>
            <w:tcW w:w="1134" w:type="dxa"/>
          </w:tcPr>
          <w:p>
            <w:pPr>
              <w:spacing w:before="40" w:after="40"/>
            </w:pPr>
          </w:p>
        </w:tc>
        <w:tc>
          <w:tcPr>
            <w:tcW w:w="737" w:type="dxa"/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r>
        <w:br w:type="page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AFE"/>
    <w:rsid w:val="004C5052"/>
    <w:rsid w:val="00A8468A"/>
    <w:rsid w:val="00A945DB"/>
    <w:rsid w:val="00AB2381"/>
    <w:rsid w:val="00B14D68"/>
    <w:rsid w:val="00B41AFE"/>
    <w:rsid w:val="00BE2898"/>
    <w:rsid w:val="46E1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kern w:val="0"/>
      <w:sz w:val="24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widowControl w:val="0"/>
      <w:spacing w:before="48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8"/>
      <w:szCs w:val="48"/>
      <w:lang w:eastAsia="zh-CN"/>
      <w14:ligatures w14:val="standardContextual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widowControl w:val="0"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eastAsia="zh-CN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widowControl w:val="0"/>
      <w:spacing w:before="160" w:after="80" w:line="278" w:lineRule="auto"/>
      <w:outlineLvl w:val="2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eastAsia="zh-CN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widowControl w:val="0"/>
      <w:spacing w:before="80" w:after="40" w:line="278" w:lineRule="auto"/>
      <w:outlineLvl w:val="3"/>
    </w:pPr>
    <w:rPr>
      <w:rFonts w:asciiTheme="minorHAnsi" w:hAnsiTheme="minorHAnsi" w:eastAsiaTheme="minorEastAsia" w:cstheme="majorBidi"/>
      <w:color w:val="104862" w:themeColor="accent1" w:themeShade="BF"/>
      <w:kern w:val="2"/>
      <w:sz w:val="28"/>
      <w:szCs w:val="28"/>
      <w:lang w:eastAsia="zh-CN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widowControl w:val="0"/>
      <w:spacing w:before="80" w:after="40" w:line="278" w:lineRule="auto"/>
      <w:outlineLvl w:val="4"/>
    </w:pPr>
    <w:rPr>
      <w:rFonts w:asciiTheme="minorHAnsi" w:hAnsiTheme="minorHAnsi" w:eastAsiaTheme="minorEastAsia" w:cstheme="majorBidi"/>
      <w:color w:val="104862" w:themeColor="accent1" w:themeShade="BF"/>
      <w:kern w:val="2"/>
      <w:szCs w:val="24"/>
      <w:lang w:eastAsia="zh-CN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widowControl w:val="0"/>
      <w:spacing w:before="40" w:after="0" w:line="278" w:lineRule="auto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kern w:val="2"/>
      <w:sz w:val="22"/>
      <w:szCs w:val="24"/>
      <w:lang w:eastAsia="zh-CN"/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widowControl w:val="0"/>
      <w:spacing w:before="40" w:after="0" w:line="278" w:lineRule="auto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kern w:val="2"/>
      <w:sz w:val="22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widowControl w:val="0"/>
      <w:spacing w:after="0" w:line="278" w:lineRule="auto"/>
      <w:outlineLvl w:val="7"/>
    </w:pPr>
    <w:rPr>
      <w:rFonts w:asciiTheme="minorHAnsi" w:hAnsiTheme="minorHAnsi" w:eastAsiaTheme="minorEastAsia" w:cstheme="majorBidi"/>
      <w:color w:val="595959" w:themeColor="text1" w:themeTint="A6"/>
      <w:kern w:val="2"/>
      <w:sz w:val="22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widowControl w:val="0"/>
      <w:spacing w:after="0" w:line="278" w:lineRule="auto"/>
      <w:outlineLvl w:val="8"/>
    </w:pPr>
    <w:rPr>
      <w:rFonts w:asciiTheme="minorHAnsi" w:hAnsiTheme="minorHAnsi" w:eastAsiaTheme="majorEastAsia" w:cstheme="majorBidi"/>
      <w:color w:val="595959" w:themeColor="text1" w:themeTint="A6"/>
      <w:kern w:val="2"/>
      <w:sz w:val="22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5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hAnsiTheme="minorHAnsi" w:eastAsiaTheme="minorEastAsia"/>
      <w:kern w:val="2"/>
      <w:sz w:val="18"/>
      <w:szCs w:val="18"/>
      <w:lang w:eastAsia="zh-CN"/>
      <w14:ligatures w14:val="standardContextual"/>
    </w:rPr>
  </w:style>
  <w:style w:type="paragraph" w:styleId="12">
    <w:name w:val="header"/>
    <w:basedOn w:val="1"/>
    <w:link w:val="36"/>
    <w:unhideWhenUsed/>
    <w:uiPriority w:val="99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hAnsiTheme="minorHAnsi" w:eastAsiaTheme="minorEastAsia"/>
      <w:kern w:val="2"/>
      <w:sz w:val="18"/>
      <w:szCs w:val="18"/>
      <w:lang w:eastAsia="zh-CN"/>
      <w14:ligatures w14:val="standardContextual"/>
    </w:rPr>
  </w:style>
  <w:style w:type="paragraph" w:styleId="13">
    <w:name w:val="Subtitle"/>
    <w:basedOn w:val="1"/>
    <w:next w:val="1"/>
    <w:link w:val="28"/>
    <w:qFormat/>
    <w:uiPriority w:val="11"/>
    <w:pPr>
      <w:widowControl w:val="0"/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7"/>
    <w:qFormat/>
    <w:uiPriority w:val="10"/>
    <w:pPr>
      <w:widowControl w:val="0"/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zh-CN"/>
      <w14:ligatures w14:val="standardContextual"/>
    </w:rPr>
  </w:style>
  <w:style w:type="table" w:styleId="17">
    <w:name w:val="Table Grid"/>
    <w:basedOn w:val="16"/>
    <w:uiPriority w:val="5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8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widowControl w:val="0"/>
      <w:spacing w:before="160" w:after="160" w:line="278" w:lineRule="auto"/>
      <w:jc w:val="center"/>
    </w:pPr>
    <w:rPr>
      <w:rFonts w:asciiTheme="minorHAnsi" w:hAnsiTheme="minorHAnsi" w:eastAsiaTheme="minorEastAsia"/>
      <w:i/>
      <w:iCs/>
      <w:color w:val="404040" w:themeColor="text1" w:themeTint="BF"/>
      <w:kern w:val="2"/>
      <w:sz w:val="22"/>
      <w:szCs w:val="24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引用 字符"/>
    <w:basedOn w:val="15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widowControl w:val="0"/>
      <w:spacing w:after="160" w:line="278" w:lineRule="auto"/>
      <w:ind w:left="720"/>
      <w:contextualSpacing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widowControl w:val="0"/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/>
      <w:i/>
      <w:iCs/>
      <w:color w:val="104862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34">
    <w:name w:val="明显引用 字符"/>
    <w:basedOn w:val="15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5"/>
    <w:link w:val="12"/>
    <w:uiPriority w:val="99"/>
    <w:rPr>
      <w:sz w:val="18"/>
      <w:szCs w:val="18"/>
    </w:rPr>
  </w:style>
  <w:style w:type="character" w:customStyle="1" w:styleId="37">
    <w:name w:val="页脚 字符"/>
    <w:basedOn w:val="15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677</Words>
  <Characters>847</Characters>
  <Lines>282</Lines>
  <Paragraphs>169</Paragraphs>
  <TotalTime>0</TotalTime>
  <ScaleCrop>false</ScaleCrop>
  <LinksUpToDate>false</LinksUpToDate>
  <CharactersWithSpaces>1355</CharactersWithSpaces>
  <Application>WPS Office_11.1.0.8200_F1E327BC-269C-435d-A152-05C5408002CA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2026-08-31T17:03:00Z</dcterms:created>
  <dc:creator>腾锋 王</dc:creator>
  <cp:lastModifiedBy>Administrator</cp:lastModifiedBy>
  <dcterms:modified xsi:type="dcterms:W3CDTF">2026-09-09T23:44:09Z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2052-11.1.0.8200</vt:lpwstr>
  </property>
</Properties>
</file>