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color w:val="1F3864"/>
          <w:sz w:val="40"/>
          <w:szCs w:val="40"/>
        </w:rPr>
        <w:t xml:space="preserve">CRITICAL ANALYSIS &amp; ADVANCED REPORTING</w:t>
      </w:r>
    </w:p>
    <w:p>
      <w:pPr>
        <w:spacing w:after="300"/>
        <w:jc w:val="center"/>
      </w:pPr>
      <w:r>
        <w:rPr>
          <w:i/>
          <w:iCs/>
          <w:color w:val="2E74B5"/>
          <w:sz w:val="26"/>
          <w:szCs w:val="26"/>
        </w:rPr>
        <w:t xml:space="preserve">A Review of ARIMA vs. Machine Learning Approaches for Time Series Forecasting in Data-Driven Networks</w:t>
      </w:r>
    </w:p>
    <w:p>
      <w:pPr>
        <w:spacing w:after="60"/>
        <w:jc w:val="center"/>
      </w:pPr>
      <w:r>
        <w:rPr>
          <w:sz w:val="20"/>
          <w:szCs w:val="20"/>
        </w:rPr>
        <w:t xml:space="preserve">Source Article: Kontopoulou, V.I.; Panagopoulos, A.D.; Kakkos, I.; Matsopoulos, G.K.</w:t>
      </w:r>
    </w:p>
    <w:p>
      <w:pPr>
        <w:spacing w:after="60"/>
        <w:jc w:val="center"/>
      </w:pPr>
      <w:r>
        <w:rPr>
          <w:sz w:val="20"/>
          <w:szCs w:val="20"/>
        </w:rPr>
        <w:t xml:space="preserve">Future Internet 2023, 15, 255. https://doi.org/10.3390/fi15080255</w:t>
      </w:r>
    </w:p>
    <w:p>
      <w:pPr>
        <w:spacing w:after="400"/>
        <w:jc w:val="center"/>
      </w:pPr>
      <w:r>
        <w:rPr>
          <w:color w:val="595959"/>
          <w:sz w:val="20"/>
          <w:szCs w:val="20"/>
        </w:rPr>
        <w:t xml:space="preserve">Prepared for: Scientific Writing and Documentation Module — Final Assignment</w:t>
      </w:r>
    </w:p>
    <w:p>
      <w:pPr>
        <w:spacing w:after="120" w:before="200"/>
      </w:pPr>
      <w:r>
        <w:rPr>
          <w:b/>
          <w:bCs/>
          <w:color w:val="1F3864"/>
          <w:sz w:val="22"/>
          <w:szCs w:val="22"/>
        </w:rPr>
        <w:t xml:space="preserve">Report Scope</w:t>
      </w:r>
    </w:p>
    <w:p>
      <w:pPr>
        <w:spacing w:after="160" w:line="276"/>
        <w:jc w:val="both"/>
      </w:pPr>
      <w:r>
        <w:rPr>
          <w:sz w:val="22"/>
          <w:szCs w:val="22"/>
        </w:rPr>
        <w:t xml:space="preserve">This report presents a structured, advanced analysis of the reviewed article, addressing five analytical dimensions specified for this assignment: (1) the storytelling and narrative architecture of the paper, (2) its problem statement, (3) the research gap it claims to fill, (4) the assumptions—stated and implicit—underlying its arguments, and (5) its review methodology. The report also provides a synthesis of findings and a critical evaluation to support independent academic judgement.</w:t>
      </w:r>
    </w:p>
    <w:p>
      <w:pPr>
        <w:pStyle w:val="Heading1"/>
        <w:pBdr>
          <w:bottom w:val="single" w:color="2E74B5" w:sz="8" w:space="4"/>
        </w:pBdr>
        <w:spacing w:after="160" w:before="360"/>
      </w:pPr>
      <w:r>
        <w:rPr>
          <w:b/>
          <w:bCs/>
          <w:color w:val="1F3864"/>
          <w:sz w:val="30"/>
          <w:szCs w:val="30"/>
        </w:rPr>
        <w:t xml:space="preserve">1. Bibliographic Snapshot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1F3864" w:val="clear"/>
            <w:tcMar>
              <w:top w:type="dxa" w:w="80"/>
              <w:left w:type="dxa" w:w="100"/>
              <w:bottom w:type="dxa" w:w="80"/>
              <w:right w:type="dxa" w:w="100"/>
            </w:tcMar>
          </w:tcPr>
          <w:p>
            <w:r>
              <w:rPr>
                <w:b/>
                <w:bCs/>
                <w:color w:val="FFFFFF"/>
                <w:sz w:val="20"/>
                <w:szCs w:val="20"/>
              </w:rPr>
              <w:t xml:space="preserve">Attribute</w:t>
            </w:r>
          </w:p>
        </w:tc>
        <w:tc>
          <w:tcPr>
            <w:tcW w:type="dxa" w:w="7200"/>
            <w:shd w:fill="1F3864" w:val="clear"/>
            <w:tcMar>
              <w:top w:type="dxa" w:w="80"/>
              <w:left w:type="dxa" w:w="100"/>
              <w:bottom w:type="dxa" w:w="80"/>
              <w:right w:type="dxa" w:w="100"/>
            </w:tcMar>
          </w:tcPr>
          <w:p>
            <w:r>
              <w:rPr>
                <w:b/>
                <w:bCs/>
                <w:color w:val="FFFFFF"/>
                <w:sz w:val="20"/>
                <w:szCs w:val="20"/>
              </w:rPr>
              <w:t xml:space="preserve">Detail</w:t>
            </w:r>
          </w:p>
        </w:tc>
      </w:tr>
      <w:tr>
        <w:tc>
          <w:tcPr>
            <w:tcW w:type="dxa" w:w="2400"/>
            <w:tcMar>
              <w:top w:type="dxa" w:w="80"/>
              <w:left w:type="dxa" w:w="100"/>
              <w:bottom w:type="dxa" w:w="80"/>
              <w:right w:type="dxa" w:w="100"/>
            </w:tcMar>
          </w:tcPr>
          <w:p>
            <w:r>
              <w:rPr>
                <w:b w:val="false"/>
                <w:bCs w:val="false"/>
                <w:color w:val="000000"/>
                <w:sz w:val="20"/>
                <w:szCs w:val="20"/>
              </w:rPr>
              <w:t xml:space="preserve">Title</w:t>
            </w:r>
          </w:p>
        </w:tc>
        <w:tc>
          <w:tcPr>
            <w:tcW w:type="dxa" w:w="7200"/>
            <w:tcMar>
              <w:top w:type="dxa" w:w="80"/>
              <w:left w:type="dxa" w:w="100"/>
              <w:bottom w:type="dxa" w:w="80"/>
              <w:right w:type="dxa" w:w="100"/>
            </w:tcMar>
          </w:tcPr>
          <w:p>
            <w:r>
              <w:rPr>
                <w:b w:val="false"/>
                <w:bCs w:val="false"/>
                <w:color w:val="000000"/>
                <w:sz w:val="20"/>
                <w:szCs w:val="20"/>
              </w:rPr>
              <w:t xml:space="preserve">A Review of ARIMA vs. Machine Learning Approaches for Time Series Forecasting in Data Driven Networks</w:t>
            </w:r>
          </w:p>
        </w:tc>
      </w:tr>
      <w:tr>
        <w:tc>
          <w:tcPr>
            <w:tcW w:type="dxa" w:w="2400"/>
            <w:shd w:fill="F2F2F2" w:val="clear"/>
            <w:tcMar>
              <w:top w:type="dxa" w:w="80"/>
              <w:left w:type="dxa" w:w="100"/>
              <w:bottom w:type="dxa" w:w="80"/>
              <w:right w:type="dxa" w:w="100"/>
            </w:tcMar>
          </w:tcPr>
          <w:p>
            <w:r>
              <w:rPr>
                <w:b w:val="false"/>
                <w:bCs w:val="false"/>
                <w:color w:val="000000"/>
                <w:sz w:val="20"/>
                <w:szCs w:val="20"/>
              </w:rPr>
              <w:t xml:space="preserve">Authors</w:t>
            </w:r>
          </w:p>
        </w:tc>
        <w:tc>
          <w:tcPr>
            <w:tcW w:type="dxa" w:w="7200"/>
            <w:shd w:fill="F2F2F2" w:val="clear"/>
            <w:tcMar>
              <w:top w:type="dxa" w:w="80"/>
              <w:left w:type="dxa" w:w="100"/>
              <w:bottom w:type="dxa" w:w="80"/>
              <w:right w:type="dxa" w:w="100"/>
            </w:tcMar>
          </w:tcPr>
          <w:p>
            <w:r>
              <w:rPr>
                <w:b w:val="false"/>
                <w:bCs w:val="false"/>
                <w:color w:val="000000"/>
                <w:sz w:val="20"/>
                <w:szCs w:val="20"/>
              </w:rPr>
              <w:t xml:space="preserve">Vaia I. Kontopoulou, Athanasios D. Panagopoulos, Ioannis Kakkos, George K. Matsopoulos</w:t>
            </w:r>
          </w:p>
        </w:tc>
      </w:tr>
      <w:tr>
        <w:tc>
          <w:tcPr>
            <w:tcW w:type="dxa" w:w="2400"/>
            <w:tcMar>
              <w:top w:type="dxa" w:w="80"/>
              <w:left w:type="dxa" w:w="100"/>
              <w:bottom w:type="dxa" w:w="80"/>
              <w:right w:type="dxa" w:w="100"/>
            </w:tcMar>
          </w:tcPr>
          <w:p>
            <w:r>
              <w:rPr>
                <w:b w:val="false"/>
                <w:bCs w:val="false"/>
                <w:color w:val="000000"/>
                <w:sz w:val="20"/>
                <w:szCs w:val="20"/>
              </w:rPr>
              <w:t xml:space="preserve">Affiliation</w:t>
            </w:r>
          </w:p>
        </w:tc>
        <w:tc>
          <w:tcPr>
            <w:tcW w:type="dxa" w:w="7200"/>
            <w:tcMar>
              <w:top w:type="dxa" w:w="80"/>
              <w:left w:type="dxa" w:w="100"/>
              <w:bottom w:type="dxa" w:w="80"/>
              <w:right w:type="dxa" w:w="100"/>
            </w:tcMar>
          </w:tcPr>
          <w:p>
            <w:r>
              <w:rPr>
                <w:b w:val="false"/>
                <w:bCs w:val="false"/>
                <w:color w:val="000000"/>
                <w:sz w:val="20"/>
                <w:szCs w:val="20"/>
              </w:rPr>
              <w:t xml:space="preserve">National Technical University of Athens (NTUA), Greece</w:t>
            </w:r>
          </w:p>
        </w:tc>
      </w:tr>
      <w:tr>
        <w:tc>
          <w:tcPr>
            <w:tcW w:type="dxa" w:w="2400"/>
            <w:shd w:fill="F2F2F2" w:val="clear"/>
            <w:tcMar>
              <w:top w:type="dxa" w:w="80"/>
              <w:left w:type="dxa" w:w="100"/>
              <w:bottom w:type="dxa" w:w="80"/>
              <w:right w:type="dxa" w:w="100"/>
            </w:tcMar>
          </w:tcPr>
          <w:p>
            <w:r>
              <w:rPr>
                <w:b w:val="false"/>
                <w:bCs w:val="false"/>
                <w:color w:val="000000"/>
                <w:sz w:val="20"/>
                <w:szCs w:val="20"/>
              </w:rPr>
              <w:t xml:space="preserve">Journal / Type</w:t>
            </w:r>
          </w:p>
        </w:tc>
        <w:tc>
          <w:tcPr>
            <w:tcW w:type="dxa" w:w="7200"/>
            <w:shd w:fill="F2F2F2" w:val="clear"/>
            <w:tcMar>
              <w:top w:type="dxa" w:w="80"/>
              <w:left w:type="dxa" w:w="100"/>
              <w:bottom w:type="dxa" w:w="80"/>
              <w:right w:type="dxa" w:w="100"/>
            </w:tcMar>
          </w:tcPr>
          <w:p>
            <w:r>
              <w:rPr>
                <w:b w:val="false"/>
                <w:bCs w:val="false"/>
                <w:color w:val="000000"/>
                <w:sz w:val="20"/>
                <w:szCs w:val="20"/>
              </w:rPr>
              <w:t xml:space="preserve">Future Internet (MDPI), 2023, Vol. 15, Art. 255 — Review Article</w:t>
            </w:r>
          </w:p>
        </w:tc>
      </w:tr>
      <w:tr>
        <w:tc>
          <w:tcPr>
            <w:tcW w:type="dxa" w:w="2400"/>
            <w:tcMar>
              <w:top w:type="dxa" w:w="80"/>
              <w:left w:type="dxa" w:w="100"/>
              <w:bottom w:type="dxa" w:w="80"/>
              <w:right w:type="dxa" w:w="100"/>
            </w:tcMar>
          </w:tcPr>
          <w:p>
            <w:r>
              <w:rPr>
                <w:b w:val="false"/>
                <w:bCs w:val="false"/>
                <w:color w:val="000000"/>
                <w:sz w:val="20"/>
                <w:szCs w:val="20"/>
              </w:rPr>
              <w:t xml:space="preserve">Publication Date</w:t>
            </w:r>
          </w:p>
        </w:tc>
        <w:tc>
          <w:tcPr>
            <w:tcW w:type="dxa" w:w="7200"/>
            <w:tcMar>
              <w:top w:type="dxa" w:w="80"/>
              <w:left w:type="dxa" w:w="100"/>
              <w:bottom w:type="dxa" w:w="80"/>
              <w:right w:type="dxa" w:w="100"/>
            </w:tcMar>
          </w:tcPr>
          <w:p>
            <w:r>
              <w:rPr>
                <w:b w:val="false"/>
                <w:bCs w:val="false"/>
                <w:color w:val="000000"/>
                <w:sz w:val="20"/>
                <w:szCs w:val="20"/>
              </w:rPr>
              <w:t xml:space="preserve">Received 13 Jul 2023; Accepted 28 Jul 2023; Published 30 Jul 2023</w:t>
            </w:r>
          </w:p>
        </w:tc>
      </w:tr>
      <w:tr>
        <w:tc>
          <w:tcPr>
            <w:tcW w:type="dxa" w:w="2400"/>
            <w:shd w:fill="F2F2F2" w:val="clear"/>
            <w:tcMar>
              <w:top w:type="dxa" w:w="80"/>
              <w:left w:type="dxa" w:w="100"/>
              <w:bottom w:type="dxa" w:w="80"/>
              <w:right w:type="dxa" w:w="100"/>
            </w:tcMar>
          </w:tcPr>
          <w:p>
            <w:r>
              <w:rPr>
                <w:b w:val="false"/>
                <w:bCs w:val="false"/>
                <w:color w:val="000000"/>
                <w:sz w:val="20"/>
                <w:szCs w:val="20"/>
              </w:rPr>
              <w:t xml:space="preserve">Domain</w:t>
            </w:r>
          </w:p>
        </w:tc>
        <w:tc>
          <w:tcPr>
            <w:tcW w:type="dxa" w:w="7200"/>
            <w:shd w:fill="F2F2F2" w:val="clear"/>
            <w:tcMar>
              <w:top w:type="dxa" w:w="80"/>
              <w:left w:type="dxa" w:w="100"/>
              <w:bottom w:type="dxa" w:w="80"/>
              <w:right w:type="dxa" w:w="100"/>
            </w:tcMar>
          </w:tcPr>
          <w:p>
            <w:r>
              <w:rPr>
                <w:b w:val="false"/>
                <w:bCs w:val="false"/>
                <w:color w:val="000000"/>
                <w:sz w:val="20"/>
                <w:szCs w:val="20"/>
              </w:rPr>
              <w:t xml:space="preserve">Time series forecasting; statistical modelling vs. AI/ML; data-driven networks</w:t>
            </w:r>
          </w:p>
        </w:tc>
      </w:tr>
      <w:tr>
        <w:tc>
          <w:tcPr>
            <w:tcW w:type="dxa" w:w="2400"/>
            <w:tcMar>
              <w:top w:type="dxa" w:w="80"/>
              <w:left w:type="dxa" w:w="100"/>
              <w:bottom w:type="dxa" w:w="80"/>
              <w:right w:type="dxa" w:w="100"/>
            </w:tcMar>
          </w:tcPr>
          <w:p>
            <w:r>
              <w:rPr>
                <w:b w:val="false"/>
                <w:bCs w:val="false"/>
                <w:color w:val="000000"/>
                <w:sz w:val="20"/>
                <w:szCs w:val="20"/>
              </w:rPr>
              <w:t xml:space="preserve">Core Comparators</w:t>
            </w:r>
          </w:p>
        </w:tc>
        <w:tc>
          <w:tcPr>
            <w:tcW w:type="dxa" w:w="7200"/>
            <w:tcMar>
              <w:top w:type="dxa" w:w="80"/>
              <w:left w:type="dxa" w:w="100"/>
              <w:bottom w:type="dxa" w:w="80"/>
              <w:right w:type="dxa" w:w="100"/>
            </w:tcMar>
          </w:tcPr>
          <w:p>
            <w:r>
              <w:rPr>
                <w:b w:val="false"/>
                <w:bCs w:val="false"/>
                <w:color w:val="000000"/>
                <w:sz w:val="20"/>
                <w:szCs w:val="20"/>
              </w:rPr>
              <w:t xml:space="preserve">ARIMA/SARIMA vs. SVM, Decision Trees/Ensembles, Deep Learning (ANN, RNN, LSTM, GRU, CNN), and Hybrid models</w:t>
            </w:r>
          </w:p>
        </w:tc>
      </w:tr>
    </w:tbl>
    <w:p>
      <w:pPr>
        <w:pStyle w:val="Heading1"/>
        <w:pBdr>
          <w:bottom w:val="single" w:color="2E74B5" w:sz="8" w:space="4"/>
        </w:pBdr>
        <w:spacing w:after="160" w:before="360"/>
      </w:pPr>
      <w:r>
        <w:rPr>
          <w:b/>
          <w:bCs/>
          <w:color w:val="1F3864"/>
          <w:sz w:val="30"/>
          <w:szCs w:val="30"/>
        </w:rPr>
        <w:t xml:space="preserve">2. Storytelling — Narrative Architecture of the Paper</w:t>
      </w:r>
    </w:p>
    <w:p>
      <w:pPr>
        <w:spacing w:after="160" w:line="276"/>
        <w:jc w:val="both"/>
      </w:pPr>
      <w:r>
        <w:rPr>
          <w:sz w:val="22"/>
          <w:szCs w:val="22"/>
        </w:rPr>
        <w:t xml:space="preserve">Although the article is a scientific review rather than a work of fiction, it is constructed with a deliberate narrative arc that guides the reader from an unresolved tension toward a nuanced resolution. Understanding this arc is central to appreciating how the authors build their argument.</w:t>
      </w:r>
    </w:p>
    <w:p>
      <w:pPr>
        <w:pStyle w:val="Heading2"/>
        <w:spacing w:after="120" w:before="260"/>
      </w:pPr>
      <w:r>
        <w:rPr>
          <w:b/>
          <w:bCs/>
          <w:color w:val="2E74B5"/>
          <w:sz w:val="24"/>
          <w:szCs w:val="24"/>
        </w:rPr>
        <w:t xml:space="preserve">2.1 Exposition — Setting the Scene</w:t>
      </w:r>
    </w:p>
    <w:p>
      <w:pPr>
        <w:spacing w:after="160" w:line="276"/>
        <w:jc w:val="both"/>
      </w:pPr>
      <w:r>
        <w:rPr>
          <w:sz w:val="22"/>
          <w:szCs w:val="22"/>
        </w:rPr>
        <w:t xml:space="preserve">The paper opens by establishing two competing worldviews: the decades-old statistical tradition represented by ARIMA (“widely applied for half a century”) and the rapidly ascending paradigm of machine and deep learning. This is a classic storytelling device—the introduction of an incumbent and a challenger—which immediately creates dramatic tension: is the new approach genuinely superior, or is its dominance a matter of hype outpacing evidence?</w:t>
      </w:r>
    </w:p>
    <w:p>
      <w:pPr>
        <w:pStyle w:val="Heading2"/>
        <w:spacing w:after="120" w:before="260"/>
      </w:pPr>
      <w:r>
        <w:rPr>
          <w:b/>
          <w:bCs/>
          <w:color w:val="2E74B5"/>
          <w:sz w:val="24"/>
          <w:szCs w:val="24"/>
        </w:rPr>
        <w:t xml:space="preserve">2.2 Rising Action — The Unresolved Conflict</w:t>
      </w:r>
    </w:p>
    <w:p>
      <w:pPr>
        <w:pStyle w:val="ListParagraph"/>
        <w:numPr>
          <w:ilvl w:val="0"/>
          <w:numId w:val="2"/>
        </w:numPr>
        <w:spacing w:after="100" w:line="276"/>
      </w:pPr>
      <w:r>
        <w:rPr>
          <w:b/>
          <w:bCs/>
          <w:sz w:val="22"/>
          <w:szCs w:val="22"/>
        </w:rPr>
        <w:t xml:space="preserve">Conflict framing: </w:t>
      </w:r>
      <w:r>
        <w:rPr>
          <w:sz w:val="22"/>
          <w:szCs w:val="22"/>
        </w:rPr>
        <w:t xml:space="preserve">the authors highlight that many ML papers report favourable accuracy “without a proper foundation,” i.e., without disciplined benchmarking against classical baselines — turning the review into an investigation of a suspected weakness in the field's evidentiary practices.</w:t>
      </w:r>
    </w:p>
    <w:p>
      <w:pPr>
        <w:pStyle w:val="ListParagraph"/>
        <w:numPr>
          <w:ilvl w:val="0"/>
          <w:numId w:val="2"/>
        </w:numPr>
        <w:spacing w:after="100" w:line="276"/>
      </w:pPr>
      <w:r>
        <w:rPr>
          <w:b/>
          <w:bCs/>
          <w:sz w:val="22"/>
          <w:szCs w:val="22"/>
        </w:rPr>
        <w:t xml:space="preserve">Widening the stage: </w:t>
      </w:r>
      <w:r>
        <w:rPr>
          <w:sz w:val="22"/>
          <w:szCs w:val="22"/>
        </w:rPr>
        <w:t xml:space="preserve">the narrative broadens across five application domains — finance, healthcare, weather, utilities, and network traffic — mirroring the structure of an ensemble story where the same core conflict (ARIMA vs. ML) plays out repeatedly in different settings, each with its own local colour (bitcoin prices, COVID-19 cases, wind speed, drought indices, web traffic).</w:t>
      </w:r>
    </w:p>
    <w:p>
      <w:pPr>
        <w:pStyle w:val="ListParagraph"/>
        <w:numPr>
          <w:ilvl w:val="0"/>
          <w:numId w:val="2"/>
        </w:numPr>
        <w:spacing w:after="100" w:line="276"/>
      </w:pPr>
      <w:r>
        <w:rPr>
          <w:b/>
          <w:bCs/>
          <w:sz w:val="22"/>
          <w:szCs w:val="22"/>
        </w:rPr>
        <w:t xml:space="preserve">Introducing the theoretical cast: </w:t>
      </w:r>
      <w:r>
        <w:rPr>
          <w:sz w:val="22"/>
          <w:szCs w:val="22"/>
        </w:rPr>
        <w:t xml:space="preserve">Sections 2–3 function as character introductions — ARIMA's mathematical anatomy, SVM/SVR, decision trees and ensembles (XGBoost, LightGBM), and the deep learning family (ANN, RNN, LSTM, GRU, CNN) are each given a dedicated exposition before they are placed into head-to-head comparisons.</w:t>
      </w:r>
    </w:p>
    <w:p>
      <w:pPr>
        <w:pStyle w:val="Heading2"/>
        <w:spacing w:after="120" w:before="260"/>
      </w:pPr>
      <w:r>
        <w:rPr>
          <w:b/>
          <w:bCs/>
          <w:color w:val="2E74B5"/>
          <w:sz w:val="24"/>
          <w:szCs w:val="24"/>
        </w:rPr>
        <w:t xml:space="preserve">2.3 Climax — The Comparative Tables</w:t>
      </w:r>
    </w:p>
    <w:p>
      <w:pPr>
        <w:spacing w:after="160" w:line="276"/>
        <w:jc w:val="both"/>
      </w:pPr>
      <w:r>
        <w:rPr>
          <w:sz w:val="22"/>
          <w:szCs w:val="22"/>
        </w:rPr>
        <w:t xml:space="preserve">Tables 2 through 5 constitute the narrative climax: dozens of individually cited studies are marshalled as “evidence witnesses,” each contributing a verdict (ARIMA wins, ML wins, or hybrid wins) drawn from a specific dataset and metric. The prose accompanying each table functions like a court transcript, walking through case after case (Makala et al. on gold prices, Singh et al. on COVID-19, Zhang et al. on drought, Yamak et al. and Hua et al. on bitcoin, and so on) and recording which model prevailed and under what conditions.</w:t>
      </w:r>
    </w:p>
    <w:p>
      <w:pPr>
        <w:pStyle w:val="Heading2"/>
        <w:spacing w:after="120" w:before="260"/>
      </w:pPr>
      <w:r>
        <w:rPr>
          <w:b/>
          <w:bCs/>
          <w:color w:val="2E74B5"/>
          <w:sz w:val="24"/>
          <w:szCs w:val="24"/>
        </w:rPr>
        <w:t xml:space="preserve">2.4 Falling Action — The Twist</w:t>
      </w:r>
    </w:p>
    <w:p>
      <w:pPr>
        <w:spacing w:after="160" w:line="276"/>
        <w:jc w:val="both"/>
      </w:pPr>
      <w:r>
        <w:rPr>
          <w:sz w:val="22"/>
          <w:szCs w:val="22"/>
        </w:rPr>
        <w:t xml:space="preserve">Just as the reader might conclude that AI models simply outperform ARIMA across the board, Section 5 introduces a deliberate narrative twist: a subset of studies in which ARIMA wins — in drought forecasting, short-term linear load forecasting, small or narrow-range datasets, and offshore wind-speed prediction. This twist is the intellectual payoff of the review: it reframes the entire question from “which model is better” to “under which conditions is each model better,” which is a more mature and useful scientific narrative.</w:t>
      </w:r>
    </w:p>
    <w:p>
      <w:pPr>
        <w:pStyle w:val="Heading2"/>
        <w:spacing w:after="120" w:before="260"/>
      </w:pPr>
      <w:r>
        <w:rPr>
          <w:b/>
          <w:bCs/>
          <w:color w:val="2E74B5"/>
          <w:sz w:val="24"/>
          <w:szCs w:val="24"/>
        </w:rPr>
        <w:t xml:space="preserve">2.5 Resolution — The Hybrid Synthesis</w:t>
      </w:r>
    </w:p>
    <w:p>
      <w:pPr>
        <w:spacing w:after="160" w:line="276"/>
        <w:jc w:val="both"/>
      </w:pPr>
      <w:r>
        <w:rPr>
          <w:sz w:val="22"/>
          <w:szCs w:val="22"/>
        </w:rPr>
        <w:t xml:space="preserve">The story resolves not with a single winner but with a synthesis: hybrid ARIMA-ML models, which “steadily outperform their individual parts.” This resolution embodies a common motif in applied AI storytelling — the reconciliation of opposites rather than the triumph of one side — and is reinforced by the summary Table 6, which acts as the moral of the story: a condensed, take-away comparison of when to trust each approach.</w:t>
      </w:r>
    </w:p>
    <w:p>
      <w:pPr>
        <w:spacing w:after="160" w:line="276"/>
        <w:jc w:val="both"/>
      </w:pPr>
      <w:r>
        <w:rPr>
          <w:sz w:val="22"/>
          <w:szCs w:val="22"/>
        </w:rPr>
        <w:t xml:space="preserve">From a scientific-writing standpoint, this arc is effective because it (a) sets clear expectations early, (b) uses repeated domain-specific case studies to build cumulative evidence rather than a single anecdote, (c) resists a simplistic conclusion in favour of a conditional, criteria-based one, and (d) closes with actionable guidance (Table 6) that a practitioner-reader can apply directly.</w:t>
      </w:r>
    </w:p>
    <w:p>
      <w:pPr>
        <w:pStyle w:val="Heading1"/>
        <w:pBdr>
          <w:bottom w:val="single" w:color="2E74B5" w:sz="8" w:space="4"/>
        </w:pBdr>
        <w:spacing w:after="160" w:before="360"/>
      </w:pPr>
      <w:r>
        <w:rPr>
          <w:b/>
          <w:bCs/>
          <w:color w:val="1F3864"/>
          <w:sz w:val="30"/>
          <w:szCs w:val="30"/>
        </w:rPr>
        <w:t xml:space="preserve">3. Problem Statement</w:t>
      </w:r>
    </w:p>
    <w:p>
      <w:pPr>
        <w:spacing w:after="160" w:line="276"/>
        <w:jc w:val="both"/>
      </w:pPr>
      <w:r>
        <w:rPr>
          <w:sz w:val="22"/>
          <w:szCs w:val="22"/>
        </w:rPr>
        <w:t xml:space="preserve">The problem statement is distributed across the Abstract and Introduction (Sections 1 and 1.2) rather than isolated into a single sentence, which is typical of review articles. It can be reconstructed as follows:</w:t>
      </w:r>
    </w:p>
    <w:p>
      <w:pPr>
        <w:pStyle w:val="ListParagraph"/>
        <w:numPr>
          <w:ilvl w:val="0"/>
          <w:numId w:val="2"/>
        </w:numPr>
        <w:spacing w:after="100" w:line="276"/>
      </w:pPr>
      <w:r>
        <w:rPr>
          <w:b/>
          <w:bCs/>
          <w:sz w:val="22"/>
          <w:szCs w:val="22"/>
        </w:rPr>
        <w:t xml:space="preserve">Core problem: </w:t>
      </w:r>
      <w:r>
        <w:rPr>
          <w:sz w:val="22"/>
          <w:szCs w:val="22"/>
        </w:rPr>
        <w:t xml:space="preserve">the rapid, accelerating adoption of machine and deep learning models for time series forecasting is occurring “even without a complete evaluation of the superiority of the new approach over the classic statistical algorithms.”</w:t>
      </w:r>
    </w:p>
    <w:p>
      <w:pPr>
        <w:pStyle w:val="ListParagraph"/>
        <w:numPr>
          <w:ilvl w:val="0"/>
          <w:numId w:val="2"/>
        </w:numPr>
        <w:spacing w:after="100" w:line="276"/>
      </w:pPr>
      <w:r>
        <w:rPr>
          <w:b/>
          <w:bCs/>
          <w:sz w:val="22"/>
          <w:szCs w:val="22"/>
        </w:rPr>
        <w:t xml:space="preserve">Secondary problem: </w:t>
      </w:r>
      <w:r>
        <w:rPr>
          <w:sz w:val="22"/>
          <w:szCs w:val="22"/>
        </w:rPr>
        <w:t xml:space="preserve">a large share of ML forecasting publications report accuracy values that are not benchmarked against simple statistical baselines, making claims of superiority scientifically unverifiable at the level of the field as a whole.</w:t>
      </w:r>
    </w:p>
    <w:p>
      <w:pPr>
        <w:pStyle w:val="ListParagraph"/>
        <w:numPr>
          <w:ilvl w:val="0"/>
          <w:numId w:val="2"/>
        </w:numPr>
        <w:spacing w:after="100" w:line="276"/>
      </w:pPr>
      <w:r>
        <w:rPr>
          <w:b/>
          <w:bCs/>
          <w:sz w:val="22"/>
          <w:szCs w:val="22"/>
        </w:rPr>
        <w:t xml:space="preserve">Practical consequence: </w:t>
      </w:r>
      <w:r>
        <w:rPr>
          <w:sz w:val="22"/>
          <w:szCs w:val="22"/>
        </w:rPr>
        <w:t xml:space="preserve">practitioners and researchers in data-driven network applications (finance, health, weather, utilities, networking) lack a consolidated, evidence-based reference for choosing between ARIMA, ML, and hybrid models for a given forecasting task.</w:t>
      </w:r>
    </w:p>
    <w:p>
      <w:pPr>
        <w:spacing w:after="160" w:line="276"/>
        <w:jc w:val="both"/>
      </w:pPr>
      <w:r>
        <w:rPr>
          <w:sz w:val="22"/>
          <w:szCs w:val="22"/>
        </w:rPr>
        <w:t xml:space="preserve">In formal terms, the problem statement can be restated as: “There is currently no consolidated, multi-domain synthesis of empirical comparisons between ARIMA and machine-learning-based forecasting models, and therefore no reliable basis exists for determining when the shift toward AI-based forecasting is empirically justified.” This is a meta-scientific problem — a problem about the state of the evidence itself — rather than a technical modelling problem, which is consistent with the paper being a review rather than an original empirical study.</w:t>
      </w:r>
    </w:p>
    <w:p>
      <w:pPr>
        <w:pStyle w:val="Heading1"/>
        <w:pBdr>
          <w:bottom w:val="single" w:color="2E74B5" w:sz="8" w:space="4"/>
        </w:pBdr>
        <w:spacing w:after="160" w:before="360"/>
      </w:pPr>
      <w:r>
        <w:rPr>
          <w:b/>
          <w:bCs/>
          <w:color w:val="1F3864"/>
          <w:sz w:val="30"/>
          <w:szCs w:val="30"/>
        </w:rPr>
        <w:t xml:space="preserve">4. Research Gap</w:t>
      </w:r>
    </w:p>
    <w:p>
      <w:pPr>
        <w:spacing w:after="160" w:line="276"/>
        <w:jc w:val="both"/>
      </w:pPr>
      <w:r>
        <w:rPr>
          <w:sz w:val="22"/>
          <w:szCs w:val="22"/>
        </w:rPr>
        <w:t xml:space="preserve">The authors explicitly stake a novelty claim: “This is the only such review, according to the authors' best knowledge” (Section 1.2). The research gap they identify has several layers:</w:t>
      </w:r>
    </w:p>
    <w:p>
      <w:pPr>
        <w:pStyle w:val="ListParagraph"/>
        <w:numPr>
          <w:ilvl w:val="0"/>
          <w:numId w:val="2"/>
        </w:numPr>
        <w:spacing w:after="100" w:line="276"/>
      </w:pPr>
      <w:r>
        <w:rPr>
          <w:b/>
          <w:bCs/>
          <w:sz w:val="22"/>
          <w:szCs w:val="22"/>
        </w:rPr>
        <w:t xml:space="preserve">1. Absence of a cross-domain synthesis: </w:t>
      </w:r>
      <w:r>
        <w:rPr>
          <w:sz w:val="22"/>
          <w:szCs w:val="22"/>
        </w:rPr>
        <w:t xml:space="preserve">prior literature contains many individual comparative studies (ARIMA vs. SVM in one paper, ARIMA vs. LSTM in another) but, according to the authors, no prior work aggregates these across finance, health, weather, utilities, and network domains into a single review.</w:t>
      </w:r>
    </w:p>
    <w:p>
      <w:pPr>
        <w:pStyle w:val="ListParagraph"/>
        <w:numPr>
          <w:ilvl w:val="0"/>
          <w:numId w:val="2"/>
        </w:numPr>
        <w:spacing w:after="100" w:line="276"/>
      </w:pPr>
      <w:r>
        <w:rPr>
          <w:b/>
          <w:bCs/>
          <w:sz w:val="22"/>
          <w:szCs w:val="22"/>
        </w:rPr>
        <w:t xml:space="preserve">2. Fragmentation by model family: </w:t>
      </w:r>
      <w:r>
        <w:rPr>
          <w:sz w:val="22"/>
          <w:szCs w:val="22"/>
        </w:rPr>
        <w:t xml:space="preserve">existing surveys tend to focus on one ML family (e.g., only deep learning, or only tree-based models) rather than spanning SVM, tree ensembles, deep learning, and hybrid architectures together.</w:t>
      </w:r>
    </w:p>
    <w:p>
      <w:pPr>
        <w:pStyle w:val="ListParagraph"/>
        <w:numPr>
          <w:ilvl w:val="0"/>
          <w:numId w:val="2"/>
        </w:numPr>
        <w:spacing w:after="100" w:line="276"/>
      </w:pPr>
      <w:r>
        <w:rPr>
          <w:b/>
          <w:bCs/>
          <w:sz w:val="22"/>
          <w:szCs w:val="22"/>
        </w:rPr>
        <w:t xml:space="preserve">3. Lack of a conditions-based framework: </w:t>
      </w:r>
      <w:r>
        <w:rPr>
          <w:sz w:val="22"/>
          <w:szCs w:val="22"/>
        </w:rPr>
        <w:t xml:space="preserve">the literature reports isolated “winner” outcomes per study, but — prior to this review — no consolidated attempt existed to extract the underlying dataset or model conditions (linearity, data volume, seasonality, value range) that determine when ARIMA outperforms AI methods, which the authors address in Section 5 and Table 6.</w:t>
      </w:r>
    </w:p>
    <w:p>
      <w:pPr>
        <w:pStyle w:val="ListParagraph"/>
        <w:numPr>
          <w:ilvl w:val="0"/>
          <w:numId w:val="2"/>
        </w:numPr>
        <w:spacing w:after="100" w:line="276"/>
      </w:pPr>
      <w:r>
        <w:rPr>
          <w:b/>
          <w:bCs/>
          <w:sz w:val="22"/>
          <w:szCs w:val="22"/>
        </w:rPr>
        <w:t xml:space="preserve">4. Under-scrutiny of the hybrid literature: </w:t>
      </w:r>
      <w:r>
        <w:rPr>
          <w:sz w:val="22"/>
          <w:szCs w:val="22"/>
        </w:rPr>
        <w:t xml:space="preserve">hybrid ARIMA-ML approaches are scattered across domain-specific papers (e.g., Zhang et al. 2003; Nie et al. 2012) without being drawn together to demonstrate a general pattern of hybrid superiority.</w:t>
      </w:r>
    </w:p>
    <w:p>
      <w:pPr>
        <w:spacing w:after="160" w:line="276"/>
        <w:jc w:val="both"/>
      </w:pPr>
      <w:r>
        <w:rPr>
          <w:sz w:val="22"/>
          <w:szCs w:val="22"/>
        </w:rPr>
        <w:t xml:space="preserve">It is worth noting, from a critical scientific-writing perspective, that the novelty claim is asserted rather than demonstrated through a systematic search protocol (see Section 6 below on methodology). The gap is therefore rhetorically well-argued but not evidenced with the rigor a systematic review or PRISMA-style methodology would require.</w:t>
      </w:r>
    </w:p>
    <w:p>
      <w:pPr>
        <w:pStyle w:val="Heading1"/>
        <w:pBdr>
          <w:bottom w:val="single" w:color="2E74B5" w:sz="8" w:space="4"/>
        </w:pBdr>
        <w:spacing w:after="160" w:before="360"/>
      </w:pPr>
      <w:r>
        <w:rPr>
          <w:b/>
          <w:bCs/>
          <w:color w:val="1F3864"/>
          <w:sz w:val="30"/>
          <w:szCs w:val="30"/>
        </w:rPr>
        <w:t xml:space="preserve">5. Assumptions</w:t>
      </w:r>
    </w:p>
    <w:p>
      <w:pPr>
        <w:spacing w:after="160" w:line="276"/>
        <w:jc w:val="both"/>
      </w:pPr>
      <w:r>
        <w:rPr>
          <w:sz w:val="22"/>
          <w:szCs w:val="22"/>
        </w:rPr>
        <w:t xml:space="preserve">Several assumptions — some explicit, many implicit — underpin the review's design and conclusions. Identifying them is essential for evaluating the reliability of the paper's claims.</w:t>
      </w:r>
    </w:p>
    <w:p>
      <w:pPr>
        <w:pStyle w:val="Heading2"/>
        <w:spacing w:after="120" w:before="260"/>
      </w:pPr>
      <w:r>
        <w:rPr>
          <w:b/>
          <w:bCs/>
          <w:color w:val="2E74B5"/>
          <w:sz w:val="24"/>
          <w:szCs w:val="24"/>
        </w:rPr>
        <w:t xml:space="preserve">5.1 Explicit / Stated Assumptions</w:t>
      </w:r>
    </w:p>
    <w:p>
      <w:pPr>
        <w:pStyle w:val="ListParagraph"/>
        <w:numPr>
          <w:ilvl w:val="0"/>
          <w:numId w:val="2"/>
        </w:numPr>
        <w:spacing w:after="100" w:line="276"/>
      </w:pPr>
      <w:r>
        <w:rPr>
          <w:sz w:val="22"/>
          <w:szCs w:val="22"/>
        </w:rPr>
        <w:t xml:space="preserve">Time series data is assumed to consist of equally spaced, ordered observations of a variable (Section 2.1) — the standard definition adopted without contesting edge cases such as irregularly sampled data.</w:t>
      </w:r>
    </w:p>
    <w:p>
      <w:pPr>
        <w:pStyle w:val="ListParagraph"/>
        <w:numPr>
          <w:ilvl w:val="0"/>
          <w:numId w:val="2"/>
        </w:numPr>
        <w:spacing w:after="100" w:line="276"/>
      </w:pPr>
      <w:r>
        <w:rPr>
          <w:sz w:val="22"/>
          <w:szCs w:val="22"/>
        </w:rPr>
        <w:t xml:space="preserve">The “No-Free-Lunch” theorem is invoked as a governing assumption: no single forecasting method is optimal for all series, which justifies the paper's conditions-based conclusion rather than a universal ranking.</w:t>
      </w:r>
    </w:p>
    <w:p>
      <w:pPr>
        <w:pStyle w:val="ListParagraph"/>
        <w:numPr>
          <w:ilvl w:val="0"/>
          <w:numId w:val="2"/>
        </w:numPr>
        <w:spacing w:after="100" w:line="276"/>
      </w:pPr>
      <w:r>
        <w:rPr>
          <w:sz w:val="22"/>
          <w:szCs w:val="22"/>
        </w:rPr>
        <w:t xml:space="preserve">The authors assume that comparing published metrics (RMSE, MAE, MAPE, MSE, R², NSE, etc.) across independently conducted studies is a valid basis for cross-study synthesis, despite each study using different datasets, preprocessing, and train/test splits.</w:t>
      </w:r>
    </w:p>
    <w:p>
      <w:pPr>
        <w:pStyle w:val="Heading2"/>
        <w:spacing w:after="120" w:before="260"/>
      </w:pPr>
      <w:r>
        <w:rPr>
          <w:b/>
          <w:bCs/>
          <w:color w:val="2E74B5"/>
          <w:sz w:val="24"/>
          <w:szCs w:val="24"/>
        </w:rPr>
        <w:t xml:space="preserve">5.2 Implicit / Unstated Assumptions</w:t>
      </w:r>
    </w:p>
    <w:p>
      <w:pPr>
        <w:pStyle w:val="ListParagraph"/>
        <w:numPr>
          <w:ilvl w:val="0"/>
          <w:numId w:val="2"/>
        </w:numPr>
        <w:spacing w:after="100" w:line="276"/>
      </w:pPr>
      <w:r>
        <w:rPr>
          <w:b/>
          <w:bCs/>
          <w:sz w:val="22"/>
          <w:szCs w:val="22"/>
        </w:rPr>
        <w:t xml:space="preserve">Comparability across heterogeneous studies: </w:t>
      </w:r>
      <w:r>
        <w:rPr>
          <w:sz w:val="22"/>
          <w:szCs w:val="22"/>
        </w:rPr>
        <w:t xml:space="preserve">the review implicitly assumes that a “win” for ML in one paper (e.g., bitcoin price prediction) and a “win” for ARIMA in another (e.g., drought forecasting) are commensurable data points that can be aggregated into a general pattern, even though sample sizes, hyperparameter tuning effort, and reporting standards differ widely between the underlying studies.</w:t>
      </w:r>
    </w:p>
    <w:p>
      <w:pPr>
        <w:pStyle w:val="ListParagraph"/>
        <w:numPr>
          <w:ilvl w:val="0"/>
          <w:numId w:val="2"/>
        </w:numPr>
        <w:spacing w:after="100" w:line="276"/>
      </w:pPr>
      <w:r>
        <w:rPr>
          <w:b/>
          <w:bCs/>
          <w:sz w:val="22"/>
          <w:szCs w:val="22"/>
        </w:rPr>
        <w:t xml:space="preserve">Fair-comparison assumption: </w:t>
      </w:r>
      <w:r>
        <w:rPr>
          <w:sz w:val="22"/>
          <w:szCs w:val="22"/>
        </w:rPr>
        <w:t xml:space="preserve">the review assumes that the ARIMA models in the cited studies were reasonably well-optimised (e.g., via AIC/BIC or auto.arima) and not deliberately under-tuned to make ML look favourable — an assumption the authors cannot fully verify since they did not re-run the experiments themselves.</w:t>
      </w:r>
    </w:p>
    <w:p>
      <w:pPr>
        <w:pStyle w:val="ListParagraph"/>
        <w:numPr>
          <w:ilvl w:val="0"/>
          <w:numId w:val="2"/>
        </w:numPr>
        <w:spacing w:after="100" w:line="276"/>
      </w:pPr>
      <w:r>
        <w:rPr>
          <w:b/>
          <w:bCs/>
          <w:sz w:val="22"/>
          <w:szCs w:val="22"/>
        </w:rPr>
        <w:t xml:space="preserve">Publication-record representativeness: </w:t>
      </w:r>
      <w:r>
        <w:rPr>
          <w:sz w:val="22"/>
          <w:szCs w:val="22"/>
        </w:rPr>
        <w:t xml:space="preserve">the sample of studies selected (mostly post-2018, with two older exceptions) is assumed to be representative of the broader literature, even though the selection process is described as illustrative (“a selection of academic papers”) rather than exhaustive or systematically sampled.</w:t>
      </w:r>
    </w:p>
    <w:p>
      <w:pPr>
        <w:pStyle w:val="ListParagraph"/>
        <w:numPr>
          <w:ilvl w:val="0"/>
          <w:numId w:val="2"/>
        </w:numPr>
        <w:spacing w:after="100" w:line="276"/>
      </w:pPr>
      <w:r>
        <w:rPr>
          <w:b/>
          <w:bCs/>
          <w:sz w:val="22"/>
          <w:szCs w:val="22"/>
        </w:rPr>
        <w:t xml:space="preserve">Stability of metric semantics: </w:t>
      </w:r>
      <w:r>
        <w:rPr>
          <w:sz w:val="22"/>
          <w:szCs w:val="22"/>
        </w:rPr>
        <w:t xml:space="preserve">MAPE, RMSE, and similar metrics are assumed to mean the same thing and be similarly reliable across domains, despite known issues (e.g., MAPE's instability near zero values) that are not discussed.</w:t>
      </w:r>
    </w:p>
    <w:p>
      <w:pPr>
        <w:pStyle w:val="ListParagraph"/>
        <w:numPr>
          <w:ilvl w:val="0"/>
          <w:numId w:val="2"/>
        </w:numPr>
        <w:spacing w:after="100" w:line="276"/>
      </w:pPr>
      <w:r>
        <w:rPr>
          <w:b/>
          <w:bCs/>
          <w:sz w:val="22"/>
          <w:szCs w:val="22"/>
        </w:rPr>
        <w:t xml:space="preserve">Generalisability of domain groupings: </w:t>
      </w:r>
      <w:r>
        <w:rPr>
          <w:sz w:val="22"/>
          <w:szCs w:val="22"/>
        </w:rPr>
        <w:t xml:space="preserve">the five chosen domains (finance, health, weather, utilities, networks) are assumed to adequately represent “data-driven networks” as a category, without justifying why other domains (e.g., manufacturing, transportation logistics broadly, social media analytics) were excluded.</w:t>
      </w:r>
    </w:p>
    <w:p>
      <w:pPr>
        <w:pStyle w:val="Heading1"/>
        <w:pBdr>
          <w:bottom w:val="single" w:color="2E74B5" w:sz="8" w:space="4"/>
        </w:pBdr>
        <w:spacing w:after="160" w:before="360"/>
      </w:pPr>
      <w:r>
        <w:rPr>
          <w:b/>
          <w:bCs/>
          <w:color w:val="1F3864"/>
          <w:sz w:val="30"/>
          <w:szCs w:val="30"/>
        </w:rPr>
        <w:t xml:space="preserve">6. Methodology</w:t>
      </w:r>
    </w:p>
    <w:p>
      <w:pPr>
        <w:spacing w:after="160" w:line="276"/>
        <w:jc w:val="both"/>
      </w:pPr>
      <w:r>
        <w:rPr>
          <w:sz w:val="22"/>
          <w:szCs w:val="22"/>
        </w:rPr>
        <w:t xml:space="preserve">As a review article, the paper's “methodology” concerns how the literature was selected, organised, and synthesised, rather than an original experimental design. This is an important distinction for the assignment: the methodology here is a literature-synthesis methodology, not a data-collection methodology.</w:t>
      </w:r>
    </w:p>
    <w:p>
      <w:pPr>
        <w:pStyle w:val="Heading2"/>
        <w:spacing w:after="120" w:before="260"/>
      </w:pPr>
      <w:r>
        <w:rPr>
          <w:b/>
          <w:bCs/>
          <w:color w:val="2E74B5"/>
          <w:sz w:val="24"/>
          <w:szCs w:val="24"/>
        </w:rPr>
        <w:t xml:space="preserve">6.1 Review Design</w:t>
      </w:r>
    </w:p>
    <w:p>
      <w:pPr>
        <w:pStyle w:val="ListParagraph"/>
        <w:numPr>
          <w:ilvl w:val="0"/>
          <w:numId w:val="2"/>
        </w:numPr>
        <w:spacing w:after="100" w:line="276"/>
      </w:pPr>
      <w:r>
        <w:rPr>
          <w:b/>
          <w:bCs/>
          <w:sz w:val="22"/>
          <w:szCs w:val="22"/>
        </w:rPr>
        <w:t xml:space="preserve">Type of review: </w:t>
      </w:r>
      <w:r>
        <w:rPr>
          <w:sz w:val="22"/>
          <w:szCs w:val="22"/>
        </w:rPr>
        <w:t xml:space="preserve">a narrative literature review, not a systematic review or meta-analysis. There is no PRISMA flow diagram, no explicit search string, no database list (e.g., Scopus, Web of Science), no inclusion/exclusion criteria, and no formal quality-appraisal or risk-of-bias framework.</w:t>
      </w:r>
    </w:p>
    <w:p>
      <w:pPr>
        <w:pStyle w:val="ListParagraph"/>
        <w:numPr>
          <w:ilvl w:val="0"/>
          <w:numId w:val="2"/>
        </w:numPr>
        <w:spacing w:after="100" w:line="276"/>
      </w:pPr>
      <w:r>
        <w:rPr>
          <w:b/>
          <w:bCs/>
          <w:sz w:val="22"/>
          <w:szCs w:val="22"/>
        </w:rPr>
        <w:t xml:space="preserve">Sampling strategy: </w:t>
      </w:r>
      <w:r>
        <w:rPr>
          <w:sz w:val="22"/>
          <w:szCs w:val="22"/>
        </w:rPr>
        <w:t xml:space="preserve">described as choosing “a selection of academic papers” that explicitly compare ARIMA/SARIMA against ML or hybrid models on the same dataset — a deliberate and reasonable filter (it restricts the review to head-to-head comparative studies rather than standalone model papers) but one whose completeness cannot be externally verified.</w:t>
      </w:r>
    </w:p>
    <w:p>
      <w:pPr>
        <w:pStyle w:val="ListParagraph"/>
        <w:numPr>
          <w:ilvl w:val="0"/>
          <w:numId w:val="2"/>
        </w:numPr>
        <w:spacing w:after="100" w:line="276"/>
      </w:pPr>
      <w:r>
        <w:rPr>
          <w:b/>
          <w:bCs/>
          <w:sz w:val="22"/>
          <w:szCs w:val="22"/>
        </w:rPr>
        <w:t xml:space="preserve">Temporal scope: </w:t>
      </w:r>
      <w:r>
        <w:rPr>
          <w:sz w:val="22"/>
          <w:szCs w:val="22"/>
        </w:rPr>
        <w:t xml:space="preserve">predominantly studies published after 2018, with two classic exceptions (Zhang et al. 2003; Nie et al. 2012) retained for their foundational role in hybrid modelling.</w:t>
      </w:r>
    </w:p>
    <w:p>
      <w:pPr>
        <w:pStyle w:val="ListParagraph"/>
        <w:numPr>
          <w:ilvl w:val="0"/>
          <w:numId w:val="2"/>
        </w:numPr>
        <w:spacing w:after="100" w:line="276"/>
      </w:pPr>
      <w:r>
        <w:rPr>
          <w:b/>
          <w:bCs/>
          <w:sz w:val="22"/>
          <w:szCs w:val="22"/>
        </w:rPr>
        <w:t xml:space="preserve">Organisational logic: </w:t>
      </w:r>
      <w:r>
        <w:rPr>
          <w:sz w:val="22"/>
          <w:szCs w:val="22"/>
        </w:rPr>
        <w:t xml:space="preserve">papers are grouped first by ML model family (SVM → Decision Trees/Ensembles → Deep Learning → Hybrid) and, within each family, by application domain (finance → health → weather/environment → utilities → network traffic) — a two-axis taxonomy that structures Sections 3 and 4 and is mirrored in summary Tables 2–5.</w:t>
      </w:r>
    </w:p>
    <w:p>
      <w:pPr>
        <w:pStyle w:val="Heading2"/>
        <w:spacing w:after="120" w:before="260"/>
      </w:pPr>
      <w:r>
        <w:rPr>
          <w:b/>
          <w:bCs/>
          <w:color w:val="2E74B5"/>
          <w:sz w:val="24"/>
          <w:szCs w:val="24"/>
        </w:rPr>
        <w:t xml:space="preserve">6.2 Data Extraction and Synthesis Method</w:t>
      </w:r>
    </w:p>
    <w:p>
      <w:pPr>
        <w:pStyle w:val="ListParagraph"/>
        <w:numPr>
          <w:ilvl w:val="0"/>
          <w:numId w:val="2"/>
        </w:numPr>
        <w:spacing w:after="100" w:line="276"/>
      </w:pPr>
      <w:r>
        <w:rPr>
          <w:sz w:val="22"/>
          <w:szCs w:val="22"/>
        </w:rPr>
        <w:t xml:space="preserve">For each selected study, the authors extracted: the algorithm variants compared (including specific ARIMA(p,d,q) orders where reported), the performance metrics used, and the dataset/application domain — consolidated into Tables 2–5.</w:t>
      </w:r>
    </w:p>
    <w:p>
      <w:pPr>
        <w:pStyle w:val="ListParagraph"/>
        <w:numPr>
          <w:ilvl w:val="0"/>
          <w:numId w:val="2"/>
        </w:numPr>
        <w:spacing w:after="100" w:line="276"/>
      </w:pPr>
      <w:r>
        <w:rPr>
          <w:sz w:val="22"/>
          <w:szCs w:val="22"/>
        </w:rPr>
        <w:t xml:space="preserve">Findings are synthesised narratively (prose walk-throughs per sub-domain) rather than statistically pooled (no forest plots, no meta-analytic effect sizes), which is appropriate given the heterogeneity of metrics and domains but limits quantitative rigor.</w:t>
      </w:r>
    </w:p>
    <w:p>
      <w:pPr>
        <w:pStyle w:val="ListParagraph"/>
        <w:numPr>
          <w:ilvl w:val="0"/>
          <w:numId w:val="2"/>
        </w:numPr>
        <w:spacing w:after="100" w:line="276"/>
      </w:pPr>
      <w:r>
        <w:rPr>
          <w:sz w:val="22"/>
          <w:szCs w:val="22"/>
        </w:rPr>
        <w:t xml:space="preserve">Section 5 performs a secondary, qualitative meta-synthesis: the authors re-examine the same case studies specifically to isolate conditions under which ARIMA outperformed ML (data linearity, small/short datasets, narrow value ranges, strong seasonality on univariate series), culminating in the comparative advantages/disadvantages framework of Table 6.</w:t>
      </w:r>
    </w:p>
    <w:p>
      <w:pPr>
        <w:pStyle w:val="Heading2"/>
        <w:spacing w:after="120" w:before="260"/>
      </w:pPr>
      <w:r>
        <w:rPr>
          <w:b/>
          <w:bCs/>
          <w:color w:val="2E74B5"/>
          <w:sz w:val="24"/>
          <w:szCs w:val="24"/>
        </w:rPr>
        <w:t xml:space="preserve">6.3 Theoretical / Expository Method</w:t>
      </w:r>
    </w:p>
    <w:p>
      <w:pPr>
        <w:spacing w:after="160" w:line="276"/>
        <w:jc w:val="both"/>
      </w:pPr>
      <w:r>
        <w:rPr>
          <w:sz w:val="22"/>
          <w:szCs w:val="22"/>
        </w:rPr>
        <w:t xml:space="preserve">Sections 2–4 also serve a pedagogical-methodological function: before comparative evidence is presented, the mathematical formulation of ARIMA (Equations 7–10), the relevant error metrics (Equations 1–6), and the architecture of each ML family (SVM/SVR, CART/Random Forest/XGBoost/LightGBM, ANN, RNN, LSTM, GRU) are formally introduced. This establishes a shared technical vocabulary so that the subsequent comparative claims are interpretable and reproducible in principle, even though the review itself does not re-implement any models.</w:t>
      </w:r>
    </w:p>
    <w:p>
      <w:pPr>
        <w:pStyle w:val="Heading2"/>
        <w:spacing w:after="120" w:before="260"/>
      </w:pPr>
      <w:r>
        <w:rPr>
          <w:b/>
          <w:bCs/>
          <w:color w:val="2E74B5"/>
          <w:sz w:val="24"/>
          <w:szCs w:val="24"/>
        </w:rPr>
        <w:t xml:space="preserve">6.4 Methodological Limitations</w:t>
      </w:r>
    </w:p>
    <w:p>
      <w:pPr>
        <w:pStyle w:val="ListParagraph"/>
        <w:numPr>
          <w:ilvl w:val="0"/>
          <w:numId w:val="2"/>
        </w:numPr>
        <w:spacing w:after="100" w:line="276"/>
      </w:pPr>
      <w:r>
        <w:rPr>
          <w:sz w:val="22"/>
          <w:szCs w:val="22"/>
        </w:rPr>
        <w:t xml:space="preserve">No explicit systematic search protocol or reproducible search string is disclosed, which limits replicability of the literature sample by a third party.</w:t>
      </w:r>
    </w:p>
    <w:p>
      <w:pPr>
        <w:pStyle w:val="ListParagraph"/>
        <w:numPr>
          <w:ilvl w:val="0"/>
          <w:numId w:val="2"/>
        </w:numPr>
        <w:spacing w:after="100" w:line="276"/>
      </w:pPr>
      <w:r>
        <w:rPr>
          <w:sz w:val="22"/>
          <w:szCs w:val="22"/>
        </w:rPr>
        <w:t xml:space="preserve">No formal quality/bias assessment of the primary studies is conducted (e.g., were ARIMA models properly optimised in every cited paper before comparison with ML models?).</w:t>
      </w:r>
    </w:p>
    <w:p>
      <w:pPr>
        <w:pStyle w:val="ListParagraph"/>
        <w:numPr>
          <w:ilvl w:val="0"/>
          <w:numId w:val="2"/>
        </w:numPr>
        <w:spacing w:after="100" w:line="276"/>
      </w:pPr>
      <w:r>
        <w:rPr>
          <w:sz w:val="22"/>
          <w:szCs w:val="22"/>
        </w:rPr>
        <w:t xml:space="preserve">Publication bias is not discussed — studies reporting a clear win for one method are more likely to be published/cited than inconclusive ones.</w:t>
      </w:r>
    </w:p>
    <w:p>
      <w:pPr>
        <w:pStyle w:val="ListParagraph"/>
        <w:numPr>
          <w:ilvl w:val="0"/>
          <w:numId w:val="2"/>
        </w:numPr>
        <w:spacing w:after="100" w:line="276"/>
      </w:pPr>
      <w:r>
        <w:rPr>
          <w:sz w:val="22"/>
          <w:szCs w:val="22"/>
        </w:rPr>
        <w:t xml:space="preserve">Metrics are compared across studies without normalisation, which is acceptable for narrative synthesis but would not support quantitative meta-analysis.</w:t>
      </w:r>
    </w:p>
    <w:p>
      <w:pPr>
        <w:pStyle w:val="Heading1"/>
        <w:pBdr>
          <w:bottom w:val="single" w:color="2E74B5" w:sz="8" w:space="4"/>
        </w:pBdr>
        <w:spacing w:after="160" w:before="360"/>
      </w:pPr>
      <w:r>
        <w:rPr>
          <w:b/>
          <w:bCs/>
          <w:color w:val="1F3864"/>
          <w:sz w:val="30"/>
          <w:szCs w:val="30"/>
        </w:rPr>
        <w:t xml:space="preserve">7. Synthesis of Key Findings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900"/>
      </w:tblGrid>
      <w:tr>
        <w:trPr>
          <w:tblHeader/>
        </w:trPr>
        <w:tc>
          <w:tcPr>
            <w:tcW w:type="dxa" w:w="2500"/>
            <w:shd w:fill="1F3864" w:val="clear"/>
            <w:tcMar>
              <w:top w:type="dxa" w:w="80"/>
              <w:left w:type="dxa" w:w="100"/>
              <w:bottom w:type="dxa" w:w="80"/>
              <w:right w:type="dxa" w:w="100"/>
            </w:tcMar>
          </w:tcPr>
          <w:p>
            <w:r>
              <w:rPr>
                <w:b/>
                <w:bCs/>
                <w:color w:val="FFFFFF"/>
                <w:sz w:val="20"/>
                <w:szCs w:val="20"/>
              </w:rPr>
              <w:t xml:space="preserve">Comparison</w:t>
            </w:r>
          </w:p>
        </w:tc>
        <w:tc>
          <w:tcPr>
            <w:tcW w:type="dxa" w:w="4200"/>
            <w:shd w:fill="1F3864" w:val="clear"/>
            <w:tcMar>
              <w:top w:type="dxa" w:w="80"/>
              <w:left w:type="dxa" w:w="100"/>
              <w:bottom w:type="dxa" w:w="80"/>
              <w:right w:type="dxa" w:w="100"/>
            </w:tcMar>
          </w:tcPr>
          <w:p>
            <w:r>
              <w:rPr>
                <w:b/>
                <w:bCs/>
                <w:color w:val="FFFFFF"/>
                <w:sz w:val="20"/>
                <w:szCs w:val="20"/>
              </w:rPr>
              <w:t xml:space="preserve">General Pattern Reported</w:t>
            </w:r>
          </w:p>
        </w:tc>
        <w:tc>
          <w:tcPr>
            <w:tcW w:type="dxa" w:w="2900"/>
            <w:shd w:fill="1F3864" w:val="clear"/>
            <w:tcMar>
              <w:top w:type="dxa" w:w="80"/>
              <w:left w:type="dxa" w:w="100"/>
              <w:bottom w:type="dxa" w:w="80"/>
              <w:right w:type="dxa" w:w="100"/>
            </w:tcMar>
          </w:tcPr>
          <w:p>
            <w:r>
              <w:rPr>
                <w:b/>
                <w:bCs/>
                <w:color w:val="FFFFFF"/>
                <w:sz w:val="20"/>
                <w:szCs w:val="20"/>
              </w:rPr>
              <w:t xml:space="preserve">Notable Exceptions</w:t>
            </w:r>
          </w:p>
        </w:tc>
      </w:tr>
      <w:tr>
        <w:tc>
          <w:tcPr>
            <w:tcW w:type="dxa" w:w="2500"/>
            <w:tcMar>
              <w:top w:type="dxa" w:w="80"/>
              <w:left w:type="dxa" w:w="100"/>
              <w:bottom w:type="dxa" w:w="80"/>
              <w:right w:type="dxa" w:w="100"/>
            </w:tcMar>
          </w:tcPr>
          <w:p>
            <w:r>
              <w:rPr>
                <w:b w:val="false"/>
                <w:bCs w:val="false"/>
                <w:color w:val="000000"/>
                <w:sz w:val="20"/>
                <w:szCs w:val="20"/>
              </w:rPr>
              <w:t xml:space="preserve">ARIMA vs. SVM</w:t>
            </w:r>
          </w:p>
        </w:tc>
        <w:tc>
          <w:tcPr>
            <w:tcW w:type="dxa" w:w="4200"/>
            <w:tcMar>
              <w:top w:type="dxa" w:w="80"/>
              <w:left w:type="dxa" w:w="100"/>
              <w:bottom w:type="dxa" w:w="80"/>
              <w:right w:type="dxa" w:w="100"/>
            </w:tcMar>
          </w:tcPr>
          <w:p>
            <w:r>
              <w:rPr>
                <w:b w:val="false"/>
                <w:bCs w:val="false"/>
                <w:color w:val="000000"/>
                <w:sz w:val="20"/>
                <w:szCs w:val="20"/>
              </w:rPr>
              <w:t xml:space="preserve">SVM/SVR generally more accurate (gold price, COVID-19, solar energy, noise levels, urban water)</w:t>
            </w:r>
          </w:p>
        </w:tc>
        <w:tc>
          <w:tcPr>
            <w:tcW w:type="dxa" w:w="2900"/>
            <w:tcMar>
              <w:top w:type="dxa" w:w="80"/>
              <w:left w:type="dxa" w:w="100"/>
              <w:bottom w:type="dxa" w:w="80"/>
              <w:right w:type="dxa" w:w="100"/>
            </w:tcMar>
          </w:tcPr>
          <w:p>
            <w:r>
              <w:rPr>
                <w:b w:val="false"/>
                <w:bCs w:val="false"/>
                <w:color w:val="000000"/>
                <w:sz w:val="20"/>
                <w:szCs w:val="20"/>
              </w:rPr>
              <w:t xml:space="preserve">ARIMA superior for drought forecasting (Zhang et al.) and for linear short-term load patterns (Al Amin et al.)</w:t>
            </w:r>
          </w:p>
        </w:tc>
      </w:tr>
      <w:tr>
        <w:tc>
          <w:tcPr>
            <w:tcW w:type="dxa" w:w="2500"/>
            <w:shd w:fill="F2F2F2" w:val="clear"/>
            <w:tcMar>
              <w:top w:type="dxa" w:w="80"/>
              <w:left w:type="dxa" w:w="100"/>
              <w:bottom w:type="dxa" w:w="80"/>
              <w:right w:type="dxa" w:w="100"/>
            </w:tcMar>
          </w:tcPr>
          <w:p>
            <w:r>
              <w:rPr>
                <w:b w:val="false"/>
                <w:bCs w:val="false"/>
                <w:color w:val="000000"/>
                <w:sz w:val="20"/>
                <w:szCs w:val="20"/>
              </w:rPr>
              <w:t xml:space="preserve">ARIMA vs. Decision Trees/Ensembles</w:t>
            </w:r>
          </w:p>
        </w:tc>
        <w:tc>
          <w:tcPr>
            <w:tcW w:type="dxa" w:w="4200"/>
            <w:shd w:fill="F2F2F2" w:val="clear"/>
            <w:tcMar>
              <w:top w:type="dxa" w:w="80"/>
              <w:left w:type="dxa" w:w="100"/>
              <w:bottom w:type="dxa" w:w="80"/>
              <w:right w:type="dxa" w:w="100"/>
            </w:tcMar>
          </w:tcPr>
          <w:p>
            <w:r>
              <w:rPr>
                <w:b w:val="false"/>
                <w:bCs w:val="false"/>
                <w:color w:val="000000"/>
                <w:sz w:val="20"/>
                <w:szCs w:val="20"/>
              </w:rPr>
              <w:t xml:space="preserve">XGBoost/GBDT generally more accurate (disease prediction, rice production, retail sales, M4/M5 competitions)</w:t>
            </w:r>
          </w:p>
        </w:tc>
        <w:tc>
          <w:tcPr>
            <w:tcW w:type="dxa" w:w="2900"/>
            <w:shd w:fill="F2F2F2" w:val="clear"/>
            <w:tcMar>
              <w:top w:type="dxa" w:w="80"/>
              <w:left w:type="dxa" w:w="100"/>
              <w:bottom w:type="dxa" w:w="80"/>
              <w:right w:type="dxa" w:w="100"/>
            </w:tcMar>
          </w:tcPr>
          <w:p>
            <w:r>
              <w:rPr>
                <w:b w:val="false"/>
                <w:bCs w:val="false"/>
                <w:color w:val="000000"/>
                <w:sz w:val="20"/>
                <w:szCs w:val="20"/>
              </w:rPr>
              <w:t xml:space="preserve">ARIMA/SARIMA outperformed LightGBM, Prophet, VAR, LSTM in a smart-home IoT anomaly detection study (Priyadarshini et al.)</w:t>
            </w:r>
          </w:p>
        </w:tc>
      </w:tr>
      <w:tr>
        <w:tc>
          <w:tcPr>
            <w:tcW w:type="dxa" w:w="2500"/>
            <w:tcMar>
              <w:top w:type="dxa" w:w="80"/>
              <w:left w:type="dxa" w:w="100"/>
              <w:bottom w:type="dxa" w:w="80"/>
              <w:right w:type="dxa" w:w="100"/>
            </w:tcMar>
          </w:tcPr>
          <w:p>
            <w:r>
              <w:rPr>
                <w:b w:val="false"/>
                <w:bCs w:val="false"/>
                <w:color w:val="000000"/>
                <w:sz w:val="20"/>
                <w:szCs w:val="20"/>
              </w:rPr>
              <w:t xml:space="preserve">ARIMA vs. Deep Learning</w:t>
            </w:r>
          </w:p>
        </w:tc>
        <w:tc>
          <w:tcPr>
            <w:tcW w:type="dxa" w:w="4200"/>
            <w:tcMar>
              <w:top w:type="dxa" w:w="80"/>
              <w:left w:type="dxa" w:w="100"/>
              <w:bottom w:type="dxa" w:w="80"/>
              <w:right w:type="dxa" w:w="100"/>
            </w:tcMar>
          </w:tcPr>
          <w:p>
            <w:r>
              <w:rPr>
                <w:b w:val="false"/>
                <w:bCs w:val="false"/>
                <w:color w:val="000000"/>
                <w:sz w:val="20"/>
                <w:szCs w:val="20"/>
              </w:rPr>
              <w:t xml:space="preserve">LSTM/BiLSTM/GRU generally more accurate, especially with large, non-linear, fine-grained data</w:t>
            </w:r>
          </w:p>
        </w:tc>
        <w:tc>
          <w:tcPr>
            <w:tcW w:type="dxa" w:w="2900"/>
            <w:tcMar>
              <w:top w:type="dxa" w:w="80"/>
              <w:left w:type="dxa" w:w="100"/>
              <w:bottom w:type="dxa" w:w="80"/>
              <w:right w:type="dxa" w:w="100"/>
            </w:tcMar>
          </w:tcPr>
          <w:p>
            <w:r>
              <w:rPr>
                <w:b w:val="false"/>
                <w:bCs w:val="false"/>
                <w:color w:val="000000"/>
                <w:sz w:val="20"/>
                <w:szCs w:val="20"/>
              </w:rPr>
              <w:t xml:space="preserve">ARIMA outperformed in bitcoin short-term prediction (Nguyen et al.; Yamak et al.), small/narrow-range stock datasets (Paliari et al.), offshore wind speed (Liu et al., SARIMA), and CO₂ levels (Spyrou et al.)</w:t>
            </w:r>
          </w:p>
        </w:tc>
      </w:tr>
      <w:tr>
        <w:tc>
          <w:tcPr>
            <w:tcW w:type="dxa" w:w="2500"/>
            <w:shd w:fill="F2F2F2" w:val="clear"/>
            <w:tcMar>
              <w:top w:type="dxa" w:w="80"/>
              <w:left w:type="dxa" w:w="100"/>
              <w:bottom w:type="dxa" w:w="80"/>
              <w:right w:type="dxa" w:w="100"/>
            </w:tcMar>
          </w:tcPr>
          <w:p>
            <w:r>
              <w:rPr>
                <w:b w:val="false"/>
                <w:bCs w:val="false"/>
                <w:color w:val="000000"/>
                <w:sz w:val="20"/>
                <w:szCs w:val="20"/>
              </w:rPr>
              <w:t xml:space="preserve">Hybrid vs. Standalone</w:t>
            </w:r>
          </w:p>
        </w:tc>
        <w:tc>
          <w:tcPr>
            <w:tcW w:type="dxa" w:w="4200"/>
            <w:shd w:fill="F2F2F2" w:val="clear"/>
            <w:tcMar>
              <w:top w:type="dxa" w:w="80"/>
              <w:left w:type="dxa" w:w="100"/>
              <w:bottom w:type="dxa" w:w="80"/>
              <w:right w:type="dxa" w:w="100"/>
            </w:tcMar>
          </w:tcPr>
          <w:p>
            <w:r>
              <w:rPr>
                <w:b w:val="false"/>
                <w:bCs w:val="false"/>
                <w:color w:val="000000"/>
                <w:sz w:val="20"/>
                <w:szCs w:val="20"/>
              </w:rPr>
              <w:t xml:space="preserve">Hybrid ARIMA-ML models consistently outperform either component alone across all domains reviewed</w:t>
            </w:r>
          </w:p>
        </w:tc>
        <w:tc>
          <w:tcPr>
            <w:tcW w:type="dxa" w:w="2900"/>
            <w:shd w:fill="F2F2F2" w:val="clear"/>
            <w:tcMar>
              <w:top w:type="dxa" w:w="80"/>
              <w:left w:type="dxa" w:w="100"/>
              <w:bottom w:type="dxa" w:w="80"/>
              <w:right w:type="dxa" w:w="100"/>
            </w:tcMar>
          </w:tcPr>
          <w:p>
            <w:r>
              <w:rPr>
                <w:b w:val="false"/>
                <w:bCs w:val="false"/>
                <w:color w:val="000000"/>
                <w:sz w:val="20"/>
                <w:szCs w:val="20"/>
              </w:rPr>
              <w:t xml:space="preserve">No counter-examples reported in this review</w:t>
            </w:r>
          </w:p>
        </w:tc>
      </w:tr>
    </w:tbl>
    <w:p>
      <w:pPr>
        <w:pStyle w:val="Heading2"/>
        <w:spacing w:after="120" w:before="260"/>
      </w:pPr>
      <w:r>
        <w:rPr>
          <w:b/>
          <w:bCs/>
          <w:color w:val="2E74B5"/>
          <w:sz w:val="24"/>
          <w:szCs w:val="24"/>
        </w:rPr>
        <w:t xml:space="preserve">7.1 Extracted Decision Criteria (from Table 6 of the source paper)</w:t>
      </w:r>
    </w:p>
    <w:p>
      <w:pPr>
        <w:pStyle w:val="ListParagraph"/>
        <w:numPr>
          <w:ilvl w:val="0"/>
          <w:numId w:val="2"/>
        </w:numPr>
        <w:spacing w:after="100" w:line="276"/>
      </w:pPr>
      <w:r>
        <w:rPr>
          <w:sz w:val="22"/>
          <w:szCs w:val="22"/>
        </w:rPr>
        <w:t xml:space="preserve">Favour ARIMA when: the data is small in volume, has a limited value range, is largely linear, is univariate, or when explainability and low computational cost are priorities.</w:t>
      </w:r>
    </w:p>
    <w:p>
      <w:pPr>
        <w:pStyle w:val="ListParagraph"/>
        <w:numPr>
          <w:ilvl w:val="0"/>
          <w:numId w:val="2"/>
        </w:numPr>
        <w:spacing w:after="100" w:line="276"/>
      </w:pPr>
      <w:r>
        <w:rPr>
          <w:sz w:val="22"/>
          <w:szCs w:val="22"/>
        </w:rPr>
        <w:t xml:space="preserve">Favour AI/ML when: the data is large-volume, non-linear, multivariate, and computational resources for training/tuning are available.</w:t>
      </w:r>
    </w:p>
    <w:p>
      <w:pPr>
        <w:pStyle w:val="ListParagraph"/>
        <w:numPr>
          <w:ilvl w:val="0"/>
          <w:numId w:val="2"/>
        </w:numPr>
        <w:spacing w:after="100" w:line="276"/>
      </w:pPr>
      <w:r>
        <w:rPr>
          <w:sz w:val="22"/>
          <w:szCs w:val="22"/>
        </w:rPr>
        <w:t xml:space="preserve">Favour hybrid models when: the series plausibly contains both linear and non-linear components — the most commonly reported real-world scenario.</w:t>
      </w:r>
    </w:p>
    <w:p>
      <w:pPr>
        <w:pStyle w:val="Heading1"/>
        <w:pBdr>
          <w:bottom w:val="single" w:color="2E74B5" w:sz="8" w:space="4"/>
        </w:pBdr>
        <w:spacing w:after="160" w:before="360"/>
      </w:pPr>
      <w:r>
        <w:rPr>
          <w:b/>
          <w:bCs/>
          <w:color w:val="1F3864"/>
          <w:sz w:val="30"/>
          <w:szCs w:val="30"/>
        </w:rPr>
        <w:t xml:space="preserve">8. Critical Evaluation</w:t>
      </w:r>
    </w:p>
    <w:p>
      <w:pPr>
        <w:pStyle w:val="Heading2"/>
        <w:spacing w:after="120" w:before="260"/>
      </w:pPr>
      <w:r>
        <w:rPr>
          <w:b/>
          <w:bCs/>
          <w:color w:val="2E74B5"/>
          <w:sz w:val="24"/>
          <w:szCs w:val="24"/>
        </w:rPr>
        <w:t xml:space="preserve">8.1 Strengths</w:t>
      </w:r>
    </w:p>
    <w:p>
      <w:pPr>
        <w:pStyle w:val="ListParagraph"/>
        <w:numPr>
          <w:ilvl w:val="0"/>
          <w:numId w:val="2"/>
        </w:numPr>
        <w:spacing w:after="100" w:line="276"/>
      </w:pPr>
      <w:r>
        <w:rPr>
          <w:sz w:val="22"/>
          <w:szCs w:val="22"/>
        </w:rPr>
        <w:t xml:space="preserve">Breadth: spans five distinct application domains, giving the review practical relevance beyond a single industry.</w:t>
      </w:r>
    </w:p>
    <w:p>
      <w:pPr>
        <w:pStyle w:val="ListParagraph"/>
        <w:numPr>
          <w:ilvl w:val="0"/>
          <w:numId w:val="2"/>
        </w:numPr>
        <w:spacing w:after="100" w:line="276"/>
      </w:pPr>
      <w:r>
        <w:rPr>
          <w:sz w:val="22"/>
          <w:szCs w:val="22"/>
        </w:rPr>
        <w:t xml:space="preserve">Balanced conclusion: actively resists the common bias of assuming AI is always superior, and dedicates an entire discussion section to counter-examples — a mark of scientific honesty.</w:t>
      </w:r>
    </w:p>
    <w:p>
      <w:pPr>
        <w:pStyle w:val="ListParagraph"/>
        <w:numPr>
          <w:ilvl w:val="0"/>
          <w:numId w:val="2"/>
        </w:numPr>
        <w:spacing w:after="100" w:line="276"/>
      </w:pPr>
      <w:r>
        <w:rPr>
          <w:sz w:val="22"/>
          <w:szCs w:val="22"/>
        </w:rPr>
        <w:t xml:space="preserve">Actionable synthesis: Table 6 converts a large literature into a practitioner-usable decision aid.</w:t>
      </w:r>
    </w:p>
    <w:p>
      <w:pPr>
        <w:pStyle w:val="ListParagraph"/>
        <w:numPr>
          <w:ilvl w:val="0"/>
          <w:numId w:val="2"/>
        </w:numPr>
        <w:spacing w:after="100" w:line="276"/>
      </w:pPr>
      <w:r>
        <w:rPr>
          <w:sz w:val="22"/>
          <w:szCs w:val="22"/>
        </w:rPr>
        <w:t xml:space="preserve">Strong theoretical grounding: equations and architecture diagrams for ARIMA and each ML family give the review pedagogical value beyond pure citation-listing.</w:t>
      </w:r>
    </w:p>
    <w:p>
      <w:pPr>
        <w:pStyle w:val="Heading2"/>
        <w:spacing w:after="120" w:before="260"/>
      </w:pPr>
      <w:r>
        <w:rPr>
          <w:b/>
          <w:bCs/>
          <w:color w:val="2E74B5"/>
          <w:sz w:val="24"/>
          <w:szCs w:val="24"/>
        </w:rPr>
        <w:t xml:space="preserve">8.2 Limitations</w:t>
      </w:r>
    </w:p>
    <w:p>
      <w:pPr>
        <w:pStyle w:val="ListParagraph"/>
        <w:numPr>
          <w:ilvl w:val="0"/>
          <w:numId w:val="2"/>
        </w:numPr>
        <w:spacing w:after="100" w:line="276"/>
      </w:pPr>
      <w:r>
        <w:rPr>
          <w:sz w:val="22"/>
          <w:szCs w:val="22"/>
        </w:rPr>
        <w:t xml:space="preserve">Narrative (not systematic) review methodology reduces reproducibility and leaves the novelty claim (“only such review”) unverified against a documented search process.</w:t>
      </w:r>
    </w:p>
    <w:p>
      <w:pPr>
        <w:pStyle w:val="ListParagraph"/>
        <w:numPr>
          <w:ilvl w:val="0"/>
          <w:numId w:val="2"/>
        </w:numPr>
        <w:spacing w:after="100" w:line="276"/>
      </w:pPr>
      <w:r>
        <w:rPr>
          <w:sz w:val="22"/>
          <w:szCs w:val="22"/>
        </w:rPr>
        <w:t xml:space="preserve">No quantitative meta-analysis; conclusions rest on qualitative counting of “wins” across studies with different metrics, sample sizes, and rigor.</w:t>
      </w:r>
    </w:p>
    <w:p>
      <w:pPr>
        <w:pStyle w:val="ListParagraph"/>
        <w:numPr>
          <w:ilvl w:val="0"/>
          <w:numId w:val="2"/>
        </w:numPr>
        <w:spacing w:after="100" w:line="276"/>
      </w:pPr>
      <w:r>
        <w:rPr>
          <w:sz w:val="22"/>
          <w:szCs w:val="22"/>
        </w:rPr>
        <w:t xml:space="preserve">Risk of selection and publication bias is not addressed.</w:t>
      </w:r>
    </w:p>
    <w:p>
      <w:pPr>
        <w:pStyle w:val="ListParagraph"/>
        <w:numPr>
          <w:ilvl w:val="0"/>
          <w:numId w:val="2"/>
        </w:numPr>
        <w:spacing w:after="100" w:line="276"/>
      </w:pPr>
      <w:r>
        <w:rPr>
          <w:sz w:val="22"/>
          <w:szCs w:val="22"/>
        </w:rPr>
        <w:t xml:space="preserve">The reasons offered for ARIMA's occasional superiority (e.g., data linearity, small sample size) are plausible but are the authors' post-hoc interpretations rather than findings independently verified through re-analysis.</w:t>
      </w:r>
    </w:p>
    <w:p>
      <w:pPr>
        <w:pStyle w:val="Heading1"/>
        <w:pBdr>
          <w:bottom w:val="single" w:color="2E74B5" w:sz="8" w:space="4"/>
        </w:pBdr>
        <w:spacing w:after="160" w:before="360"/>
      </w:pPr>
      <w:r>
        <w:rPr>
          <w:b/>
          <w:bCs/>
          <w:color w:val="1F3864"/>
          <w:sz w:val="30"/>
          <w:szCs w:val="30"/>
        </w:rPr>
        <w:t xml:space="preserve">9. Conclusion</w:t>
      </w:r>
    </w:p>
    <w:p>
      <w:pPr>
        <w:spacing w:after="160" w:line="276"/>
        <w:jc w:val="both"/>
      </w:pPr>
      <w:r>
        <w:rPr>
          <w:sz w:val="22"/>
          <w:szCs w:val="22"/>
        </w:rPr>
        <w:t xml:space="preserve">The reviewed article is best understood as a conditions-based reconciliation narrative: it begins with an apparent conflict between statistical and AI-based forecasting, accumulates domain-specific evidence, reveals a productive twist (ARIMA still wins in specific, well-defined circumstances), and resolves the tension through hybrid modelling. Its problem statement targets a genuine gap in the field's evidentiary discipline; its claimed research gap — the absence of a cross-domain, cross-model-family synthesis — is credible but asserted rather than systematically demonstrated. The review's methodology is transparent about its organisational logic but does not meet the bar of a systematic review, and several assumptions (cross-study comparability, fair ARIMA tuning, representativeness of the sample) are left implicit. For a Scientific Writing and Documentation assignment, this paper is a strong illustrative case of how narrative structure, evidentiary tables, and a criteria-based conclusion can be combined to make a heterogeneous literature legible and useful, while also illustrating the documentation gaps (search protocol, bias assessment) that separate a narrative review from a fully systematic one.</w:t>
      </w:r>
    </w:p>
    <w:p>
      <w:pPr>
        <w:spacing w:before="300"/>
        <w:jc w:val="center"/>
      </w:pPr>
      <w:r>
        <w:rPr>
          <w:i/>
          <w:iCs/>
          <w:color w:val="595959"/>
          <w:sz w:val="20"/>
          <w:szCs w:val="20"/>
        </w:rPr>
        <w:t xml:space="preserve">— End of Report —</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Scientific Writing &amp; Documentation — Critical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8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2026-08-11T07:27:51.742Z</dcterms:created>
  <dcterms:modified xsi:type="dcterms:W3CDTF">2026-08-11T07:27:51.766Z</dcterms:modified>
</cp:coreProperties>
</file>

<file path=docProps/custom.xml><?xml version="1.0" encoding="utf-8"?>
<Properties xmlns="http://schemas.openxmlformats.org/officeDocument/2006/custom-properties" xmlns:vt="http://schemas.openxmlformats.org/officeDocument/2006/docPropsVTypes"/>
</file>