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44"/>
          <w:szCs w:val="44"/>
        </w:rPr>
      </w:pPr>
      <w:bookmarkStart w:colFirst="0" w:colLast="0" w:name="_st3fs81o4vb2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INSTITUTO POLITÉCNICO NACIONAL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119063</wp:posOffset>
            </wp:positionV>
            <wp:extent cx="767518" cy="11431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6207" r="2587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518" cy="1143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4762500</wp:posOffset>
            </wp:positionH>
            <wp:positionV relativeFrom="paragraph">
              <wp:posOffset>280988</wp:posOffset>
            </wp:positionV>
            <wp:extent cx="1056188" cy="80625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6188" cy="80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6"/>
        <w:keepNext w:val="0"/>
        <w:keepLines w:val="0"/>
        <w:spacing w:after="40" w:before="200" w:lineRule="auto"/>
        <w:jc w:val="center"/>
        <w:rPr>
          <w:sz w:val="36"/>
          <w:szCs w:val="36"/>
        </w:rPr>
      </w:pPr>
      <w:bookmarkStart w:colFirst="0" w:colLast="0" w:name="_efkeziy2t1g1" w:id="1"/>
      <w:bookmarkEnd w:id="1"/>
      <w:r w:rsidDel="00000000" w:rsidR="00000000" w:rsidRPr="00000000">
        <w:rPr>
          <w:b w:val="1"/>
          <w:i w:val="0"/>
          <w:color w:val="000000"/>
          <w:sz w:val="40"/>
          <w:szCs w:val="40"/>
          <w:rtl w:val="0"/>
        </w:rPr>
        <w:t xml:space="preserve">ESCUELA SUPERIOR DE CÓMPUTO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 Governance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Profesora Jessie Paulina Guzmán Flores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Tarea 10: </w:t>
      </w:r>
      <w:r w:rsidDel="00000000" w:rsidR="00000000" w:rsidRPr="00000000">
        <w:rPr>
          <w:rFonts w:ascii="Roboto" w:cs="Roboto" w:eastAsia="Roboto" w:hAnsi="Roboto"/>
          <w:color w:val="1d2125"/>
          <w:sz w:val="34"/>
          <w:szCs w:val="34"/>
          <w:rtl w:val="0"/>
        </w:rPr>
        <w:t xml:space="preserve">Marco de trabajo: Objetivos de control para la información y tecnologías relacionadas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Grupo:</w:t>
      </w:r>
      <w:r w:rsidDel="00000000" w:rsidR="00000000" w:rsidRPr="00000000">
        <w:rPr>
          <w:sz w:val="38"/>
          <w:szCs w:val="38"/>
          <w:rtl w:val="0"/>
        </w:rPr>
        <w:t xml:space="preserve"> 3CM20 - Equipo 4</w:t>
      </w:r>
    </w:p>
    <w:p w:rsidR="00000000" w:rsidDel="00000000" w:rsidP="00000000" w:rsidRDefault="00000000" w:rsidRPr="00000000" w14:paraId="0000000A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Fecha de Entrega: </w:t>
      </w:r>
      <w:r w:rsidDel="00000000" w:rsidR="00000000" w:rsidRPr="00000000">
        <w:rPr>
          <w:sz w:val="36"/>
          <w:szCs w:val="36"/>
          <w:rtl w:val="0"/>
        </w:rPr>
        <w:t xml:space="preserve">22/Mayo/2022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Integrantes: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b w:val="1"/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Martínez Coronel Brayan Yosafat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b w:val="1"/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Ramírez Cotonieto Luis Fernando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b w:val="1"/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Sánchez Rojas Jesús Ubaldo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hd w:fill="ffffff" w:val="clear"/>
        <w:spacing w:after="240" w:lineRule="auto"/>
        <w:jc w:val="both"/>
        <w:rPr/>
      </w:pPr>
      <w:bookmarkStart w:colFirst="0" w:colLast="0" w:name="_ocw4uqz6pn5r" w:id="2"/>
      <w:bookmarkEnd w:id="2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Lato" w:cs="Lato" w:eastAsia="Lato" w:hAnsi="Lato"/>
              <w:b w:val="1"/>
              <w:i w:val="0"/>
              <w:smallCaps w:val="0"/>
              <w:strike w:val="0"/>
              <w:color w:val="1d2125"/>
              <w:sz w:val="27"/>
              <w:szCs w:val="27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70btsdue1fh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d2125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Lato" w:cs="Lato" w:eastAsia="Lato" w:hAnsi="Lato"/>
              <w:b w:val="1"/>
              <w:i w:val="0"/>
              <w:smallCaps w:val="0"/>
              <w:strike w:val="0"/>
              <w:color w:val="1d2125"/>
              <w:sz w:val="27"/>
              <w:szCs w:val="27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_t70btsdue1fh \h </w:instrText>
            <w:fldChar w:fldCharType="separate"/>
          </w:r>
          <w:r w:rsidDel="00000000" w:rsidR="00000000" w:rsidRPr="00000000">
            <w:rPr>
              <w:rFonts w:ascii="Lato" w:cs="Lato" w:eastAsia="Lato" w:hAnsi="Lato"/>
              <w:b w:val="1"/>
              <w:i w:val="0"/>
              <w:smallCaps w:val="0"/>
              <w:strike w:val="0"/>
              <w:color w:val="1d2125"/>
              <w:sz w:val="27"/>
              <w:szCs w:val="27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Lato" w:cs="Lato" w:eastAsia="Lato" w:hAnsi="Lato"/>
              <w:b w:val="1"/>
              <w:i w:val="0"/>
              <w:smallCaps w:val="0"/>
              <w:strike w:val="0"/>
              <w:color w:val="1d2125"/>
              <w:sz w:val="27"/>
              <w:szCs w:val="27"/>
              <w:u w:val="none"/>
              <w:shd w:fill="auto" w:val="clear"/>
              <w:vertAlign w:val="baseline"/>
            </w:rPr>
          </w:pPr>
          <w:hyperlink w:anchor="_o00bt4wm3omi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d2125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hyperlink>
          <w:r w:rsidDel="00000000" w:rsidR="00000000" w:rsidRPr="00000000">
            <w:rPr>
              <w:rFonts w:ascii="Lato" w:cs="Lato" w:eastAsia="Lato" w:hAnsi="Lato"/>
              <w:b w:val="1"/>
              <w:i w:val="0"/>
              <w:smallCaps w:val="0"/>
              <w:strike w:val="0"/>
              <w:color w:val="1d2125"/>
              <w:sz w:val="27"/>
              <w:szCs w:val="27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_o00bt4wm3omi \h </w:instrText>
            <w:fldChar w:fldCharType="separate"/>
          </w:r>
          <w:r w:rsidDel="00000000" w:rsidR="00000000" w:rsidRPr="00000000">
            <w:rPr>
              <w:rFonts w:ascii="Lato" w:cs="Lato" w:eastAsia="Lato" w:hAnsi="Lato"/>
              <w:b w:val="1"/>
              <w:i w:val="0"/>
              <w:smallCaps w:val="0"/>
              <w:strike w:val="0"/>
              <w:color w:val="1d2125"/>
              <w:sz w:val="27"/>
              <w:szCs w:val="27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1d2125"/>
            </w:rPr>
          </w:pPr>
          <w:hyperlink w:anchor="_ykchfqqgta6b">
            <w:r w:rsidDel="00000000" w:rsidR="00000000" w:rsidRPr="00000000">
              <w:rPr>
                <w:b w:val="1"/>
                <w:color w:val="1d2125"/>
                <w:rtl w:val="0"/>
              </w:rPr>
              <w:t xml:space="preserve">Marco de Trabajo</w:t>
            </w:r>
          </w:hyperlink>
          <w:r w:rsidDel="00000000" w:rsidR="00000000" w:rsidRPr="00000000">
            <w:rPr>
              <w:b w:val="1"/>
              <w:color w:val="1d2125"/>
              <w:rtl w:val="0"/>
            </w:rPr>
            <w:tab/>
          </w:r>
          <w:r w:rsidDel="00000000" w:rsidR="00000000" w:rsidRPr="00000000">
            <w:fldChar w:fldCharType="begin"/>
            <w:instrText xml:space="preserve"> PAGEREF _ykchfqqgta6b \h </w:instrText>
            <w:fldChar w:fldCharType="separate"/>
          </w:r>
          <w:r w:rsidDel="00000000" w:rsidR="00000000" w:rsidRPr="00000000">
            <w:rPr>
              <w:b w:val="1"/>
              <w:color w:val="1d2125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1d2125"/>
            </w:rPr>
          </w:pPr>
          <w:hyperlink w:anchor="_shefo8tjabnt">
            <w:r w:rsidDel="00000000" w:rsidR="00000000" w:rsidRPr="00000000">
              <w:rPr>
                <w:b w:val="1"/>
                <w:color w:val="1d2125"/>
                <w:rtl w:val="0"/>
              </w:rPr>
              <w:t xml:space="preserve">Estructura de objetivos de gobierno y gestión de COBIT</w:t>
            </w:r>
          </w:hyperlink>
          <w:r w:rsidDel="00000000" w:rsidR="00000000" w:rsidRPr="00000000">
            <w:rPr>
              <w:b w:val="1"/>
              <w:color w:val="1d2125"/>
              <w:rtl w:val="0"/>
            </w:rPr>
            <w:tab/>
          </w:r>
          <w:r w:rsidDel="00000000" w:rsidR="00000000" w:rsidRPr="00000000">
            <w:fldChar w:fldCharType="begin"/>
            <w:instrText xml:space="preserve"> PAGEREF _shefo8tjabnt \h </w:instrText>
            <w:fldChar w:fldCharType="separate"/>
          </w:r>
          <w:r w:rsidDel="00000000" w:rsidR="00000000" w:rsidRPr="00000000">
            <w:rPr>
              <w:b w:val="1"/>
              <w:color w:val="1d2125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1d2125"/>
            </w:rPr>
          </w:pPr>
          <w:hyperlink w:anchor="_u3a9grrl0jgi">
            <w:r w:rsidDel="00000000" w:rsidR="00000000" w:rsidRPr="00000000">
              <w:rPr>
                <w:b w:val="1"/>
                <w:color w:val="1d2125"/>
                <w:rtl w:val="0"/>
              </w:rPr>
              <w:t xml:space="preserve">Organizador gráfico</w:t>
            </w:r>
          </w:hyperlink>
          <w:r w:rsidDel="00000000" w:rsidR="00000000" w:rsidRPr="00000000">
            <w:rPr>
              <w:b w:val="1"/>
              <w:color w:val="1d2125"/>
              <w:rtl w:val="0"/>
            </w:rPr>
            <w:tab/>
          </w:r>
          <w:r w:rsidDel="00000000" w:rsidR="00000000" w:rsidRPr="00000000">
            <w:fldChar w:fldCharType="begin"/>
            <w:instrText xml:space="preserve"> PAGEREF _u3a9grrl0jgi \h </w:instrText>
            <w:fldChar w:fldCharType="separate"/>
          </w:r>
          <w:r w:rsidDel="00000000" w:rsidR="00000000" w:rsidRPr="00000000">
            <w:rPr>
              <w:b w:val="1"/>
              <w:color w:val="1d2125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color w:val="1d2125"/>
            </w:rPr>
          </w:pPr>
          <w:hyperlink w:anchor="_9yxdten0j3jn">
            <w:r w:rsidDel="00000000" w:rsidR="00000000" w:rsidRPr="00000000">
              <w:rPr>
                <w:b w:val="1"/>
                <w:color w:val="1d2125"/>
                <w:rtl w:val="0"/>
              </w:rPr>
              <w:t xml:space="preserve">Referencias</w:t>
            </w:r>
          </w:hyperlink>
          <w:r w:rsidDel="00000000" w:rsidR="00000000" w:rsidRPr="00000000">
            <w:rPr>
              <w:b w:val="1"/>
              <w:color w:val="1d2125"/>
              <w:rtl w:val="0"/>
            </w:rPr>
            <w:tab/>
          </w:r>
          <w:r w:rsidDel="00000000" w:rsidR="00000000" w:rsidRPr="00000000">
            <w:fldChar w:fldCharType="begin"/>
            <w:instrText xml:space="preserve"> PAGEREF _9yxdten0j3jn \h </w:instrText>
            <w:fldChar w:fldCharType="separate"/>
          </w:r>
          <w:r w:rsidDel="00000000" w:rsidR="00000000" w:rsidRPr="00000000">
            <w:rPr>
              <w:b w:val="1"/>
              <w:color w:val="1d2125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hd w:fill="ffffff" w:val="clear"/>
        <w:spacing w:after="240" w:lineRule="auto"/>
        <w:jc w:val="both"/>
        <w:rPr/>
      </w:pPr>
      <w:bookmarkStart w:colFirst="0" w:colLast="0" w:name="_t70btsdue1fh" w:id="3"/>
      <w:bookmarkEnd w:id="3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06.9565217391305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Los objetivos de control para la información y las tecnologías relacionadas (COBIT) son un marco empresarial de TI diseñado específicamente para la gestión y el gobierno de TI. </w:t>
      </w:r>
    </w:p>
    <w:p w:rsidR="00000000" w:rsidDel="00000000" w:rsidP="00000000" w:rsidRDefault="00000000" w:rsidRPr="00000000" w14:paraId="0000001C">
      <w:pPr>
        <w:spacing w:line="406.9565217391305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COBIT es un conjunto de objetivos de control que ayuda a los profesionales de gestión y gobierno de TI a administrar las operaciones de TI, independientemente del tamaño de la organización. Fue lanzado en 1996 y es investigado, desarrollado, mantenido y publicado por la Asociación de Auditoría y Control del Sistema de Información (ISACA). 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COBIT es principalmente un marco comercial para administrar TI empresarial. Es un estándar abierto reconocido a nivel mundial que funciona en procesos de TI de negocios y en mantener alineados los objetivos de TI y de negocios. Es un conjunto integral de herramientas, procedimientos, pautas y principios en el gobierno y la gestión de TI. COBIT ayuda a las organizaciones a beneficiarse de sus sistemas de información y activos de TI, al tiempo que tiene control en toda la empresa sobre TI empresarial.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o00bt4wm3omi" w:id="4"/>
      <w:bookmarkEnd w:id="4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 esta investigación se pretende: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lineRule="auto"/>
        <w:ind w:left="720" w:hanging="360"/>
        <w:jc w:val="left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rtl w:val="0"/>
        </w:rPr>
        <w:t xml:space="preserve">Realizar la investigación documental y organizador gráfico de:</w:t>
      </w:r>
    </w:p>
    <w:p w:rsidR="00000000" w:rsidDel="00000000" w:rsidP="00000000" w:rsidRDefault="00000000" w:rsidRPr="00000000" w14:paraId="00000022">
      <w:pPr>
        <w:spacing w:after="240" w:lineRule="auto"/>
        <w:ind w:left="900" w:firstLine="0"/>
        <w:rPr>
          <w:rFonts w:ascii="Arial" w:cs="Arial" w:eastAsia="Arial" w:hAnsi="Arial"/>
          <w:color w:val="1d2125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rtl w:val="0"/>
        </w:rPr>
        <w:t xml:space="preserve">Objetivos de control para la información y tecnologías relacionadas </w:t>
      </w:r>
    </w:p>
    <w:p w:rsidR="00000000" w:rsidDel="00000000" w:rsidP="00000000" w:rsidRDefault="00000000" w:rsidRPr="00000000" w14:paraId="00000023">
      <w:pPr>
        <w:spacing w:after="240" w:lineRule="auto"/>
        <w:ind w:left="900" w:firstLine="0"/>
        <w:rPr>
          <w:rFonts w:ascii="Arial" w:cs="Arial" w:eastAsia="Arial" w:hAnsi="Arial"/>
          <w:color w:val="1d2125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rtl w:val="0"/>
        </w:rPr>
        <w:t xml:space="preserve">Marco de trabajo</w:t>
      </w:r>
    </w:p>
    <w:p w:rsidR="00000000" w:rsidDel="00000000" w:rsidP="00000000" w:rsidRDefault="00000000" w:rsidRPr="00000000" w14:paraId="00000024">
      <w:pPr>
        <w:spacing w:after="240" w:lineRule="auto"/>
        <w:ind w:left="900" w:firstLine="0"/>
        <w:rPr>
          <w:rFonts w:ascii="Arial" w:cs="Arial" w:eastAsia="Arial" w:hAnsi="Arial"/>
          <w:color w:val="1d2125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rtl w:val="0"/>
        </w:rPr>
        <w:t xml:space="preserve">Estructura y objetivos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hd w:fill="ffffff" w:val="clear"/>
        <w:spacing w:after="240" w:lineRule="auto"/>
        <w:jc w:val="both"/>
        <w:rPr/>
      </w:pPr>
      <w:bookmarkStart w:colFirst="0" w:colLast="0" w:name="_ykchfqqgta6b" w:id="5"/>
      <w:bookmarkEnd w:id="5"/>
      <w:r w:rsidDel="00000000" w:rsidR="00000000" w:rsidRPr="00000000">
        <w:rPr>
          <w:rtl w:val="0"/>
        </w:rPr>
        <w:t xml:space="preserve">Marco de Trabajo</w:t>
      </w:r>
    </w:p>
    <w:p w:rsidR="00000000" w:rsidDel="00000000" w:rsidP="00000000" w:rsidRDefault="00000000" w:rsidRPr="00000000" w14:paraId="00000028">
      <w:pPr>
        <w:spacing w:line="406.9565217391305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Los objetivos de control para la información y las tecnologías relacionadas (COBIT) son un marco empresarial de TI diseñado específicamente para la gestión y el gobierno de TI. </w:t>
      </w:r>
    </w:p>
    <w:p w:rsidR="00000000" w:rsidDel="00000000" w:rsidP="00000000" w:rsidRDefault="00000000" w:rsidRPr="00000000" w14:paraId="00000029">
      <w:pPr>
        <w:spacing w:line="406.9565217391305" w:lineRule="auto"/>
        <w:rPr/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COBIT es un conjunto de objetivos de control que ayuda a los profesionales de gestión y gobierno de TI a administrar las operaciones de TI, independientemente del tamaño de la organización. Fue lanzado en 1996 y es investigado, desarrollado, mantenido y publicado por la Asociación de Auditoría y Control del Sistema de Información (ISACA). 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COBIT es principalmente un marco comercial para administrar TI empresarial. Es un estándar abierto reconocido a nivel mundial que funciona en procesos de TI de negocios y en mantener alineados los objetivos de TI y de negocios. Es un conjunto integral de herramientas, procedimientos, pautas y principios en el gobierno y la gestión de TI. COBIT ayuda a las organizaciones a beneficiarse de sus sistemas de información y activos de TI, al tiempo que tiene control en toda la empresa sobre TI empresarial.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hd w:fill="ffffff" w:val="clear"/>
        <w:spacing w:after="240" w:lineRule="auto"/>
        <w:jc w:val="both"/>
        <w:rPr/>
      </w:pPr>
      <w:bookmarkStart w:colFirst="0" w:colLast="0" w:name="_shefo8tjabnt" w:id="6"/>
      <w:bookmarkEnd w:id="6"/>
      <w:r w:rsidDel="00000000" w:rsidR="00000000" w:rsidRPr="00000000">
        <w:rPr>
          <w:rtl w:val="0"/>
        </w:rPr>
        <w:t xml:space="preserve">Estructura de objetivos de gobierno y gestión de COBIT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Los objetivos de gestión se agrupan en cuatro dominios: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Evaluar, Dirigir y Monitorizar (EDM) </w:t>
      </w:r>
      <w:r w:rsidDel="00000000" w:rsidR="00000000" w:rsidRPr="00000000">
        <w:rPr>
          <w:rtl w:val="0"/>
        </w:rPr>
        <w:t xml:space="preserve">analiza y articula los requisitos para el gobierno de la I&amp;T de la empresa. Establecer y mantener componentes de gobierno claros con respecto a la autoridad y las responsabilidades para lograr la misión, las metas y los objetivos de la empresa.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Alinear, Planificar y Organizar (APO)</w:t>
      </w:r>
      <w:r w:rsidDel="00000000" w:rsidR="00000000" w:rsidRPr="00000000">
        <w:rPr>
          <w:rtl w:val="0"/>
        </w:rPr>
        <w:t xml:space="preserve"> aborda la organización general, estrategia y actividades de apoyo para la información y la tecnología (I&amp;T).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Construir, Adquirir e Implementar (BAI)</w:t>
      </w:r>
      <w:r w:rsidDel="00000000" w:rsidR="00000000" w:rsidRPr="00000000">
        <w:rPr>
          <w:rtl w:val="0"/>
        </w:rPr>
        <w:t xml:space="preserve"> se encarga de la definición, adquisición e implementación de soluciones y su integración en los procesos de negocio.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Entregar, Dar Servicio y Soporte (DSS)</w:t>
      </w:r>
      <w:r w:rsidDel="00000000" w:rsidR="00000000" w:rsidRPr="00000000">
        <w:rPr>
          <w:rtl w:val="0"/>
        </w:rPr>
        <w:t xml:space="preserve"> aborda la entrega operativa y el soporte de los servicios de información y tecnología (I&amp;T), incluida la seguridad.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Monitorizar, Evaluar y Valorar (MEA)</w:t>
      </w:r>
      <w:r w:rsidDel="00000000" w:rsidR="00000000" w:rsidRPr="00000000">
        <w:rPr>
          <w:rtl w:val="0"/>
        </w:rPr>
        <w:t xml:space="preserve"> aborda la monitorización del rendimiento y la conformidad de I&amp;T con los objetivos de rendimiento internos, los objetivos de control interno y los requisitos externos.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EDM01—Asegurar el establecimiento y el mantenimiento del marco de gobierno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EDM02—Asegurar la obtención de beneficios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EDM03—Asegurar la optimización del riesgo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EDM04—Asegurar la optimización de los recursos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EDM05—Asegurar el compromiso de las partes interesadas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APO01—Gestionar el marco de gestión de I&amp;T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APO02—Gestionar la estrategia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APO03—Gestionar la arquitectura empresarial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APO04—Gestionar la innovación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APO05—Gestionar el portafolio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APO06—Gestionar el presupuesto y los costes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APO07—Gestionar los recursos humanos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APO08—Gestionar las relaciones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APO09—Gestionar los acuerdos de servicio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APO10—Gestionar los proveedores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APO11—Gestionar la calidad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APO12—Gestionar el riesgo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APO13—Gestionar la seguridad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APO014—Gestionar los datos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BAI01—Gestionar los programas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BAI02—Gestionar la definición de requisitos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BAI03—Gestionar la identificación y construcción de soluciones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BAI04—Gestionar la disponibilidad y capacidad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BAI05—Gestionar el cambio organizativo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BAI06—Gestionar los cambios de TI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BAI07—Gestionar la aceptación y la transición de los cambios de TI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BAI08—Gestionar el conocimiento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BAI09—Gestionar los activos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BAI10—Gestionar la configuración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BAI11—Gestionar los proyectos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DSS01—Gestionar las operaciones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DSS02—Gestionar las peticiones y los incidentes de servicio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DSS03—Gestionar los problemas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DSS04—Gestionar la continuidad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DSS05—Gestionar los servicios de seguridad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DSS06—Gestionar los controles de procesos de negocio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MEA01—Gestionar la monitorización del desempeño y la conformidad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MEA02—Gestionar el sistema de control interno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MEA03—Gestionar el cumplimiento de los requisitos externos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MEA04—Gestionar el aseguramiento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u3a9grrl0jgi" w:id="7"/>
      <w:bookmarkEnd w:id="7"/>
      <w:r w:rsidDel="00000000" w:rsidR="00000000" w:rsidRPr="00000000">
        <w:rPr>
          <w:rtl w:val="0"/>
        </w:rPr>
        <w:t xml:space="preserve">Organizador gráfico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64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9yxdten0j3jn" w:id="8"/>
      <w:bookmarkEnd w:id="8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COBIT 2019: Marco de Referencia, Introducción y Metodología, ISACA: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https://store.isaca.org/s/store#/store/browse/detail/a2S4w000004Ko5fEAC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7"/>
        <w:szCs w:val="27"/>
        <w:lang w:val="es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240" w:before="400" w:lineRule="auto"/>
      <w:jc w:val="both"/>
    </w:pPr>
    <w:rPr>
      <w:color w:val="1d212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ore.isaca.org/s/store#/store/browse/detail/a2S4w000004Ko5fEAC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