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EF115" w14:textId="0E5F9CF0" w:rsidR="00B82476" w:rsidRDefault="00733926">
      <w:pPr>
        <w:pStyle w:val="Compact"/>
        <w:numPr>
          <w:ilvl w:val="0"/>
          <w:numId w:val="2"/>
        </w:numPr>
        <w:rPr>
          <w:rFonts w:ascii="ITC Century Light" w:hAnsi="ITC Century Light"/>
          <w:sz w:val="22"/>
          <w:szCs w:val="22"/>
        </w:rPr>
      </w:pPr>
      <w:r w:rsidRPr="006F3795">
        <w:rPr>
          <w:rFonts w:ascii="ITC Century Light" w:hAnsi="ITC Century Light"/>
          <w:sz w:val="22"/>
          <w:szCs w:val="22"/>
        </w:rPr>
        <w:t xml:space="preserve">We continue to consider the use of a logistic regression model to predict the probability of default using income and balance on the </w:t>
      </w:r>
      <w:r w:rsidRPr="006F3795">
        <w:rPr>
          <w:rFonts w:ascii="ITC Century Light" w:hAnsi="ITC Century Light"/>
          <w:sz w:val="22"/>
          <w:szCs w:val="22"/>
        </w:rPr>
        <w:t xml:space="preserve">Default data set. In particular, we will now compute estimates for the standard errors of the income and balance logistic regression coefficients in two different ways: (1) using the bootstrap, and (2) using the standard formula for computing the standard </w:t>
      </w:r>
      <w:r w:rsidRPr="006F3795">
        <w:rPr>
          <w:rFonts w:ascii="ITC Century Light" w:hAnsi="ITC Century Light"/>
          <w:sz w:val="22"/>
          <w:szCs w:val="22"/>
        </w:rPr>
        <w:t xml:space="preserve">errors in the </w:t>
      </w:r>
      <w:proofErr w:type="gramStart"/>
      <w:r w:rsidRPr="006F3795">
        <w:rPr>
          <w:rFonts w:ascii="ITC Century Light" w:hAnsi="ITC Century Light"/>
          <w:sz w:val="22"/>
          <w:szCs w:val="22"/>
        </w:rPr>
        <w:t>glm(</w:t>
      </w:r>
      <w:proofErr w:type="gramEnd"/>
      <w:r w:rsidRPr="006F3795">
        <w:rPr>
          <w:rFonts w:ascii="ITC Century Light" w:hAnsi="ITC Century Light"/>
          <w:sz w:val="22"/>
          <w:szCs w:val="22"/>
        </w:rPr>
        <w:t>) function. Do not forget to set a random seed before beginning your analysis.</w:t>
      </w:r>
    </w:p>
    <w:p w14:paraId="05145B17" w14:textId="77777777" w:rsidR="006F3795" w:rsidRPr="006F3795" w:rsidRDefault="006F3795" w:rsidP="006F3795">
      <w:pPr>
        <w:pStyle w:val="Compact"/>
        <w:ind w:left="720"/>
        <w:rPr>
          <w:rFonts w:ascii="ITC Century Light" w:hAnsi="ITC Century Light"/>
          <w:sz w:val="22"/>
          <w:szCs w:val="22"/>
        </w:rPr>
      </w:pPr>
    </w:p>
    <w:p w14:paraId="1F736E80" w14:textId="77777777" w:rsidR="00B82476" w:rsidRDefault="00733926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"ISLR"</w:t>
      </w:r>
      <w:r>
        <w:rPr>
          <w:rStyle w:val="NormalTok"/>
        </w:rPr>
        <w:t>)</w:t>
      </w:r>
      <w:r>
        <w:br/>
      </w:r>
      <w:proofErr w:type="gramStart"/>
      <w:r>
        <w:rPr>
          <w:rStyle w:val="FunctionTok"/>
        </w:rPr>
        <w:t>data</w:t>
      </w:r>
      <w:r>
        <w:rPr>
          <w:rStyle w:val="NormalTok"/>
        </w:rPr>
        <w:t>(</w:t>
      </w:r>
      <w:proofErr w:type="gramEnd"/>
      <w:r>
        <w:rPr>
          <w:rStyle w:val="NormalTok"/>
        </w:rPr>
        <w:t>Default)</w:t>
      </w:r>
      <w:r>
        <w:br/>
      </w:r>
      <w:r>
        <w:rPr>
          <w:rStyle w:val="FunctionTok"/>
        </w:rPr>
        <w:t>attach</w:t>
      </w:r>
      <w:r>
        <w:rPr>
          <w:rStyle w:val="NormalTok"/>
        </w:rPr>
        <w:t>(Default)</w:t>
      </w:r>
    </w:p>
    <w:p w14:paraId="3BD881E6" w14:textId="77777777" w:rsidR="006F3795" w:rsidRDefault="006F3795" w:rsidP="006F3795">
      <w:pPr>
        <w:pStyle w:val="Compact"/>
        <w:ind w:left="720"/>
        <w:rPr>
          <w:rFonts w:ascii="ITC Century Light" w:hAnsi="ITC Century Light"/>
          <w:sz w:val="22"/>
          <w:szCs w:val="22"/>
        </w:rPr>
      </w:pPr>
    </w:p>
    <w:p w14:paraId="2A62DCFF" w14:textId="7BFC38E1" w:rsidR="00B82476" w:rsidRDefault="00733926">
      <w:pPr>
        <w:pStyle w:val="Compact"/>
        <w:numPr>
          <w:ilvl w:val="0"/>
          <w:numId w:val="3"/>
        </w:numPr>
        <w:rPr>
          <w:rFonts w:ascii="ITC Century Light" w:hAnsi="ITC Century Light"/>
          <w:sz w:val="22"/>
          <w:szCs w:val="22"/>
        </w:rPr>
      </w:pPr>
      <w:r w:rsidRPr="006F3795">
        <w:rPr>
          <w:rFonts w:ascii="ITC Century Light" w:hAnsi="ITC Century Light"/>
          <w:sz w:val="22"/>
          <w:szCs w:val="22"/>
        </w:rPr>
        <w:t xml:space="preserve">Using the </w:t>
      </w:r>
      <w:proofErr w:type="gramStart"/>
      <w:r w:rsidRPr="006F3795">
        <w:rPr>
          <w:rFonts w:ascii="ITC Century Light" w:hAnsi="ITC Century Light"/>
          <w:b/>
          <w:bCs/>
          <w:sz w:val="22"/>
          <w:szCs w:val="22"/>
        </w:rPr>
        <w:t>summary(</w:t>
      </w:r>
      <w:proofErr w:type="gramEnd"/>
      <w:r w:rsidRPr="006F3795">
        <w:rPr>
          <w:rFonts w:ascii="ITC Century Light" w:hAnsi="ITC Century Light"/>
          <w:b/>
          <w:bCs/>
          <w:sz w:val="22"/>
          <w:szCs w:val="22"/>
        </w:rPr>
        <w:t>)</w:t>
      </w:r>
      <w:r w:rsidRPr="006F3795">
        <w:rPr>
          <w:rFonts w:ascii="ITC Century Light" w:hAnsi="ITC Century Light"/>
          <w:sz w:val="22"/>
          <w:szCs w:val="22"/>
        </w:rPr>
        <w:t xml:space="preserve"> and </w:t>
      </w:r>
      <w:r w:rsidRPr="006F3795">
        <w:rPr>
          <w:rFonts w:ascii="ITC Century Light" w:hAnsi="ITC Century Light"/>
          <w:b/>
          <w:bCs/>
          <w:sz w:val="22"/>
          <w:szCs w:val="22"/>
        </w:rPr>
        <w:t>glm()</w:t>
      </w:r>
      <w:r w:rsidRPr="006F3795">
        <w:rPr>
          <w:rFonts w:ascii="ITC Century Light" w:hAnsi="ITC Century Light"/>
          <w:sz w:val="22"/>
          <w:szCs w:val="22"/>
        </w:rPr>
        <w:t xml:space="preserve"> functions, determine the estimated standard errors for the coefficients associated </w:t>
      </w:r>
      <w:r w:rsidRPr="006F3795">
        <w:rPr>
          <w:rFonts w:ascii="ITC Century Light" w:hAnsi="ITC Century Light"/>
          <w:sz w:val="22"/>
          <w:szCs w:val="22"/>
        </w:rPr>
        <w:t xml:space="preserve">with </w:t>
      </w:r>
      <w:r w:rsidRPr="006F3795">
        <w:rPr>
          <w:rFonts w:ascii="ITC Century Light" w:hAnsi="ITC Century Light"/>
          <w:b/>
          <w:bCs/>
          <w:sz w:val="22"/>
          <w:szCs w:val="22"/>
        </w:rPr>
        <w:t>income</w:t>
      </w:r>
      <w:r w:rsidRPr="006F3795">
        <w:rPr>
          <w:rFonts w:ascii="ITC Century Light" w:hAnsi="ITC Century Light"/>
          <w:sz w:val="22"/>
          <w:szCs w:val="22"/>
        </w:rPr>
        <w:t xml:space="preserve"> and </w:t>
      </w:r>
      <w:r w:rsidRPr="006F3795">
        <w:rPr>
          <w:rFonts w:ascii="ITC Century Light" w:hAnsi="ITC Century Light"/>
          <w:b/>
          <w:bCs/>
          <w:sz w:val="22"/>
          <w:szCs w:val="22"/>
        </w:rPr>
        <w:t>balance</w:t>
      </w:r>
      <w:r w:rsidRPr="006F3795">
        <w:rPr>
          <w:rFonts w:ascii="ITC Century Light" w:hAnsi="ITC Century Light"/>
          <w:sz w:val="22"/>
          <w:szCs w:val="22"/>
        </w:rPr>
        <w:t xml:space="preserve"> in a multiple logistic regression model that uses both predictors.</w:t>
      </w:r>
    </w:p>
    <w:p w14:paraId="161F1843" w14:textId="77777777" w:rsidR="006F3795" w:rsidRPr="006F3795" w:rsidRDefault="006F3795" w:rsidP="006F3795">
      <w:pPr>
        <w:pStyle w:val="Compact"/>
        <w:ind w:left="720"/>
        <w:rPr>
          <w:rFonts w:ascii="ITC Century Light" w:hAnsi="ITC Century Light"/>
          <w:sz w:val="22"/>
          <w:szCs w:val="22"/>
        </w:rPr>
      </w:pPr>
    </w:p>
    <w:p w14:paraId="2DC4FAD4" w14:textId="77777777" w:rsidR="00B82476" w:rsidRDefault="00733926">
      <w:pPr>
        <w:pStyle w:val="SourceCode"/>
      </w:pPr>
      <w:r>
        <w:rPr>
          <w:rStyle w:val="NormalTok"/>
        </w:rPr>
        <w:t xml:space="preserve">glm.fit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proofErr w:type="gramStart"/>
      <w:r>
        <w:rPr>
          <w:rStyle w:val="FunctionTok"/>
        </w:rPr>
        <w:t>glm</w:t>
      </w:r>
      <w:r>
        <w:rPr>
          <w:rStyle w:val="NormalTok"/>
        </w:rPr>
        <w:t>(</w:t>
      </w:r>
      <w:proofErr w:type="gramEnd"/>
      <w:r>
        <w:rPr>
          <w:rStyle w:val="NormalTok"/>
        </w:rPr>
        <w:t xml:space="preserve">default </w:t>
      </w:r>
      <w:r>
        <w:rPr>
          <w:rStyle w:val="SpecialCharTok"/>
        </w:rPr>
        <w:t>~</w:t>
      </w:r>
      <w:r>
        <w:rPr>
          <w:rStyle w:val="NormalTok"/>
        </w:rPr>
        <w:t xml:space="preserve"> income </w:t>
      </w:r>
      <w:r>
        <w:rPr>
          <w:rStyle w:val="SpecialCharTok"/>
        </w:rPr>
        <w:t>+</w:t>
      </w:r>
      <w:r>
        <w:rPr>
          <w:rStyle w:val="NormalTok"/>
        </w:rPr>
        <w:t xml:space="preserve"> balance, </w:t>
      </w:r>
      <w:r>
        <w:rPr>
          <w:rStyle w:val="AttributeTok"/>
        </w:rPr>
        <w:t>family=</w:t>
      </w:r>
      <w:r>
        <w:rPr>
          <w:rStyle w:val="NormalTok"/>
        </w:rPr>
        <w:t>binomial)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(glm.fit)</w:t>
      </w:r>
    </w:p>
    <w:p w14:paraId="78D768D6" w14:textId="77777777" w:rsidR="00B82476" w:rsidRDefault="00733926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glm(formula = default ~ income + balance, family = binomial)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Devia</w:t>
      </w:r>
      <w:r>
        <w:rPr>
          <w:rStyle w:val="VerbatimChar"/>
        </w:rPr>
        <w:t xml:space="preserve">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-2.4725  -0.1444  -0.0574  -0.0211   3.7245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Estimate Std. Error z value Pr(&gt;|z|)    </w:t>
      </w:r>
      <w:r>
        <w:br/>
      </w:r>
      <w:r>
        <w:rPr>
          <w:rStyle w:val="VerbatimChar"/>
        </w:rPr>
        <w:t>## (Intercept) -1.154e+01  4.348e-01 -26.545  &lt; 2e-16 ***</w:t>
      </w:r>
      <w:r>
        <w:br/>
      </w:r>
      <w:r>
        <w:rPr>
          <w:rStyle w:val="VerbatimChar"/>
        </w:rPr>
        <w:t>## in</w:t>
      </w:r>
      <w:r>
        <w:rPr>
          <w:rStyle w:val="VerbatimChar"/>
        </w:rPr>
        <w:t>come       2.081e-05  4.985e-06   4.174 2.99e-05 ***</w:t>
      </w:r>
      <w:r>
        <w:br/>
      </w:r>
      <w:r>
        <w:rPr>
          <w:rStyle w:val="VerbatimChar"/>
        </w:rPr>
        <w:t>## balance      5.647e-03  2.274e-04  24.836  &lt; 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 Null deviance: 2920.6  on 9999  degrees of freedom</w:t>
      </w:r>
      <w:r>
        <w:br/>
      </w:r>
      <w:r>
        <w:rPr>
          <w:rStyle w:val="VerbatimChar"/>
        </w:rPr>
        <w:t>## Residual deviance: 1579.0  on 9997  degrees of freedom</w:t>
      </w:r>
      <w:r>
        <w:br/>
      </w:r>
      <w:r>
        <w:rPr>
          <w:rStyle w:val="VerbatimChar"/>
        </w:rPr>
        <w:t>## AIC: 1585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8</w:t>
      </w:r>
    </w:p>
    <w:p w14:paraId="0D59A7B4" w14:textId="77777777" w:rsidR="006F3795" w:rsidRDefault="006F3795">
      <w:pPr>
        <w:pStyle w:val="FirstParagraph"/>
        <w:rPr>
          <w:rFonts w:ascii="ITC Century Light" w:hAnsi="ITC Century Light"/>
          <w:sz w:val="22"/>
          <w:szCs w:val="22"/>
          <w:lang w:val="es-CO"/>
        </w:rPr>
      </w:pPr>
    </w:p>
    <w:p w14:paraId="7ADDC111" w14:textId="20396479" w:rsidR="00B82476" w:rsidRDefault="00733926">
      <w:pPr>
        <w:pStyle w:val="FirstParagraph"/>
        <w:rPr>
          <w:rFonts w:ascii="ITC Century Light" w:hAnsi="ITC Century Light"/>
          <w:sz w:val="22"/>
          <w:szCs w:val="22"/>
          <w:lang w:val="es-CO"/>
        </w:rPr>
      </w:pPr>
      <w:r w:rsidRPr="006F3795">
        <w:rPr>
          <w:rFonts w:ascii="ITC Century Light" w:hAnsi="ITC Century Light"/>
          <w:sz w:val="22"/>
          <w:szCs w:val="22"/>
          <w:lang w:val="es-CO"/>
        </w:rPr>
        <w:t xml:space="preserve">Se puede ver con claridad que tanto </w:t>
      </w:r>
      <w:proofErr w:type="spellStart"/>
      <w:r w:rsidRPr="006F3795">
        <w:rPr>
          <w:rFonts w:ascii="ITC Century Light" w:hAnsi="ITC Century Light"/>
          <w:b/>
          <w:bCs/>
          <w:sz w:val="22"/>
          <w:szCs w:val="22"/>
          <w:lang w:val="es-CO"/>
        </w:rPr>
        <w:t>income</w:t>
      </w:r>
      <w:proofErr w:type="spellEnd"/>
      <w:r w:rsidRPr="006F3795">
        <w:rPr>
          <w:rFonts w:ascii="ITC Century Light" w:hAnsi="ITC Century Light"/>
          <w:sz w:val="22"/>
          <w:szCs w:val="22"/>
          <w:lang w:val="es-CO"/>
        </w:rPr>
        <w:t xml:space="preserve"> como </w:t>
      </w:r>
      <w:r w:rsidRPr="006F3795">
        <w:rPr>
          <w:rFonts w:ascii="ITC Century Light" w:hAnsi="ITC Century Light"/>
          <w:b/>
          <w:bCs/>
          <w:sz w:val="22"/>
          <w:szCs w:val="22"/>
          <w:lang w:val="es-CO"/>
        </w:rPr>
        <w:t>balance</w:t>
      </w:r>
      <w:r w:rsidRPr="006F3795">
        <w:rPr>
          <w:rFonts w:ascii="ITC Century Light" w:hAnsi="ITC Century Light"/>
          <w:sz w:val="22"/>
          <w:szCs w:val="22"/>
          <w:lang w:val="es-CO"/>
        </w:rPr>
        <w:t xml:space="preserve"> son variables predictoras sig</w:t>
      </w:r>
      <w:r w:rsidRPr="006F3795">
        <w:rPr>
          <w:rFonts w:ascii="ITC Century Light" w:hAnsi="ITC Century Light"/>
          <w:sz w:val="22"/>
          <w:szCs w:val="22"/>
          <w:lang w:val="es-CO"/>
        </w:rPr>
        <w:t>nificativas para este modelo pues p-</w:t>
      </w:r>
      <w:proofErr w:type="spellStart"/>
      <w:r w:rsidRPr="006F3795">
        <w:rPr>
          <w:rFonts w:ascii="ITC Century Light" w:hAnsi="ITC Century Light"/>
          <w:sz w:val="22"/>
          <w:szCs w:val="22"/>
          <w:lang w:val="es-CO"/>
        </w:rPr>
        <w:t>value</w:t>
      </w:r>
      <w:proofErr w:type="spellEnd"/>
      <w:r w:rsidRPr="006F3795">
        <w:rPr>
          <w:rFonts w:ascii="ITC Century Light" w:hAnsi="ITC Century Light"/>
          <w:sz w:val="22"/>
          <w:szCs w:val="22"/>
          <w:lang w:val="es-CO"/>
        </w:rPr>
        <w:t xml:space="preserve"> &lt; .05; sin </w:t>
      </w:r>
      <w:r w:rsidR="006F3795" w:rsidRPr="006F3795">
        <w:rPr>
          <w:rFonts w:ascii="ITC Century Light" w:hAnsi="ITC Century Light"/>
          <w:sz w:val="22"/>
          <w:szCs w:val="22"/>
          <w:lang w:val="es-CO"/>
        </w:rPr>
        <w:t>embargo,</w:t>
      </w:r>
      <w:r w:rsidRPr="006F3795">
        <w:rPr>
          <w:rFonts w:ascii="ITC Century Light" w:hAnsi="ITC Century Light"/>
          <w:sz w:val="22"/>
          <w:szCs w:val="22"/>
          <w:lang w:val="es-CO"/>
        </w:rPr>
        <w:t xml:space="preserve"> tanto la </w:t>
      </w:r>
      <w:r w:rsidRPr="006F3795">
        <w:rPr>
          <w:rFonts w:ascii="ITC Century Light" w:hAnsi="ITC Century Light"/>
          <w:b/>
          <w:bCs/>
          <w:sz w:val="22"/>
          <w:szCs w:val="22"/>
          <w:lang w:val="es-CO"/>
        </w:rPr>
        <w:t>desviación residual</w:t>
      </w:r>
      <w:r w:rsidRPr="006F3795">
        <w:rPr>
          <w:rFonts w:ascii="ITC Century Light" w:hAnsi="ITC Century Light"/>
          <w:sz w:val="22"/>
          <w:szCs w:val="22"/>
          <w:lang w:val="es-CO"/>
        </w:rPr>
        <w:t xml:space="preserve"> como el </w:t>
      </w:r>
      <w:r w:rsidRPr="006F3795">
        <w:rPr>
          <w:rFonts w:ascii="ITC Century Light" w:hAnsi="ITC Century Light"/>
          <w:b/>
          <w:bCs/>
          <w:sz w:val="22"/>
          <w:szCs w:val="22"/>
          <w:lang w:val="es-CO"/>
        </w:rPr>
        <w:t>AIC</w:t>
      </w:r>
      <w:r w:rsidRPr="006F3795">
        <w:rPr>
          <w:rFonts w:ascii="ITC Century Light" w:hAnsi="ITC Century Light"/>
          <w:sz w:val="22"/>
          <w:szCs w:val="22"/>
          <w:lang w:val="es-CO"/>
        </w:rPr>
        <w:t>, son muy grandes, lo cual es un indicativo que el modelo entrenado no es el más el adecuado.</w:t>
      </w:r>
    </w:p>
    <w:p w14:paraId="243E8ACD" w14:textId="77777777" w:rsidR="006F3795" w:rsidRPr="006F3795" w:rsidRDefault="006F3795" w:rsidP="006F3795">
      <w:pPr>
        <w:pStyle w:val="BodyText"/>
        <w:rPr>
          <w:lang w:val="es-CO"/>
        </w:rPr>
      </w:pPr>
    </w:p>
    <w:p w14:paraId="28449599" w14:textId="6A9C1485" w:rsidR="00B82476" w:rsidRDefault="00733926">
      <w:pPr>
        <w:pStyle w:val="Compact"/>
        <w:numPr>
          <w:ilvl w:val="0"/>
          <w:numId w:val="4"/>
        </w:numPr>
        <w:rPr>
          <w:rFonts w:ascii="ITC Century Light" w:hAnsi="ITC Century Light"/>
          <w:sz w:val="22"/>
          <w:szCs w:val="22"/>
        </w:rPr>
      </w:pPr>
      <w:r w:rsidRPr="006F3795">
        <w:rPr>
          <w:rFonts w:ascii="ITC Century Light" w:hAnsi="ITC Century Light"/>
          <w:sz w:val="22"/>
          <w:szCs w:val="22"/>
        </w:rPr>
        <w:lastRenderedPageBreak/>
        <w:t xml:space="preserve">Write a function, </w:t>
      </w:r>
      <w:proofErr w:type="spellStart"/>
      <w:proofErr w:type="gramStart"/>
      <w:r w:rsidRPr="006F3795">
        <w:rPr>
          <w:rFonts w:ascii="ITC Century Light" w:hAnsi="ITC Century Light"/>
          <w:b/>
          <w:bCs/>
          <w:sz w:val="22"/>
          <w:szCs w:val="22"/>
        </w:rPr>
        <w:t>boot.fn</w:t>
      </w:r>
      <w:proofErr w:type="spellEnd"/>
      <w:proofErr w:type="gramEnd"/>
      <w:r w:rsidRPr="006F3795">
        <w:rPr>
          <w:rFonts w:ascii="ITC Century Light" w:hAnsi="ITC Century Light"/>
          <w:b/>
          <w:bCs/>
          <w:sz w:val="22"/>
          <w:szCs w:val="22"/>
        </w:rPr>
        <w:t>()</w:t>
      </w:r>
      <w:r w:rsidRPr="006F3795">
        <w:rPr>
          <w:rFonts w:ascii="ITC Century Light" w:hAnsi="ITC Century Light"/>
          <w:sz w:val="22"/>
          <w:szCs w:val="22"/>
        </w:rPr>
        <w:t>, that takes as input the Default data set as well as an index of the observations, and that outputs the coefficient estimates for inco</w:t>
      </w:r>
      <w:r w:rsidRPr="006F3795">
        <w:rPr>
          <w:rFonts w:ascii="ITC Century Light" w:hAnsi="ITC Century Light"/>
          <w:sz w:val="22"/>
          <w:szCs w:val="22"/>
        </w:rPr>
        <w:t>me and balance in the multiple logistic regression model.</w:t>
      </w:r>
    </w:p>
    <w:p w14:paraId="3F8FC0D9" w14:textId="08E611AD" w:rsidR="006F3795" w:rsidRDefault="006F3795" w:rsidP="006F3795">
      <w:pPr>
        <w:pStyle w:val="Compact"/>
        <w:rPr>
          <w:rFonts w:ascii="ITC Century Light" w:hAnsi="ITC Century Light"/>
          <w:sz w:val="22"/>
          <w:szCs w:val="22"/>
        </w:rPr>
      </w:pPr>
    </w:p>
    <w:p w14:paraId="7D40C48E" w14:textId="77777777" w:rsidR="006F3795" w:rsidRPr="006F3795" w:rsidRDefault="006F3795" w:rsidP="006F3795">
      <w:pPr>
        <w:pStyle w:val="Compact"/>
        <w:rPr>
          <w:rFonts w:ascii="ITC Century Light" w:hAnsi="ITC Century Light"/>
          <w:sz w:val="22"/>
          <w:szCs w:val="22"/>
        </w:rPr>
      </w:pPr>
    </w:p>
    <w:p w14:paraId="6A2BE220" w14:textId="77777777" w:rsidR="00B82476" w:rsidRDefault="00733926">
      <w:pPr>
        <w:pStyle w:val="SourceCode"/>
      </w:pPr>
      <w:r w:rsidRPr="006F3795">
        <w:rPr>
          <w:rStyle w:val="DocumentationTok"/>
          <w:lang w:val="es-CO"/>
        </w:rPr>
        <w:t xml:space="preserve">##Se establece una </w:t>
      </w:r>
      <w:proofErr w:type="spellStart"/>
      <w:r w:rsidRPr="006F3795">
        <w:rPr>
          <w:rStyle w:val="DocumentationTok"/>
          <w:lang w:val="es-CO"/>
        </w:rPr>
        <w:t>semill</w:t>
      </w:r>
      <w:proofErr w:type="spellEnd"/>
      <w:r w:rsidRPr="006F3795">
        <w:rPr>
          <w:rStyle w:val="DocumentationTok"/>
          <w:lang w:val="es-CO"/>
        </w:rPr>
        <w:t xml:space="preserve"> para que los resultados siempre sean replicables.</w:t>
      </w:r>
      <w:r w:rsidRPr="006F3795">
        <w:rPr>
          <w:lang w:val="es-CO"/>
        </w:rPr>
        <w:br/>
      </w:r>
      <w:r w:rsidRPr="006F3795">
        <w:rPr>
          <w:lang w:val="es-CO"/>
        </w:rPr>
        <w:br/>
      </w:r>
      <w:proofErr w:type="spellStart"/>
      <w:proofErr w:type="gramStart"/>
      <w:r>
        <w:rPr>
          <w:rStyle w:val="FunctionTok"/>
        </w:rPr>
        <w:t>set.seed</w:t>
      </w:r>
      <w:proofErr w:type="spellEnd"/>
      <w:proofErr w:type="gramEnd"/>
      <w:r>
        <w:rPr>
          <w:rStyle w:val="NormalTok"/>
        </w:rPr>
        <w:t>(</w:t>
      </w:r>
      <w:r>
        <w:rPr>
          <w:rStyle w:val="DecValTok"/>
        </w:rPr>
        <w:t>13</w:t>
      </w:r>
      <w:r>
        <w:rPr>
          <w:rStyle w:val="NormalTok"/>
        </w:rPr>
        <w:t xml:space="preserve">) </w:t>
      </w:r>
      <w:r>
        <w:br/>
      </w:r>
      <w:proofErr w:type="spellStart"/>
      <w:r>
        <w:rPr>
          <w:rStyle w:val="NormalTok"/>
        </w:rPr>
        <w:t>boot.fn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(data, index) {</w:t>
      </w:r>
      <w:r>
        <w:br/>
      </w:r>
      <w:r>
        <w:rPr>
          <w:rStyle w:val="NormalTok"/>
        </w:rPr>
        <w:t xml:space="preserve">    fit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glm</w:t>
      </w:r>
      <w:r>
        <w:rPr>
          <w:rStyle w:val="NormalTok"/>
        </w:rPr>
        <w:t xml:space="preserve">(default </w:t>
      </w:r>
      <w:r>
        <w:rPr>
          <w:rStyle w:val="SpecialCharTok"/>
        </w:rPr>
        <w:t>~</w:t>
      </w:r>
      <w:r>
        <w:rPr>
          <w:rStyle w:val="NormalTok"/>
        </w:rPr>
        <w:t xml:space="preserve"> income </w:t>
      </w:r>
      <w:r>
        <w:rPr>
          <w:rStyle w:val="SpecialCharTok"/>
        </w:rPr>
        <w:t>+</w:t>
      </w:r>
      <w:r>
        <w:rPr>
          <w:rStyle w:val="NormalTok"/>
        </w:rPr>
        <w:t xml:space="preserve"> balance, </w:t>
      </w:r>
      <w:r>
        <w:rPr>
          <w:rStyle w:val="AttributeTok"/>
        </w:rPr>
        <w:t>data =</w:t>
      </w:r>
      <w:r>
        <w:rPr>
          <w:rStyle w:val="NormalTok"/>
        </w:rPr>
        <w:t xml:space="preserve"> data, </w:t>
      </w:r>
      <w:r>
        <w:rPr>
          <w:rStyle w:val="AttributeTok"/>
        </w:rPr>
        <w:t>family =</w:t>
      </w:r>
      <w:r>
        <w:rPr>
          <w:rStyle w:val="NormalTok"/>
        </w:rPr>
        <w:t xml:space="preserve"> </w:t>
      </w:r>
      <w:r>
        <w:rPr>
          <w:rStyle w:val="StringTok"/>
        </w:rPr>
        <w:t>"binomi</w:t>
      </w:r>
      <w:r>
        <w:rPr>
          <w:rStyle w:val="StringTok"/>
        </w:rPr>
        <w:t>al"</w:t>
      </w:r>
      <w:r>
        <w:rPr>
          <w:rStyle w:val="NormalTok"/>
        </w:rPr>
        <w:t xml:space="preserve">, </w:t>
      </w:r>
      <w:r>
        <w:rPr>
          <w:rStyle w:val="AttributeTok"/>
        </w:rPr>
        <w:t>subset =</w:t>
      </w:r>
      <w:r>
        <w:rPr>
          <w:rStyle w:val="NormalTok"/>
        </w:rPr>
        <w:t xml:space="preserve"> index)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return</w:t>
      </w:r>
      <w:r>
        <w:rPr>
          <w:rStyle w:val="NormalTok"/>
        </w:rPr>
        <w:t xml:space="preserve"> (</w:t>
      </w:r>
      <w:r>
        <w:rPr>
          <w:rStyle w:val="FunctionTok"/>
        </w:rPr>
        <w:t>coef</w:t>
      </w:r>
      <w:r>
        <w:rPr>
          <w:rStyle w:val="NormalTok"/>
        </w:rPr>
        <w:t>(fit))</w:t>
      </w:r>
      <w:r>
        <w:br/>
      </w:r>
      <w:r>
        <w:rPr>
          <w:rStyle w:val="NormalTok"/>
        </w:rPr>
        <w:t>}</w:t>
      </w:r>
    </w:p>
    <w:p w14:paraId="308ED3C5" w14:textId="77777777" w:rsidR="00B82476" w:rsidRPr="006F3795" w:rsidRDefault="00733926">
      <w:pPr>
        <w:pStyle w:val="Compact"/>
        <w:numPr>
          <w:ilvl w:val="0"/>
          <w:numId w:val="5"/>
        </w:numPr>
        <w:rPr>
          <w:rFonts w:ascii="ITC Century Light" w:hAnsi="ITC Century Light"/>
          <w:sz w:val="22"/>
          <w:szCs w:val="22"/>
        </w:rPr>
      </w:pPr>
      <w:r w:rsidRPr="006F3795">
        <w:rPr>
          <w:rFonts w:ascii="ITC Century Light" w:hAnsi="ITC Century Light"/>
          <w:sz w:val="22"/>
          <w:szCs w:val="22"/>
        </w:rPr>
        <w:t xml:space="preserve">Use the </w:t>
      </w:r>
      <w:proofErr w:type="gramStart"/>
      <w:r w:rsidRPr="006F3795">
        <w:rPr>
          <w:rFonts w:ascii="ITC Century Light" w:hAnsi="ITC Century Light"/>
          <w:sz w:val="22"/>
          <w:szCs w:val="22"/>
        </w:rPr>
        <w:t>boot(</w:t>
      </w:r>
      <w:proofErr w:type="gramEnd"/>
      <w:r w:rsidRPr="006F3795">
        <w:rPr>
          <w:rFonts w:ascii="ITC Century Light" w:hAnsi="ITC Century Light"/>
          <w:sz w:val="22"/>
          <w:szCs w:val="22"/>
        </w:rPr>
        <w:t>) function together with your boot.fn() function to estimate the standard errors of the logistic regression coefficients for income and balance.</w:t>
      </w:r>
    </w:p>
    <w:p w14:paraId="725F06DA" w14:textId="77777777" w:rsidR="00B82476" w:rsidRDefault="00733926">
      <w:pPr>
        <w:pStyle w:val="SourceCode"/>
      </w:pPr>
      <w:proofErr w:type="gramStart"/>
      <w:r>
        <w:rPr>
          <w:rStyle w:val="FunctionTok"/>
        </w:rPr>
        <w:t>set.seed</w:t>
      </w:r>
      <w:proofErr w:type="gramEnd"/>
      <w:r>
        <w:rPr>
          <w:rStyle w:val="NormalTok"/>
        </w:rPr>
        <w:t>(</w:t>
      </w:r>
      <w:r>
        <w:rPr>
          <w:rStyle w:val="DecValTok"/>
        </w:rPr>
        <w:t>13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(boot)</w:t>
      </w:r>
      <w:r>
        <w:br/>
      </w:r>
      <w:r>
        <w:rPr>
          <w:rStyle w:val="FunctionTok"/>
        </w:rPr>
        <w:t>boot</w:t>
      </w:r>
      <w:r>
        <w:rPr>
          <w:rStyle w:val="NormalTok"/>
        </w:rPr>
        <w:t xml:space="preserve">(Default, boot.fn, </w:t>
      </w:r>
      <w:r>
        <w:rPr>
          <w:rStyle w:val="DecValTok"/>
        </w:rPr>
        <w:t>10</w:t>
      </w:r>
      <w:r>
        <w:rPr>
          <w:rStyle w:val="DecValTok"/>
        </w:rPr>
        <w:t>00</w:t>
      </w:r>
      <w:r>
        <w:rPr>
          <w:rStyle w:val="NormalTok"/>
        </w:rPr>
        <w:t>)</w:t>
      </w:r>
    </w:p>
    <w:p w14:paraId="4296D4AD" w14:textId="77777777" w:rsidR="00B82476" w:rsidRDefault="00733926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ORDINARY NONPARAMETRIC BOOTSTRAP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boot(data = Default, statistic = boot.fn, R = 1000)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Bootstrap Statistics :</w:t>
      </w:r>
      <w:r>
        <w:br/>
      </w:r>
      <w:r>
        <w:rPr>
          <w:rStyle w:val="VerbatimChar"/>
        </w:rPr>
        <w:t>##          original        bias     std. error</w:t>
      </w:r>
      <w:r>
        <w:br/>
      </w:r>
      <w:r>
        <w:rPr>
          <w:rStyle w:val="VerbatimChar"/>
        </w:rPr>
        <w:t>## t1* -1.154047e+01 -2.509758e-02 4.106349e-01</w:t>
      </w:r>
      <w:r>
        <w:br/>
      </w:r>
      <w:r>
        <w:rPr>
          <w:rStyle w:val="VerbatimChar"/>
        </w:rPr>
        <w:t>## t2*  2.</w:t>
      </w:r>
      <w:r>
        <w:rPr>
          <w:rStyle w:val="VerbatimChar"/>
        </w:rPr>
        <w:t>080898e-05  2.341013e-08 4.571344e-06</w:t>
      </w:r>
      <w:r>
        <w:br/>
      </w:r>
      <w:r>
        <w:rPr>
          <w:rStyle w:val="VerbatimChar"/>
        </w:rPr>
        <w:t>## t3*  5.647103e-03  1.483680e-05 2.162846e-04</w:t>
      </w:r>
    </w:p>
    <w:p w14:paraId="2F69D7E0" w14:textId="77777777" w:rsidR="00B82476" w:rsidRPr="006F3795" w:rsidRDefault="00733926">
      <w:pPr>
        <w:pStyle w:val="FirstParagraph"/>
        <w:rPr>
          <w:rFonts w:ascii="ITC Century Light" w:hAnsi="ITC Century Light"/>
          <w:sz w:val="22"/>
          <w:szCs w:val="22"/>
          <w:lang w:val="es-CO"/>
        </w:rPr>
      </w:pPr>
      <w:r w:rsidRPr="006F3795">
        <w:rPr>
          <w:rFonts w:ascii="ITC Century Light" w:hAnsi="ITC Century Light"/>
          <w:sz w:val="22"/>
          <w:szCs w:val="22"/>
          <w:lang w:val="es-CO"/>
        </w:rPr>
        <w:t xml:space="preserve">Los estimados de los errores </w:t>
      </w:r>
      <w:proofErr w:type="spellStart"/>
      <w:r w:rsidRPr="006F3795">
        <w:rPr>
          <w:rFonts w:ascii="ITC Century Light" w:hAnsi="ITC Century Light"/>
          <w:sz w:val="22"/>
          <w:szCs w:val="22"/>
          <w:lang w:val="es-CO"/>
        </w:rPr>
        <w:t>estandar</w:t>
      </w:r>
      <w:proofErr w:type="spellEnd"/>
      <w:r w:rsidRPr="006F3795">
        <w:rPr>
          <w:rFonts w:ascii="ITC Century Light" w:hAnsi="ITC Century Light"/>
          <w:sz w:val="22"/>
          <w:szCs w:val="22"/>
          <w:lang w:val="es-CO"/>
        </w:rPr>
        <w:t xml:space="preserve"> generados por el </w:t>
      </w:r>
      <w:proofErr w:type="spellStart"/>
      <w:r w:rsidRPr="006F3795">
        <w:rPr>
          <w:rFonts w:ascii="ITC Century Light" w:hAnsi="ITC Century Light"/>
          <w:sz w:val="22"/>
          <w:szCs w:val="22"/>
          <w:lang w:val="es-CO"/>
        </w:rPr>
        <w:t>boostrap</w:t>
      </w:r>
      <w:proofErr w:type="spellEnd"/>
      <w:r w:rsidRPr="006F3795">
        <w:rPr>
          <w:rFonts w:ascii="ITC Century Light" w:hAnsi="ITC Century Light"/>
          <w:sz w:val="22"/>
          <w:szCs w:val="22"/>
          <w:lang w:val="es-CO"/>
        </w:rPr>
        <w:t xml:space="preserve"> son:</w:t>
      </w:r>
    </w:p>
    <w:p w14:paraId="0A8B7CDA" w14:textId="77777777" w:rsidR="00B82476" w:rsidRDefault="00733926">
      <w:pPr>
        <w:pStyle w:val="Compact"/>
        <w:numPr>
          <w:ilvl w:val="0"/>
          <w:numId w:val="6"/>
        </w:numPr>
      </w:pPr>
      <m:oMath>
        <m:acc>
          <m:accPr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acc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4.11</m:t>
        </m:r>
        <m:r>
          <w:rPr>
            <w:rFonts w:ascii="Cambria Math" w:hAnsi="Cambria Math"/>
          </w:rPr>
          <m:t>e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01</m:t>
        </m:r>
      </m:oMath>
    </w:p>
    <w:p w14:paraId="24416DD2" w14:textId="77777777" w:rsidR="00B82476" w:rsidRDefault="00733926">
      <w:pPr>
        <w:pStyle w:val="Compact"/>
        <w:numPr>
          <w:ilvl w:val="0"/>
          <w:numId w:val="6"/>
        </w:numPr>
      </w:pPr>
      <m:oMath>
        <m:acc>
          <m:accPr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4.57</m:t>
        </m:r>
        <m:r>
          <w:rPr>
            <w:rFonts w:ascii="Cambria Math" w:hAnsi="Cambria Math"/>
          </w:rPr>
          <m:t>e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06</m:t>
        </m:r>
      </m:oMath>
    </w:p>
    <w:p w14:paraId="7D1ED4B9" w14:textId="77777777" w:rsidR="00B82476" w:rsidRDefault="00733926">
      <w:pPr>
        <w:pStyle w:val="Compact"/>
        <w:numPr>
          <w:ilvl w:val="0"/>
          <w:numId w:val="6"/>
        </w:numPr>
      </w:pPr>
      <m:oMath>
        <m:acc>
          <m:accPr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2.16</m:t>
        </m:r>
        <m:r>
          <w:rPr>
            <w:rFonts w:ascii="Cambria Math" w:hAnsi="Cambria Math"/>
          </w:rPr>
          <m:t>e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04</m:t>
        </m:r>
      </m:oMath>
    </w:p>
    <w:p w14:paraId="59400F1E" w14:textId="77777777" w:rsidR="006F3795" w:rsidRDefault="006F3795" w:rsidP="006F3795">
      <w:pPr>
        <w:pStyle w:val="Compact"/>
        <w:ind w:left="720"/>
        <w:rPr>
          <w:rFonts w:ascii="ITC Century Light" w:hAnsi="ITC Century Light"/>
          <w:sz w:val="22"/>
          <w:szCs w:val="22"/>
        </w:rPr>
      </w:pPr>
    </w:p>
    <w:p w14:paraId="22D3A955" w14:textId="5E9D728A" w:rsidR="00B82476" w:rsidRPr="006F3795" w:rsidRDefault="00733926">
      <w:pPr>
        <w:pStyle w:val="Compact"/>
        <w:numPr>
          <w:ilvl w:val="0"/>
          <w:numId w:val="7"/>
        </w:numPr>
        <w:rPr>
          <w:rFonts w:ascii="ITC Century Light" w:hAnsi="ITC Century Light"/>
          <w:sz w:val="22"/>
          <w:szCs w:val="22"/>
        </w:rPr>
      </w:pPr>
      <w:r w:rsidRPr="006F3795">
        <w:rPr>
          <w:rFonts w:ascii="ITC Century Light" w:hAnsi="ITC Century Light"/>
          <w:sz w:val="22"/>
          <w:szCs w:val="22"/>
        </w:rPr>
        <w:t xml:space="preserve">Comment on the estimated standard errors obtained using the </w:t>
      </w:r>
      <w:proofErr w:type="gramStart"/>
      <w:r w:rsidRPr="006F3795">
        <w:rPr>
          <w:rFonts w:ascii="ITC Century Light" w:hAnsi="ITC Century Light"/>
          <w:b/>
          <w:bCs/>
          <w:sz w:val="22"/>
          <w:szCs w:val="22"/>
        </w:rPr>
        <w:t>glm(</w:t>
      </w:r>
      <w:proofErr w:type="gramEnd"/>
      <w:r w:rsidRPr="006F3795">
        <w:rPr>
          <w:rFonts w:ascii="ITC Century Light" w:hAnsi="ITC Century Light"/>
          <w:b/>
          <w:bCs/>
          <w:sz w:val="22"/>
          <w:szCs w:val="22"/>
        </w:rPr>
        <w:t>)</w:t>
      </w:r>
      <w:r w:rsidRPr="006F3795">
        <w:rPr>
          <w:rFonts w:ascii="ITC Century Light" w:hAnsi="ITC Century Light"/>
          <w:sz w:val="22"/>
          <w:szCs w:val="22"/>
        </w:rPr>
        <w:t xml:space="preserve"> function and using your bootstrap function.</w:t>
      </w:r>
    </w:p>
    <w:p w14:paraId="2D13D98D" w14:textId="77777777" w:rsidR="00B82476" w:rsidRPr="006F3795" w:rsidRDefault="00733926">
      <w:pPr>
        <w:pStyle w:val="FirstParagraph"/>
        <w:rPr>
          <w:rFonts w:ascii="ITC Century Light" w:hAnsi="ITC Century Light"/>
          <w:sz w:val="22"/>
          <w:szCs w:val="22"/>
          <w:lang w:val="es-CO"/>
        </w:rPr>
      </w:pPr>
      <w:r w:rsidRPr="006F3795">
        <w:rPr>
          <w:rFonts w:ascii="ITC Century Light" w:hAnsi="ITC Century Light"/>
          <w:sz w:val="22"/>
          <w:szCs w:val="22"/>
          <w:lang w:val="es-CO"/>
        </w:rPr>
        <w:t>Al comparar los resultados de los errores estándar estimados para los puntos (c) y (d</w:t>
      </w:r>
      <w:proofErr w:type="gramStart"/>
      <w:r w:rsidRPr="006F3795">
        <w:rPr>
          <w:rFonts w:ascii="ITC Century Light" w:hAnsi="ITC Century Light"/>
          <w:sz w:val="22"/>
          <w:szCs w:val="22"/>
          <w:lang w:val="es-CO"/>
        </w:rPr>
        <w:t>),vemos</w:t>
      </w:r>
      <w:proofErr w:type="gramEnd"/>
      <w:r w:rsidRPr="006F3795">
        <w:rPr>
          <w:rFonts w:ascii="ITC Century Light" w:hAnsi="ITC Century Light"/>
          <w:sz w:val="22"/>
          <w:szCs w:val="22"/>
          <w:lang w:val="es-CO"/>
        </w:rPr>
        <w:t xml:space="preserve"> que son muy cercanos entre sí, por lo cual se puede d</w:t>
      </w:r>
      <w:r w:rsidRPr="006F3795">
        <w:rPr>
          <w:rFonts w:ascii="ITC Century Light" w:hAnsi="ITC Century Light"/>
          <w:sz w:val="22"/>
          <w:szCs w:val="22"/>
          <w:lang w:val="es-CO"/>
        </w:rPr>
        <w:t xml:space="preserve">ecir que el modelo </w:t>
      </w:r>
      <w:proofErr w:type="spellStart"/>
      <w:r w:rsidRPr="006F3795">
        <w:rPr>
          <w:rFonts w:ascii="ITC Century Light" w:hAnsi="ITC Century Light"/>
          <w:sz w:val="22"/>
          <w:szCs w:val="22"/>
          <w:lang w:val="es-CO"/>
        </w:rPr>
        <w:t>boostrap</w:t>
      </w:r>
      <w:proofErr w:type="spellEnd"/>
      <w:r w:rsidRPr="006F3795">
        <w:rPr>
          <w:rFonts w:ascii="ITC Century Light" w:hAnsi="ITC Century Light"/>
          <w:sz w:val="22"/>
          <w:szCs w:val="22"/>
          <w:lang w:val="es-CO"/>
        </w:rPr>
        <w:t xml:space="preserve"> es eficiente.</w:t>
      </w:r>
    </w:p>
    <w:p w14:paraId="6D8DCE7C" w14:textId="3D35885C" w:rsidR="00B82476" w:rsidRPr="006F3795" w:rsidRDefault="00733926">
      <w:pPr>
        <w:pStyle w:val="BodyText"/>
        <w:rPr>
          <w:rFonts w:ascii="ITC Century Light" w:hAnsi="ITC Century Light"/>
          <w:sz w:val="22"/>
          <w:szCs w:val="22"/>
          <w:lang w:val="es-CO"/>
        </w:rPr>
      </w:pPr>
      <w:r w:rsidRPr="006F3795">
        <w:rPr>
          <w:rFonts w:ascii="ITC Century Light" w:hAnsi="ITC Century Light"/>
          <w:sz w:val="22"/>
          <w:szCs w:val="22"/>
          <w:lang w:val="es-CO"/>
        </w:rPr>
        <w:t xml:space="preserve">La </w:t>
      </w:r>
      <w:r w:rsidR="006F3795" w:rsidRPr="006F3795">
        <w:rPr>
          <w:rFonts w:ascii="ITC Century Light" w:hAnsi="ITC Century Light"/>
          <w:sz w:val="22"/>
          <w:szCs w:val="22"/>
          <w:lang w:val="es-CO"/>
        </w:rPr>
        <w:t>cercanía</w:t>
      </w:r>
      <w:r w:rsidRPr="006F3795">
        <w:rPr>
          <w:rFonts w:ascii="ITC Century Light" w:hAnsi="ITC Century Light"/>
          <w:sz w:val="22"/>
          <w:szCs w:val="22"/>
          <w:lang w:val="es-CO"/>
        </w:rPr>
        <w:t xml:space="preserve"> entre estos valores es cada vez más </w:t>
      </w:r>
      <w:r w:rsidR="006F3795" w:rsidRPr="006F3795">
        <w:rPr>
          <w:rFonts w:ascii="ITC Century Light" w:hAnsi="ITC Century Light"/>
          <w:sz w:val="22"/>
          <w:szCs w:val="22"/>
          <w:lang w:val="es-CO"/>
        </w:rPr>
        <w:t>notoria</w:t>
      </w:r>
      <w:r w:rsidRPr="006F3795">
        <w:rPr>
          <w:rFonts w:ascii="ITC Century Light" w:hAnsi="ITC Century Light"/>
          <w:sz w:val="22"/>
          <w:szCs w:val="22"/>
          <w:lang w:val="es-CO"/>
        </w:rPr>
        <w:t xml:space="preserve"> al incrementar el </w:t>
      </w:r>
      <w:r w:rsidR="006F3795" w:rsidRPr="006F3795">
        <w:rPr>
          <w:rFonts w:ascii="ITC Century Light" w:hAnsi="ITC Century Light"/>
          <w:sz w:val="22"/>
          <w:szCs w:val="22"/>
          <w:lang w:val="es-CO"/>
        </w:rPr>
        <w:t>número</w:t>
      </w:r>
      <w:r w:rsidRPr="006F3795">
        <w:rPr>
          <w:rFonts w:ascii="ITC Century Light" w:hAnsi="ITC Century Light"/>
          <w:sz w:val="22"/>
          <w:szCs w:val="22"/>
          <w:lang w:val="es-CO"/>
        </w:rPr>
        <w:t xml:space="preserve"> de observaciones utilizadas en el </w:t>
      </w:r>
      <w:proofErr w:type="spellStart"/>
      <w:r w:rsidRPr="006F3795">
        <w:rPr>
          <w:rFonts w:ascii="ITC Century Light" w:hAnsi="ITC Century Light"/>
          <w:sz w:val="22"/>
          <w:szCs w:val="22"/>
          <w:lang w:val="es-CO"/>
        </w:rPr>
        <w:t>boostrap</w:t>
      </w:r>
      <w:proofErr w:type="spellEnd"/>
      <w:r w:rsidRPr="006F3795">
        <w:rPr>
          <w:rFonts w:ascii="ITC Century Light" w:hAnsi="ITC Century Light"/>
          <w:sz w:val="22"/>
          <w:szCs w:val="22"/>
          <w:lang w:val="es-CO"/>
        </w:rPr>
        <w:t xml:space="preserve"> como se puede ver a continuación.</w:t>
      </w:r>
    </w:p>
    <w:p w14:paraId="74376A33" w14:textId="77777777" w:rsidR="00B82476" w:rsidRDefault="00733926">
      <w:pPr>
        <w:pStyle w:val="SourceCode"/>
      </w:pPr>
      <w:r>
        <w:rPr>
          <w:rStyle w:val="DocumentationTok"/>
        </w:rPr>
        <w:lastRenderedPageBreak/>
        <w:t xml:space="preserve">## </w:t>
      </w:r>
      <w:proofErr w:type="spellStart"/>
      <w:r>
        <w:rPr>
          <w:rStyle w:val="DocumentationTok"/>
        </w:rPr>
        <w:t>Boostrap</w:t>
      </w:r>
      <w:proofErr w:type="spellEnd"/>
      <w:r>
        <w:rPr>
          <w:rStyle w:val="DocumentationTok"/>
        </w:rPr>
        <w:t xml:space="preserve"> con 100 datos</w:t>
      </w:r>
      <w:r>
        <w:br/>
      </w:r>
      <w:r>
        <w:br/>
      </w:r>
      <w:proofErr w:type="gramStart"/>
      <w:r>
        <w:rPr>
          <w:rStyle w:val="FunctionTok"/>
        </w:rPr>
        <w:t>set.seed</w:t>
      </w:r>
      <w:proofErr w:type="gramEnd"/>
      <w:r>
        <w:rPr>
          <w:rStyle w:val="NormalTok"/>
        </w:rPr>
        <w:t>(</w:t>
      </w:r>
      <w:r>
        <w:rPr>
          <w:rStyle w:val="DecValTok"/>
        </w:rPr>
        <w:t>13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(boot)</w:t>
      </w:r>
      <w:r>
        <w:br/>
      </w:r>
      <w:r>
        <w:rPr>
          <w:rStyle w:val="FunctionTok"/>
        </w:rPr>
        <w:t>bo</w:t>
      </w:r>
      <w:r>
        <w:rPr>
          <w:rStyle w:val="FunctionTok"/>
        </w:rPr>
        <w:t>ot</w:t>
      </w:r>
      <w:r>
        <w:rPr>
          <w:rStyle w:val="NormalTok"/>
        </w:rPr>
        <w:t xml:space="preserve">(Default, boot.fn, </w:t>
      </w:r>
      <w:r>
        <w:rPr>
          <w:rStyle w:val="DecValTok"/>
        </w:rPr>
        <w:t>100</w:t>
      </w:r>
      <w:r>
        <w:rPr>
          <w:rStyle w:val="NormalTok"/>
        </w:rPr>
        <w:t>)</w:t>
      </w:r>
    </w:p>
    <w:p w14:paraId="0CF209D0" w14:textId="77777777" w:rsidR="00B82476" w:rsidRDefault="00733926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ORDINARY NONPARAMETRIC BOOTSTRAP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boot(data = Default, statistic = boot.fn, R = 100)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Bootstrap Statistics :</w:t>
      </w:r>
      <w:r>
        <w:br/>
      </w:r>
      <w:r>
        <w:rPr>
          <w:rStyle w:val="VerbatimChar"/>
        </w:rPr>
        <w:t>##          original        bias     std. error</w:t>
      </w:r>
      <w:r>
        <w:br/>
      </w:r>
      <w:r>
        <w:rPr>
          <w:rStyle w:val="VerbatimChar"/>
        </w:rPr>
        <w:t>## t1* -1.154047e+01 -3.496958e-02 4.</w:t>
      </w:r>
      <w:r>
        <w:rPr>
          <w:rStyle w:val="VerbatimChar"/>
        </w:rPr>
        <w:t>214075e-01</w:t>
      </w:r>
      <w:r>
        <w:br/>
      </w:r>
      <w:r>
        <w:rPr>
          <w:rStyle w:val="VerbatimChar"/>
        </w:rPr>
        <w:t>## t2*  2.080898e-05  6.619300e-07 5.012127e-06</w:t>
      </w:r>
      <w:r>
        <w:br/>
      </w:r>
      <w:r>
        <w:rPr>
          <w:rStyle w:val="VerbatimChar"/>
        </w:rPr>
        <w:t>## t3*  5.647103e-03  9.342470e-06 2.173372e-04</w:t>
      </w:r>
    </w:p>
    <w:p w14:paraId="3C6F179A" w14:textId="77777777" w:rsidR="00B82476" w:rsidRDefault="00733926">
      <w:pPr>
        <w:pStyle w:val="SourceCode"/>
      </w:pPr>
      <w:r>
        <w:rPr>
          <w:rStyle w:val="DocumentationTok"/>
        </w:rPr>
        <w:t>## Boostrap con 5000 datos</w:t>
      </w:r>
      <w:r>
        <w:br/>
      </w: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13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(boot)</w:t>
      </w:r>
      <w:r>
        <w:br/>
      </w:r>
      <w:r>
        <w:rPr>
          <w:rStyle w:val="FunctionTok"/>
        </w:rPr>
        <w:t>boot</w:t>
      </w:r>
      <w:r>
        <w:rPr>
          <w:rStyle w:val="NormalTok"/>
        </w:rPr>
        <w:t xml:space="preserve">(Default, boot.fn, </w:t>
      </w:r>
      <w:r>
        <w:rPr>
          <w:rStyle w:val="DecValTok"/>
        </w:rPr>
        <w:t>5000</w:t>
      </w:r>
      <w:r>
        <w:rPr>
          <w:rStyle w:val="NormalTok"/>
        </w:rPr>
        <w:t>)</w:t>
      </w:r>
    </w:p>
    <w:p w14:paraId="0CE93AC7" w14:textId="77777777" w:rsidR="00B82476" w:rsidRDefault="00733926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ORDINARY NONPARAMETRIC BOOTSTRAP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boot(data = Default, statistic = boot.fn, R = 5000)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Bootstrap Statistics :</w:t>
      </w:r>
      <w:r>
        <w:br/>
      </w:r>
      <w:r>
        <w:rPr>
          <w:rStyle w:val="VerbatimChar"/>
        </w:rPr>
        <w:t>##          original        bias     std. error</w:t>
      </w:r>
      <w:r>
        <w:br/>
      </w:r>
      <w:r>
        <w:rPr>
          <w:rStyle w:val="VerbatimChar"/>
        </w:rPr>
        <w:t>## t1* -1.154047e+01 -2.999144e-02 4.343384e-01</w:t>
      </w:r>
      <w:r>
        <w:br/>
      </w:r>
      <w:r>
        <w:rPr>
          <w:rStyle w:val="VerbatimChar"/>
        </w:rPr>
        <w:t>## t2*  2.080898e-</w:t>
      </w:r>
      <w:r>
        <w:rPr>
          <w:rStyle w:val="VerbatimChar"/>
        </w:rPr>
        <w:t>05 -1.531876e-09 4.795164e-06</w:t>
      </w:r>
      <w:r>
        <w:br/>
      </w:r>
      <w:r>
        <w:rPr>
          <w:rStyle w:val="VerbatimChar"/>
        </w:rPr>
        <w:t>## t3*  5.647103e-03  1.769232e-05 2.289305e-04</w:t>
      </w:r>
    </w:p>
    <w:sectPr w:rsidR="00B8247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E9D2EE" w14:textId="77777777" w:rsidR="00733926" w:rsidRDefault="00733926">
      <w:pPr>
        <w:spacing w:after="0"/>
      </w:pPr>
      <w:r>
        <w:separator/>
      </w:r>
    </w:p>
  </w:endnote>
  <w:endnote w:type="continuationSeparator" w:id="0">
    <w:p w14:paraId="1626A3AE" w14:textId="77777777" w:rsidR="00733926" w:rsidRDefault="0073392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TC Century Light">
    <w:panose1 w:val="00000000000000000000"/>
    <w:charset w:val="00"/>
    <w:family w:val="modern"/>
    <w:notTrueType/>
    <w:pitch w:val="variable"/>
    <w:sig w:usb0="A000002F" w:usb1="40000048" w:usb2="00000000" w:usb3="00000000" w:csb0="0000011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3A6042" w14:textId="77777777" w:rsidR="00733926" w:rsidRDefault="00733926">
      <w:r>
        <w:separator/>
      </w:r>
    </w:p>
  </w:footnote>
  <w:footnote w:type="continuationSeparator" w:id="0">
    <w:p w14:paraId="67555915" w14:textId="77777777" w:rsidR="00733926" w:rsidRDefault="007339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1A27D85"/>
    <w:multiLevelType w:val="multilevel"/>
    <w:tmpl w:val="A3520FC6"/>
    <w:lvl w:ilvl="0">
      <w:start w:val="4"/>
      <w:numFmt w:val="lowerLetter"/>
      <w:lvlText w:val="(%1)"/>
      <w:lvlJc w:val="left"/>
      <w:pPr>
        <w:ind w:left="720" w:hanging="480"/>
      </w:pPr>
    </w:lvl>
    <w:lvl w:ilvl="1">
      <w:start w:val="4"/>
      <w:numFmt w:val="lowerLetter"/>
      <w:lvlText w:val="(%2)"/>
      <w:lvlJc w:val="left"/>
      <w:pPr>
        <w:ind w:left="1440" w:hanging="480"/>
      </w:pPr>
    </w:lvl>
    <w:lvl w:ilvl="2">
      <w:start w:val="4"/>
      <w:numFmt w:val="lowerLetter"/>
      <w:lvlText w:val="(%3)"/>
      <w:lvlJc w:val="left"/>
      <w:pPr>
        <w:ind w:left="2160" w:hanging="480"/>
      </w:pPr>
    </w:lvl>
    <w:lvl w:ilvl="3">
      <w:start w:val="4"/>
      <w:numFmt w:val="lowerLetter"/>
      <w:lvlText w:val="(%4)"/>
      <w:lvlJc w:val="left"/>
      <w:pPr>
        <w:ind w:left="2880" w:hanging="480"/>
      </w:pPr>
    </w:lvl>
    <w:lvl w:ilvl="4">
      <w:start w:val="4"/>
      <w:numFmt w:val="lowerLetter"/>
      <w:lvlText w:val="(%5)"/>
      <w:lvlJc w:val="left"/>
      <w:pPr>
        <w:ind w:left="3600" w:hanging="480"/>
      </w:pPr>
    </w:lvl>
    <w:lvl w:ilvl="5">
      <w:start w:val="4"/>
      <w:numFmt w:val="lowerLetter"/>
      <w:lvlText w:val="(%6)"/>
      <w:lvlJc w:val="left"/>
      <w:pPr>
        <w:ind w:left="4320" w:hanging="480"/>
      </w:pPr>
    </w:lvl>
    <w:lvl w:ilvl="6">
      <w:start w:val="4"/>
      <w:numFmt w:val="lowerLetter"/>
      <w:lvlText w:val="(%7)"/>
      <w:lvlJc w:val="left"/>
      <w:pPr>
        <w:ind w:left="5040" w:hanging="480"/>
      </w:pPr>
    </w:lvl>
    <w:lvl w:ilvl="7">
      <w:start w:val="4"/>
      <w:numFmt w:val="lowerLetter"/>
      <w:lvlText w:val="(%8)"/>
      <w:lvlJc w:val="left"/>
      <w:pPr>
        <w:ind w:left="5760" w:hanging="480"/>
      </w:pPr>
    </w:lvl>
    <w:lvl w:ilvl="8">
      <w:start w:val="4"/>
      <w:numFmt w:val="lowerLetter"/>
      <w:lvlText w:val="(%9)"/>
      <w:lvlJc w:val="left"/>
      <w:pPr>
        <w:ind w:left="6480" w:hanging="480"/>
      </w:pPr>
    </w:lvl>
  </w:abstractNum>
  <w:abstractNum w:abstractNumId="1" w15:restartNumberingAfterBreak="0">
    <w:nsid w:val="B3CBBDEE"/>
    <w:multiLevelType w:val="multilevel"/>
    <w:tmpl w:val="29A2818E"/>
    <w:lvl w:ilvl="0">
      <w:start w:val="3"/>
      <w:numFmt w:val="lowerLetter"/>
      <w:lvlText w:val="(%1)"/>
      <w:lvlJc w:val="left"/>
      <w:pPr>
        <w:ind w:left="720" w:hanging="480"/>
      </w:pPr>
    </w:lvl>
    <w:lvl w:ilvl="1">
      <w:start w:val="3"/>
      <w:numFmt w:val="lowerLetter"/>
      <w:lvlText w:val="(%2)"/>
      <w:lvlJc w:val="left"/>
      <w:pPr>
        <w:ind w:left="1440" w:hanging="480"/>
      </w:pPr>
    </w:lvl>
    <w:lvl w:ilvl="2">
      <w:start w:val="3"/>
      <w:numFmt w:val="lowerLetter"/>
      <w:lvlText w:val="(%3)"/>
      <w:lvlJc w:val="left"/>
      <w:pPr>
        <w:ind w:left="2160" w:hanging="480"/>
      </w:pPr>
    </w:lvl>
    <w:lvl w:ilvl="3">
      <w:start w:val="3"/>
      <w:numFmt w:val="lowerLetter"/>
      <w:lvlText w:val="(%4)"/>
      <w:lvlJc w:val="left"/>
      <w:pPr>
        <w:ind w:left="2880" w:hanging="480"/>
      </w:pPr>
    </w:lvl>
    <w:lvl w:ilvl="4">
      <w:start w:val="3"/>
      <w:numFmt w:val="lowerLetter"/>
      <w:lvlText w:val="(%5)"/>
      <w:lvlJc w:val="left"/>
      <w:pPr>
        <w:ind w:left="3600" w:hanging="480"/>
      </w:pPr>
    </w:lvl>
    <w:lvl w:ilvl="5">
      <w:start w:val="3"/>
      <w:numFmt w:val="lowerLetter"/>
      <w:lvlText w:val="(%6)"/>
      <w:lvlJc w:val="left"/>
      <w:pPr>
        <w:ind w:left="4320" w:hanging="480"/>
      </w:pPr>
    </w:lvl>
    <w:lvl w:ilvl="6">
      <w:start w:val="3"/>
      <w:numFmt w:val="lowerLetter"/>
      <w:lvlText w:val="(%7)"/>
      <w:lvlJc w:val="left"/>
      <w:pPr>
        <w:ind w:left="5040" w:hanging="480"/>
      </w:pPr>
    </w:lvl>
    <w:lvl w:ilvl="7">
      <w:start w:val="3"/>
      <w:numFmt w:val="lowerLetter"/>
      <w:lvlText w:val="(%8)"/>
      <w:lvlJc w:val="left"/>
      <w:pPr>
        <w:ind w:left="5760" w:hanging="480"/>
      </w:pPr>
    </w:lvl>
    <w:lvl w:ilvl="8">
      <w:start w:val="3"/>
      <w:numFmt w:val="lowerLetter"/>
      <w:lvlText w:val="(%9)"/>
      <w:lvlJc w:val="left"/>
      <w:pPr>
        <w:ind w:left="6480" w:hanging="480"/>
      </w:pPr>
    </w:lvl>
  </w:abstractNum>
  <w:abstractNum w:abstractNumId="2" w15:restartNumberingAfterBreak="0">
    <w:nsid w:val="EA454B4C"/>
    <w:multiLevelType w:val="multilevel"/>
    <w:tmpl w:val="9DCAF068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2C1AE401"/>
    <w:multiLevelType w:val="multilevel"/>
    <w:tmpl w:val="17CC3AE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4" w15:restartNumberingAfterBreak="0">
    <w:nsid w:val="47261BAD"/>
    <w:multiLevelType w:val="multilevel"/>
    <w:tmpl w:val="C930E7D2"/>
    <w:lvl w:ilvl="0">
      <w:start w:val="2"/>
      <w:numFmt w:val="lowerLetter"/>
      <w:lvlText w:val="%1)"/>
      <w:lvlJc w:val="left"/>
      <w:pPr>
        <w:ind w:left="720" w:hanging="480"/>
      </w:pPr>
    </w:lvl>
    <w:lvl w:ilvl="1">
      <w:start w:val="2"/>
      <w:numFmt w:val="lowerLetter"/>
      <w:lvlText w:val="%2)"/>
      <w:lvlJc w:val="left"/>
      <w:pPr>
        <w:ind w:left="1440" w:hanging="480"/>
      </w:pPr>
    </w:lvl>
    <w:lvl w:ilvl="2">
      <w:start w:val="2"/>
      <w:numFmt w:val="lowerLetter"/>
      <w:lvlText w:val="%3)"/>
      <w:lvlJc w:val="left"/>
      <w:pPr>
        <w:ind w:left="2160" w:hanging="480"/>
      </w:pPr>
    </w:lvl>
    <w:lvl w:ilvl="3">
      <w:start w:val="2"/>
      <w:numFmt w:val="lowerLetter"/>
      <w:lvlText w:val="%4)"/>
      <w:lvlJc w:val="left"/>
      <w:pPr>
        <w:ind w:left="2880" w:hanging="480"/>
      </w:pPr>
    </w:lvl>
    <w:lvl w:ilvl="4">
      <w:start w:val="2"/>
      <w:numFmt w:val="lowerLetter"/>
      <w:lvlText w:val="%5)"/>
      <w:lvlJc w:val="left"/>
      <w:pPr>
        <w:ind w:left="3600" w:hanging="480"/>
      </w:pPr>
    </w:lvl>
    <w:lvl w:ilvl="5">
      <w:start w:val="2"/>
      <w:numFmt w:val="lowerLetter"/>
      <w:lvlText w:val="%6)"/>
      <w:lvlJc w:val="left"/>
      <w:pPr>
        <w:ind w:left="4320" w:hanging="480"/>
      </w:pPr>
    </w:lvl>
    <w:lvl w:ilvl="6">
      <w:start w:val="2"/>
      <w:numFmt w:val="lowerLetter"/>
      <w:lvlText w:val="%7)"/>
      <w:lvlJc w:val="left"/>
      <w:pPr>
        <w:ind w:left="5040" w:hanging="480"/>
      </w:pPr>
    </w:lvl>
    <w:lvl w:ilvl="7">
      <w:start w:val="2"/>
      <w:numFmt w:val="lowerLetter"/>
      <w:lvlText w:val="%8)"/>
      <w:lvlJc w:val="left"/>
      <w:pPr>
        <w:ind w:left="5760" w:hanging="480"/>
      </w:pPr>
    </w:lvl>
    <w:lvl w:ilvl="8">
      <w:start w:val="2"/>
      <w:numFmt w:val="lowerLetter"/>
      <w:lvlText w:val="%9)"/>
      <w:lvlJc w:val="left"/>
      <w:pPr>
        <w:ind w:left="6480" w:hanging="480"/>
      </w:pPr>
    </w:lvl>
  </w:abstractNum>
  <w:abstractNum w:abstractNumId="5" w15:restartNumberingAfterBreak="0">
    <w:nsid w:val="4FBE019A"/>
    <w:multiLevelType w:val="multilevel"/>
    <w:tmpl w:val="925659CE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6" w15:restartNumberingAfterBreak="0">
    <w:nsid w:val="71315DCA"/>
    <w:multiLevelType w:val="multilevel"/>
    <w:tmpl w:val="5BC2824A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num w:numId="1">
    <w:abstractNumId w:val="3"/>
  </w:num>
  <w:num w:numId="2">
    <w:abstractNumId w:val="2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5">
    <w:abstractNumId w:val="1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6">
    <w:abstractNumId w:val="5"/>
  </w:num>
  <w:num w:numId="7">
    <w:abstractNumId w:val="0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E29B3"/>
    <w:rsid w:val="00590D07"/>
    <w:rsid w:val="006F3795"/>
    <w:rsid w:val="00733926"/>
    <w:rsid w:val="00784D58"/>
    <w:rsid w:val="008D6863"/>
    <w:rsid w:val="00B82476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58D12"/>
  <w15:docId w15:val="{08C36C85-5DFF-452B-AE34-FC1D9F46F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643</Words>
  <Characters>3668</Characters>
  <Application>Microsoft Office Word</Application>
  <DocSecurity>0</DocSecurity>
  <Lines>30</Lines>
  <Paragraphs>8</Paragraphs>
  <ScaleCrop>false</ScaleCrop>
  <Company/>
  <LinksUpToDate>false</LinksUpToDate>
  <CharactersWithSpaces>4303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Yosef Guevara</dc:creator>
  <cp:keywords/>
  <cp:lastModifiedBy>Yosef Guevara</cp:lastModifiedBy>
  <cp:revision>2</cp:revision>
  <dcterms:created xsi:type="dcterms:W3CDTF">2021-06-07T18:36:00Z</dcterms:created>
  <dcterms:modified xsi:type="dcterms:W3CDTF">2021-06-07T18:36:00Z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