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F1 - CANVAS DEL RETO ESTUDIANTES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br w:type="textWrapping"/>
        <w:t xml:space="preserve">Equipo: 10    Nombre de la propuesta: AtmoSmart    Fecha: 29/10/2026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xyvkcm8040e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Comprender · control 8:30 a. m.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Delimitación del problema único: ¿qué aspecto concreto atenderá el equipo, dónde y a quién afecta?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implementará una propuesta que mida y monitoree las concentraciones de polvo y gases que alteran las condiciones atmosféricas en el frente de explotación minero, y que permita controlarlas a tiempo para evitar la pérdida de vidas humanas y, en consecuencia, la pérdida de equipos y maquinaria.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Dos causas principales y evidencias disponibles o supuestos por comprobar: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Altas concentraciones de gases en la atmósfera (CO, CO₂, SO₂, H₂S, NO, NO₂).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Presencia anormal de material particulado (polvo de carbón).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Usuario/actor principal y necesidad prioritaria: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Monitorear y registrar las concentraciones de gases y de material particulado en el frente de explotación.</w:t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pexbc5qhbeq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Idear · cierre 9:30 a. m.</w:t>
        <w:br w:type="textWrapping"/>
      </w:r>
    </w:p>
    <w:tbl>
      <w:tblPr>
        <w:tblStyle w:val="Table1"/>
        <w:tblW w:w="8640.0" w:type="dxa"/>
        <w:jc w:val="left"/>
        <w:tblBorders>
          <w:top w:color="a5a5a5" w:space="0" w:sz="4" w:val="single"/>
          <w:bottom w:color="a5a5a5" w:space="0" w:sz="4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Alternativa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Descripción breve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Aporte posible de Minas, Industrial y Sistemas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A. Sistema de alarmas con sensores y aplicación AtmoSmart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Sensores en el frente envían de forma automática los datos de gases, polvo de carbón, temperatura y ventilación a una aplicación web que funciona sin Internet. Emite alarma cuando se supera un límite y alerta predictiva cuando un valor va en ascenso, con protocolo de respuesta.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Minas: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límites según la normativa (Decreto 1886 de 2015), ubicación de los sensores en el frente y protocolos de respuesta.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Industrial: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flujo de atención de alertas, roles por turno e indicadores de seguimiento.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Sistemas: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control y registro histórico de datos por turno, alarma ante cambios atmosféricos y aplicación offline.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B. Señalización luminosa en las entradas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Balizas en el acceso al frente que emiten luz intermitente cuando se detectan condiciones de riesgo, para advertir e impedir el ingreso del personal.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Minas: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puntos de acceso y criterios para restringir el ingreso.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Industrial: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señalización y procedimiento de bloqueo de ingreso.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Sistemas: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activación automática de las balizas a partir de los sensores.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C. Detector portátil y registro digital por turno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El supervisor mide con un detector portátil al inicio y durante el turno, y registra los valores en un formulario digital que guarda el historial.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Minas: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puntos y frecuencia de medición en el frente.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Industrial: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formato de registro y rutina de inspección.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Sistemas: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formulario digital, historial y reportes por turno.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gaoa3dz92yi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 Seleccionar · control 10:15 a. m.</w:t>
        <w:br w:type="textWrapping"/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Valorar del 1 al 5. En facilidad de implementación, 5 equivale a mayor facilidad. Puntaje ponderado = nota × peso.</w:t>
      </w:r>
    </w:p>
    <w:tbl>
      <w:tblPr>
        <w:tblStyle w:val="Table2"/>
        <w:tblW w:w="8640.0" w:type="dxa"/>
        <w:jc w:val="left"/>
        <w:tblBorders>
          <w:top w:color="a5a5a5" w:space="0" w:sz="4" w:val="single"/>
          <w:bottom w:color="a5a5a5" w:space="0" w:sz="4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Alternativa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Impacto (40 %)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Facilidad (30 %)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Pertinencia minera (30 %)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Total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5 (2,0)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3 (0,9)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5 (1,5)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  <w:sz w:val="22"/>
                <w:szCs w:val="22"/>
              </w:rPr>
              <w:t xml:space="preserve">4,4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3 (1,2)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4 (1,2)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3 (0,9)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  <w:sz w:val="22"/>
                <w:szCs w:val="22"/>
              </w:rPr>
              <w:t xml:space="preserve">3,3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2 (0,8)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5 (1,5)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rtl w:val="0"/>
                <w:sz w:val="22"/>
                <w:szCs w:val="22"/>
              </w:rPr>
              <w:t xml:space="preserve">3 (0,9)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  <w:sz w:val="22"/>
                <w:szCs w:val="22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 xml:space="preserve">Alternativa seleccionada y justificación de la decisión: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selecciona la alternativa A (4,4/5) porque tiene el mayor impacto en la seguridad: no solo avisa cuando un valor ya superó el límite, sino que detecta tendencias de ascenso para anticipar el riesgo, registra el historial por turno y guía la respuesta con protocolos. Es pertinente para la minería de carbón porque monitorea gases y polvo de carbón en el frente con límites basados en la normativa. Su menor facilidad se compensa con un prototipo por fases (primero con datos simulados y luego con sensores reales), y la alternativa B puede integrarse como complemento, activando las balizas desde el mismo sistema.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Propuesta de valor en una frase: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AtmoSmart anticipa el riesgo atmosférico en el frente de explotación: mide gases y polvo de carbón de forma automática, alerta antes de que se superen los límites y guía la respuesta, incluso sin conexión a Internet.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68vsverleav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426" w:top="2269" w:left="1701" w:right="1701" w:header="1077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167836</wp:posOffset>
          </wp:positionH>
          <wp:positionV relativeFrom="paragraph">
            <wp:posOffset>565529</wp:posOffset>
          </wp:positionV>
          <wp:extent cx="5260769" cy="713911"/>
          <wp:effectExtent b="0" l="0" r="0" t="0"/>
          <wp:wrapNone/>
          <wp:docPr id="68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30212" l="0" r="0" t="34082"/>
                  <a:stretch>
                    <a:fillRect/>
                  </a:stretch>
                </pic:blipFill>
                <pic:spPr>
                  <a:xfrm>
                    <a:off x="0" y="0"/>
                    <a:ext cx="5260769" cy="7139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304165</wp:posOffset>
          </wp:positionH>
          <wp:positionV relativeFrom="paragraph">
            <wp:posOffset>-16509</wp:posOffset>
          </wp:positionV>
          <wp:extent cx="569595" cy="621665"/>
          <wp:effectExtent b="0" l="0" r="0" t="0"/>
          <wp:wrapNone/>
          <wp:docPr id="7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9595" cy="6216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873760</wp:posOffset>
          </wp:positionH>
          <wp:positionV relativeFrom="paragraph">
            <wp:posOffset>67310</wp:posOffset>
          </wp:positionV>
          <wp:extent cx="487680" cy="538480"/>
          <wp:effectExtent b="0" l="0" r="0" t="0"/>
          <wp:wrapNone/>
          <wp:docPr id="7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7680" cy="5384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1472565</wp:posOffset>
          </wp:positionH>
          <wp:positionV relativeFrom="paragraph">
            <wp:posOffset>124460</wp:posOffset>
          </wp:positionV>
          <wp:extent cx="759460" cy="361315"/>
          <wp:effectExtent b="0" l="0" r="0" t="0"/>
          <wp:wrapNone/>
          <wp:docPr id="7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27768" l="0" r="0" t="23236"/>
                  <a:stretch>
                    <a:fillRect/>
                  </a:stretch>
                </pic:blipFill>
                <pic:spPr>
                  <a:xfrm>
                    <a:off x="0" y="0"/>
                    <a:ext cx="759460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2317115</wp:posOffset>
          </wp:positionH>
          <wp:positionV relativeFrom="paragraph">
            <wp:posOffset>69215</wp:posOffset>
          </wp:positionV>
          <wp:extent cx="464185" cy="553085"/>
          <wp:effectExtent b="0" l="0" r="0" t="0"/>
          <wp:wrapNone/>
          <wp:docPr id="7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4185" cy="553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2781283</wp:posOffset>
          </wp:positionH>
          <wp:positionV relativeFrom="paragraph">
            <wp:posOffset>44450</wp:posOffset>
          </wp:positionV>
          <wp:extent cx="498763" cy="560339"/>
          <wp:effectExtent b="0" l="0" r="0" t="0"/>
          <wp:wrapNone/>
          <wp:docPr id="7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8763" cy="5603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3377565</wp:posOffset>
          </wp:positionH>
          <wp:positionV relativeFrom="paragraph">
            <wp:posOffset>143510</wp:posOffset>
          </wp:positionV>
          <wp:extent cx="832402" cy="371240"/>
          <wp:effectExtent b="0" l="0" r="0" t="0"/>
          <wp:wrapNone/>
          <wp:docPr id="7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7"/>
                  <a:srcRect b="20272" l="0" r="0" t="24104"/>
                  <a:stretch>
                    <a:fillRect/>
                  </a:stretch>
                </pic:blipFill>
                <pic:spPr>
                  <a:xfrm>
                    <a:off x="0" y="0"/>
                    <a:ext cx="832402" cy="3712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4206240</wp:posOffset>
          </wp:positionH>
          <wp:positionV relativeFrom="paragraph">
            <wp:posOffset>139065</wp:posOffset>
          </wp:positionV>
          <wp:extent cx="915035" cy="408940"/>
          <wp:effectExtent b="0" l="0" r="0" t="0"/>
          <wp:wrapNone/>
          <wp:docPr id="6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5035" cy="4089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-580398</wp:posOffset>
              </wp:positionH>
              <wp:positionV relativeFrom="paragraph">
                <wp:posOffset>-408287</wp:posOffset>
              </wp:positionV>
              <wp:extent cx="6756604" cy="932288"/>
              <wp:effectExtent b="0" l="0" r="0" t="0"/>
              <wp:wrapNone/>
              <wp:docPr id="6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67675" y="3313850"/>
                        <a:ext cx="6756604" cy="932288"/>
                        <a:chOff x="1967675" y="3313850"/>
                        <a:chExt cx="6756650" cy="937075"/>
                      </a:xfrm>
                    </wpg:grpSpPr>
                    <wpg:grpSp>
                      <wpg:cNvGrpSpPr/>
                      <wpg:grpSpPr>
                        <a:xfrm>
                          <a:off x="1967698" y="3313856"/>
                          <a:ext cx="6756604" cy="932288"/>
                          <a:chOff x="613829" y="75561"/>
                          <a:chExt cx="6840000" cy="975317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613829" y="75561"/>
                            <a:ext cx="6840000" cy="97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13201" l="12616" r="14243" t="11507"/>
                          <a:stretch/>
                        </pic:blipFill>
                        <pic:spPr>
                          <a:xfrm>
                            <a:off x="613853" y="75561"/>
                            <a:ext cx="3558507" cy="975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613829" y="1050878"/>
                            <a:ext cx="6840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chemeClr val="dk1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-580398</wp:posOffset>
              </wp:positionH>
              <wp:positionV relativeFrom="paragraph">
                <wp:posOffset>-408287</wp:posOffset>
              </wp:positionV>
              <wp:extent cx="6756604" cy="932288"/>
              <wp:effectExtent b="0" l="0" r="0" t="0"/>
              <wp:wrapNone/>
              <wp:docPr id="6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56604" cy="932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4263399</wp:posOffset>
          </wp:positionH>
          <wp:positionV relativeFrom="paragraph">
            <wp:posOffset>-411282</wp:posOffset>
          </wp:positionV>
          <wp:extent cx="1852551" cy="864788"/>
          <wp:effectExtent b="0" l="0" r="0" t="0"/>
          <wp:wrapNone/>
          <wp:docPr id="70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2551" cy="8647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2405a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2405a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C7BD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C7BD7"/>
    <w:rPr>
      <w:lang w:val="en-US"/>
    </w:rPr>
  </w:style>
  <w:style w:type="paragraph" w:styleId="Piedepgina">
    <w:name w:val="footer"/>
    <w:basedOn w:val="Normal"/>
    <w:link w:val="PiedepginaCar"/>
    <w:uiPriority w:val="99"/>
    <w:unhideWhenUsed w:val="1"/>
    <w:rsid w:val="00BC7BD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C7BD7"/>
    <w:rPr>
      <w:lang w:val="en-US"/>
    </w:rPr>
  </w:style>
  <w:style w:type="character" w:styleId="Ttulo1Car" w:customStyle="1">
    <w:name w:val="Título 1 Car"/>
    <w:basedOn w:val="Fuentedeprrafopredeter"/>
    <w:link w:val="Ttulo1"/>
    <w:uiPriority w:val="9"/>
    <w:rsid w:val="00C5330B"/>
    <w:rPr>
      <w:rFonts w:asciiTheme="majorHAnsi" w:cstheme="majorBidi" w:eastAsiaTheme="majorEastAsia" w:hAnsiTheme="majorHAnsi"/>
      <w:b w:val="1"/>
      <w:bCs w:val="1"/>
      <w:color w:val="12405a"/>
      <w:sz w:val="26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5330B"/>
    <w:rPr>
      <w:rFonts w:asciiTheme="majorHAnsi" w:cstheme="majorBidi" w:eastAsiaTheme="majorEastAsia" w:hAnsiTheme="majorHAnsi"/>
      <w:b w:val="1"/>
      <w:bCs w:val="1"/>
      <w:color w:val="12405a"/>
      <w:sz w:val="20"/>
      <w:szCs w:val="26"/>
      <w:lang w:val="en-US"/>
    </w:rPr>
  </w:style>
  <w:style w:type="table" w:styleId="Sombreadoclaro-nfasis1">
    <w:name w:val="Light Shading Accent 1"/>
    <w:basedOn w:val="Tablanormal"/>
    <w:uiPriority w:val="60"/>
    <w:semiHidden w:val="1"/>
    <w:unhideWhenUsed w:val="1"/>
    <w:locked w:val="1"/>
    <w:rsid w:val="00C5330B"/>
    <w:pPr>
      <w:spacing w:after="0" w:line="240" w:lineRule="auto"/>
    </w:pPr>
    <w:rPr>
      <w:rFonts w:eastAsiaTheme="minorEastAsia"/>
      <w:color w:val="2f5496" w:themeColor="accent1" w:themeShade="0000BF"/>
      <w:lang w:val="en-US"/>
    </w:rPr>
    <w:tblPr>
      <w:tblStyleRowBandSize w:val="1"/>
      <w:tblStyleColBandSize w:val="1"/>
      <w:tblInd w:w="0.0" w:type="nil"/>
      <w:tblBorders>
        <w:top w:color="4472c4" w:space="0" w:sz="8" w:themeColor="accent1" w:val="single"/>
        <w:bottom w:color="4472c4" w:space="0" w:sz="8" w:themeColor="accent1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472c4" w:space="0" w:sz="8" w:themeColor="accent1" w:val="single"/>
          <w:left w:space="0" w:sz="0" w:val="nil"/>
          <w:bottom w:color="4472c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472c4" w:space="0" w:sz="8" w:themeColor="accent1" w:val="single"/>
          <w:left w:space="0" w:sz="0" w:val="nil"/>
          <w:bottom w:color="4472c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</w:style>
  <w:style w:type="table" w:styleId="Tabladelista6concolores">
    <w:name w:val="List Table 6 Colorful"/>
    <w:basedOn w:val="Tablanormal"/>
    <w:uiPriority w:val="51"/>
    <w:locked w:val="1"/>
    <w:rsid w:val="00D5510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locked w:val="1"/>
    <w:rsid w:val="00D5510E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cecec" w:val="clear"/>
      </w:tcPr>
    </w:tblStylePr>
    <w:tblStylePr w:type="band1Vert">
      <w:tcPr>
        <w:shd w:fill="ecece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5a5a5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cecec" w:val="clear"/>
      </w:tcPr>
    </w:tblStylePr>
    <w:tblStylePr w:type="band1Vert">
      <w:tcPr>
        <w:shd w:fill="ecece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5a5a5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5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0.pn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4Ln8WPRpaUf4qLfFOhI55eRhRg==">CgMxLjAyDmgueHl2a2NtODA0MGVkMg5oLnBleGJjNXFoYmVxdzIOaC5nYW9hM2R6OTJ5aXEyDmguNjh2c3ZlcmxlYXY3OAByITFGTHJXZ1BMZDdoTWgzbGFfZ2V5TFNQUkNlSlVBRzhJWQ==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2026-10-21T21:55:00Z</dcterms:created>
  <dc:creator>ufps</dc:creator>
</cp:coreProperties>
</file>