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<w:body>
    <w:p>
      <w:pPr>
        <w:jc w:val="center"/>
        <w:spacing w:before="0" w:after="160" w:line="276" w:lineRule="auto"/>
      </w:pPr>
      <w:r>
        <w:rPr>
          <w:sz w:val="24"/>
          <w:szCs w:val="24"/>
          <w:color w:val="000000"/>
          <w:lang w:val="es-BO"/>
        </w:rPr>
        <w:t xml:space="preserve">UMSA, Facultad de Ciencias Puras y Naturales, Carrera de Informática</w:t>
      </w:r>
    </w:p>
    <w:p>
      <w:pPr>
        <w:spacing w:before="0" w:after="400" w:line="276" w:lineRule="auto"/>
      </w:pPr>
    </w:p>
    <w:p>
      <w:pPr>
        <w:jc w:val="center"/>
        <w:spacing w:before="0" w:after="160" w:line="276" w:lineRule="auto"/>
      </w:pPr>
      <w:r>
        <w:rPr>
          <w:b/>
          <w:sz w:val="32"/>
          <w:szCs w:val="32"/>
          <w:color w:val="000000"/>
          <w:lang w:val="es-BO"/>
        </w:rPr>
        <w:t xml:space="preserve">Tema:</w:t>
      </w:r>
      <w:r>
        <w:rPr>
          <w:sz w:val="32"/>
          <w:szCs w:val="32"/>
          <w:color w:val="000000"/>
          <w:lang w:val="es-BO"/>
        </w:rPr>
        <w:t xml:space="preserve"> Método de Broyden</w:t>
      </w:r>
    </w:p>
    <w:p>
      <w:pPr>
        <w:spacing w:before="0" w:after="200" w:line="276" w:lineRule="auto"/>
      </w:pPr>
    </w:p>
    <w:p>
      <w:pPr>
        <w:jc w:val="center"/>
        <w:spacing w:before="0" w:after="160" w:line="276" w:lineRule="auto"/>
      </w:pPr>
      <w:r>
        <w:rPr>
          <w:b/>
          <w:sz w:val="24"/>
          <w:szCs w:val="24"/>
          <w:color w:val="000000"/>
          <w:lang w:val="es-BO"/>
        </w:rPr>
        <w:t xml:space="preserve">Materia:</w:t>
      </w:r>
      <w:r>
        <w:rPr>
          <w:sz w:val="24"/>
          <w:szCs w:val="24"/>
          <w:color w:val="000000"/>
          <w:lang w:val="es-BO"/>
        </w:rPr>
        <w:t xml:space="preserve"> Métodos Numéricos II, DAT-252</w:t>
      </w:r>
    </w:p>
    <w:p>
      <w:pPr>
        <w:jc w:val="center"/>
        <w:spacing w:before="0" w:after="160" w:line="276" w:lineRule="auto"/>
      </w:pPr>
      <w:r>
        <w:rPr>
          <w:b/>
          <w:sz w:val="24"/>
          <w:szCs w:val="24"/>
          <w:color w:val="000000"/>
          <w:lang w:val="es-BO"/>
        </w:rPr>
        <w:t xml:space="preserve">Docente:</w:t>
      </w:r>
      <w:r>
        <w:rPr>
          <w:sz w:val="24"/>
          <w:szCs w:val="24"/>
          <w:color w:val="000000"/>
          <w:lang w:val="es-BO"/>
        </w:rPr>
        <w:t xml:space="preserve"> M.Sc. Carlos Mullisaca Choque</w:t>
      </w:r>
    </w:p>
    <w:p>
      <w:pPr>
        <w:jc w:val="center"/>
        <w:spacing w:before="0" w:after="160" w:line="276" w:lineRule="auto"/>
      </w:pPr>
      <w:r>
        <w:rPr>
          <w:b/>
          <w:sz w:val="24"/>
          <w:szCs w:val="24"/>
          <w:color w:val="000000"/>
          <w:lang w:val="es-BO"/>
        </w:rPr>
        <w:t xml:space="preserve">Estudiantes:</w:t>
      </w:r>
      <w:r>
        <w:rPr>
          <w:sz w:val="24"/>
          <w:szCs w:val="24"/>
          <w:color w:val="000000"/>
          <w:lang w:val="es-BO"/>
        </w:rPr>
        <w:t xml:space="preserve"> [Integrante 1], [Integrante 2]</w:t>
      </w:r>
    </w:p>
    <w:p>
      <w:pPr>
        <w:spacing w:before="0" w:after="600" w:line="276" w:lineRule="auto"/>
      </w:pPr>
    </w:p>
    <w:p>
      <w:pPr>
        <w:jc w:val="center"/>
        <w:spacing w:before="0" w:after="160" w:line="276" w:lineRule="auto"/>
      </w:pPr>
      <w:r>
        <w:rPr>
          <w:sz w:val="24"/>
          <w:szCs w:val="24"/>
          <w:color w:val="000000"/>
          <w:lang w:val="es-BO"/>
        </w:rPr>
        <w:t xml:space="preserve">Fecha: La Paz, Bolivia — Septiembre de 2026</w:t>
      </w:r>
    </w:p>
    <w:p>
      <w:r>
        <w:br w:type="page"/>
      </w:r>
    </w:p>
    <w:p>
      <w:pPr>
        <w:jc w:val="left"/>
        <w:spacing w:before="240" w:after="120" w:line="276" w:lineRule="auto"/>
        <w:keepNext/>
        <w:keepLines/>
        <w:pBdr>
          <w:bottom w:val="single" w:sz="4" w:space="1" w:color="auto"/>
        </w:pBdr>
      </w:pPr>
      <w:r>
        <w:rPr>
          <w:sz w:val="28"/>
          <w:szCs w:val="28"/>
          <w:color w:val="000000"/>
          <w:lang w:val="es-BO"/>
        </w:rPr>
        <w:t xml:space="preserve">1. INTRODUCCIÓN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La resolución de sistemas de ecuaciones no lineales es un problema fundamental en la matemática computacional y las ciencias aplicadas. Muchos modelos físicos, de ingeniería y economía requieren encontrar las raíces de un sistema multivariable, expresado de forma general como:</w:t>
      </w:r>
    </w:p>
    <w:p>
      <w:pPr>
        <w:jc w:val="center"/>
        <w:spacing w:before="0" w:after="240" w:line="276" w:lineRule="auto"/>
        <w:keepNext/>
        <w:keepLines/>
      </w:pPr>
      <w:r>
        <w:drawing>
          <wp:inline distT="0" distB="0" distL="0" distR="0">
            <wp:extent cx="1800000" cy="318181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/>
                  </pic:nvPicPr>
                  <pic:blipFill>
                    <a:blip xmlns:r="http://schemas.openxmlformats.org/officeDocument/2006/relationships"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El método de Newton clásico es la herramienta estándar para resolver este tipo de sistemas, ya que ofrece una convergencia cuadrática cerca de la raíz. El paso iterativo se define como:</w:t>
      </w:r>
    </w:p>
    <w:p>
      <w:pPr>
        <w:jc w:val="center"/>
        <w:spacing w:before="0" w:after="240" w:line="276" w:lineRule="auto"/>
        <w:keepNext/>
        <w:keepLines/>
      </w:pPr>
      <w:r>
        <w:drawing>
          <wp:inline distT="0" distB="0" distL="0" distR="0">
            <wp:extent cx="1800000" cy="318181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/>
                  </pic:nvPicPr>
                  <pic:blipFill>
                    <a:blip xmlns:r="http://schemas.openxmlformats.org/officeDocument/2006/relationships"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Sin embargo, el método de Newton requiere evaluar y almacenar la matriz Jacobiana exacta en cada iteración, y luego resolver un sistema lineal denso, lo cual tiene un costo computacional de $\mathcal{O}(n^3)$. Para sistemas grandes, este costo es prohibitivo. Los métodos Cuasi-Newton, y en particular el método de Broyden, surgen como alternativas que evitan calcular la Jacobiana exacta mediante el uso de actualizaciones iterativas de rango 1.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1.1 Objetivos del Estudio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Implementar y comparar el método de Broyden con el método de Newton clásico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Analizar la convergencia superlineal del método de Broyden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Aplicar el método a problemas prácticos de ingeniería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Evaluar la escalabilidad del método en problemas de gran dimensión</w:t>
      </w:r>
    </w:p>
    <w:p>
      <w:pPr>
        <w:jc w:val="left"/>
        <w:spacing w:before="240" w:after="120" w:line="276" w:lineRule="auto"/>
        <w:keepNext/>
        <w:keepLines/>
        <w:pBdr>
          <w:bottom w:val="single" w:sz="4" w:space="1" w:color="auto"/>
        </w:pBdr>
      </w:pPr>
      <w:r>
        <w:rPr>
          <w:sz w:val="28"/>
          <w:szCs w:val="28"/>
          <w:color w:val="000000"/>
          <w:lang w:val="es-BO"/>
        </w:rPr>
        <w:t xml:space="preserve">2. MARCO TEÓRICO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2.1 Motivación: el costo de Newton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El método de Newton requiere el cálculo de la Jacobiana $n \times n$ completa. Para un sistema donde $n=1000$, se requieren 1,000,000 de derivadas parciales en cada iteración. A pesar de su convergencia cuadrática, expresada como:</w:t>
      </w:r>
    </w:p>
    <w:p>
      <w:pPr>
        <w:jc w:val="center"/>
        <w:spacing w:before="0" w:after="240" w:line="276" w:lineRule="auto"/>
        <w:keepNext/>
        <w:keepLines/>
      </w:pPr>
      <w:r>
        <w:drawing>
          <wp:inline distT="0" distB="0" distL="0" distR="0">
            <wp:extent cx="1800000" cy="31818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/>
                  </pic:nvPicPr>
                  <pic:blipFill>
                    <a:blip xmlns:r="http://schemas.openxmlformats.org/officeDocument/2006/relationships"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El costo por iteración supera ampliamente el beneficio cuando $n$ es grande. Además, en muchos problemas prácticos, la Jacobiana puede no estar disponible analíticamente o ser muy costosa de calcular.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2.2 La ecuación de la secante generalizada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En una dimensión, el método de la secante aproxima la derivada mediante diferencias finitas: $f'(x) \approx (f(x_{k+1}) - f(x_k))/(x_{k+1} - x_k)$. En múltiples dimensiones, buscamos una aproximación de la Jacobiana $B_{k+1}$ que satisfaga la ecuación de la secante:</w:t>
      </w:r>
    </w:p>
    <w:p>
      <w:pPr>
        <w:jc w:val="center"/>
        <w:spacing w:before="0" w:after="240" w:line="276" w:lineRule="auto"/>
        <w:keepNext/>
        <w:keepLines/>
      </w:pPr>
      <w:r>
        <w:drawing>
          <wp:inline distT="0" distB="0" distL="0" distR="0">
            <wp:extent cx="1800000" cy="208609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/>
                  </pic:nvPicPr>
                  <pic:blipFill>
                    <a:blip xmlns:r="http://schemas.openxmlformats.org/officeDocument/2006/relationships"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08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Esta ecuación multidimensional está subdeterminada, ya que proporciona sólo $n$ restricciones para las $n^2$ incógnitas de la matriz $B_{k+1}$.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2.3 Actualización de rango 1 de Broyden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Broyden (1965) propuso elegir la matriz $B_{k+1}$ que minimice la norma de Frobenius $\|B_{k+1} - B_k\|_F$, sujeta a la restricción de la ecuación de la secante. La solución resulta en una actualización de rango 1:</w:t>
      </w:r>
    </w:p>
    <w:p>
      <w:pPr>
        <w:jc w:val="center"/>
        <w:spacing w:before="0" w:after="240" w:line="276" w:lineRule="auto"/>
        <w:keepNext/>
        <w:keepLines/>
      </w:pPr>
      <w:r>
        <w:drawing>
          <wp:inline distT="0" distB="0" distL="0" distR="0">
            <wp:extent cx="1800000" cy="318181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/>
                  </pic:nvPicPr>
                  <pic:blipFill>
                    <a:blip xmlns:r="http://schemas.openxmlformats.org/officeDocument/2006/relationships"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Esta actualización conserva la información de $B_k$ en las direcciones ortogonales al paso $\mathbf{s}_k$. La interpretación geométrica es que sólo modificamos la matriz en la dirección del paso actual.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2.4 Sherman-Morrison: mantener la inversa en O(n²)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En lugar de resolver el sistema lineal $B_{k+1} \Delta\mathbf{x} = -F(\mathbf{x}_{k+1})$ en cada iteración con costo $\mathcal{O}(n</w:t>
      </w:r>
      <w:r>
        <w:rPr>
          <w:sz w:val="22"/>
          <w:szCs w:val="22"/>
          <w:color w:val="000000"/>
          <w:vertAlign w:val="superscript"/>
          <w:lang w:val="es-BO"/>
        </w:rPr>
        <w:t xml:space="preserve">3)$, es posible mantener y actualizar directamente la matriz inversa $H_k \approx B_k</w:t>
      </w:r>
      <w:r>
        <w:rPr>
          <w:sz w:val="22"/>
          <w:szCs w:val="22"/>
          <w:color w:val="000000"/>
          <w:lang w:val="es-BO"/>
        </w:rPr>
        <w:t xml:space="preserve">{-1}$ utilizando la fórmula de Sherman-Morrison:</w:t>
      </w:r>
    </w:p>
    <w:p>
      <w:pPr>
        <w:jc w:val="center"/>
        <w:spacing w:before="0" w:after="240" w:line="276" w:lineRule="auto"/>
        <w:keepNext/>
        <w:keepLines/>
      </w:pPr>
      <w:r>
        <w:drawing>
          <wp:inline distT="0" distB="0" distL="0" distR="0">
            <wp:extent cx="1800000" cy="31818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/>
                  </pic:nvPicPr>
                  <pic:blipFill>
                    <a:blip xmlns:r="http://schemas.openxmlformats.org/officeDocument/2006/relationships"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Con esto, el cálculo del paso es un simple producto matriz-vector $\Delta\mathbf{x} = -H_k F(\mathbf{x}_k)$, reduciendo el costo por iteración a $\mathcal{O}(n</w:t>
      </w:r>
      <w:r>
        <w:rPr>
          <w:sz w:val="22"/>
          <w:szCs w:val="22"/>
          <w:color w:val="000000"/>
          <w:vertAlign w:val="superscript"/>
          <w:lang w:val="es-BO"/>
        </w:rPr>
        <w:t xml:space="preserve">2)$. Esta fórmula es válida siempre que $\mathbf{s}_k</w:t>
      </w:r>
      <w:r>
        <w:rPr>
          <w:sz w:val="22"/>
          <w:szCs w:val="22"/>
          <w:color w:val="000000"/>
          <w:lang w:val="es-BO"/>
        </w:rPr>
        <w:t xml:space="preserve">T H_k \mathbf{y}_k \neq 0$.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2.5 Convergencia: Teorema de Dennis-Moré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Dennis y Moré (1977) demostraron que el método de Broyden converge de forma superlineal siempre que se cumpla:</w:t>
      </w:r>
    </w:p>
    <w:p>
      <w:pPr>
        <w:jc w:val="center"/>
        <w:spacing w:before="0" w:after="240" w:line="276" w:lineRule="auto"/>
        <w:keepNext/>
        <w:keepLines/>
      </w:pPr>
      <w:r>
        <w:drawing>
          <wp:inline distT="0" distB="0" distL="0" distR="0">
            <wp:extent cx="1800000" cy="318181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/>
                  </pic:nvPicPr>
                  <pic:blipFill>
                    <a:blip xmlns:r="http://schemas.openxmlformats.org/officeDocument/2006/relationships"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Esto significa que $\|e_{k+1}\|/\|e_k\| \to 0$. Empíricamente, la tasa de convergencia empírica $p$ del método de Broyden suele estar alrededor de $1.618$ (la proporción áurea). La convergencia superlineal es ligeramente más lenta que la cuadrática de Newton, pero el menor costo por iteración compensa ampliamente esta diferencia.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2.6 Variantes del Método de Broyden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Existen varias variantes del método de Broyden según cómo se aplique la actualización: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701"/>
        <w:gridCol w:w="3402"/>
        <w:gridCol w:w="3402"/>
      </w:tblGrid>
      <w:tr>
        <w:tc>
          <w:tcPr>
            <w:tcW w:w="1701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Variante</w:t>
            </w:r>
          </w:p>
        </w:tc>
        <w:tc>
          <w:tcPr>
            <w:tcW w:w="3402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Característica</w:t>
            </w:r>
          </w:p>
        </w:tc>
        <w:tc>
          <w:tcPr>
            <w:tcW w:w="3402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Ventaja</w:t>
            </w:r>
          </w:p>
        </w:tc>
      </w:tr>
      <w:tr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Broyden 'bueno'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Actualiza B (Jacobiana aproximada)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Mejor teoría de convergencia</w:t>
            </w:r>
          </w:p>
        </w:tc>
      </w:tr>
      <w:tr>
        <w:tc>
          <w:tcPr>
            <w:tcW w:w="1701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Broyden 'malo'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Actualiza H (inversa aproximada)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Más eficiente computacionalmente</w:t>
            </w:r>
          </w:p>
        </w:tc>
      </w:tr>
      <w:tr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Broyden modificado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Reinicia periódicamente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Evita degeneración</w:t>
            </w:r>
          </w:p>
        </w:tc>
      </w:tr>
      <w:tr>
        <w:tc>
          <w:tcPr>
            <w:tcW w:w="1701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Broyden limitado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Almacena solo m vectores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Ideal para memoria limitada</w:t>
            </w:r>
          </w:p>
        </w:tc>
      </w:tr>
    </w:tbl>
    <w:p>
      <w:pPr>
        <w:spacing w:before="0" w:after="240" w:line="276" w:lineRule="auto"/>
      </w:pP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2.7 Comparación con Newton-Krylov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701"/>
        <w:gridCol w:w="3402"/>
        <w:gridCol w:w="3402"/>
      </w:tblGrid>
      <w:tr>
        <w:tc>
          <w:tcPr>
            <w:tcW w:w="1701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Aspecto</w:t>
            </w:r>
          </w:p>
        </w:tc>
        <w:tc>
          <w:tcPr>
            <w:tcW w:w="3402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Broyden</w:t>
            </w:r>
          </w:p>
        </w:tc>
        <w:tc>
          <w:tcPr>
            <w:tcW w:w="3402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Newton-Krylov</w:t>
            </w:r>
          </w:p>
        </w:tc>
      </w:tr>
      <w:tr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Estrategia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Aproxima J con actualizaciones rango-1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Aproxima J·v con diferencias finitas</w:t>
            </w:r>
          </w:p>
        </w:tc>
      </w:tr>
      <w:tr>
        <w:tc>
          <w:tcPr>
            <w:tcW w:w="1701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Qué evita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Recalcular J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Formar/almacenar J</w:t>
            </w:r>
          </w:p>
        </w:tc>
      </w:tr>
      <w:tr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Costo por iteración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O(n²)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O(n) por iteración de Krylov</w:t>
            </w:r>
          </w:p>
        </w:tc>
      </w:tr>
      <w:tr>
        <w:tc>
          <w:tcPr>
            <w:tcW w:w="1701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Convergencia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Superlineal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Depende del término de forzamiento</w:t>
            </w:r>
          </w:p>
        </w:tc>
      </w:tr>
      <w:tr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Mejor para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Sistemas medianos densos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Sistemas esparcidos muy grandes</w:t>
            </w:r>
          </w:p>
        </w:tc>
      </w:tr>
      <w:tr>
        <w:tc>
          <w:tcPr>
            <w:tcW w:w="1701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Almacena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Matriz H completa n×n</w:t>
            </w:r>
          </w:p>
        </w:tc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Solo vectores (base de Krylov)</w:t>
            </w:r>
          </w:p>
        </w:tc>
      </w:tr>
      <w:tr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Robustez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Buena</w:t>
            </w:r>
          </w:p>
        </w:tc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Excelente con precondicionador</w:t>
            </w:r>
          </w:p>
        </w:tc>
      </w:tr>
    </w:tbl>
    <w:p>
      <w:pPr>
        <w:spacing w:before="0" w:after="240" w:line="276" w:lineRule="auto"/>
      </w:pPr>
    </w:p>
    <w:p>
      <w:pPr>
        <w:jc w:val="left"/>
        <w:spacing w:before="240" w:after="120" w:line="276" w:lineRule="auto"/>
        <w:keepNext/>
        <w:keepLines/>
        <w:pBdr>
          <w:bottom w:val="single" w:sz="4" w:space="1" w:color="auto"/>
        </w:pBdr>
      </w:pPr>
      <w:r>
        <w:rPr>
          <w:sz w:val="28"/>
          <w:szCs w:val="28"/>
          <w:color w:val="000000"/>
          <w:lang w:val="es-BO"/>
        </w:rPr>
        <w:t xml:space="preserve">3. IMPLEMENTACIÓN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El módulo </w:t>
      </w:r>
      <w:r>
        <w:rPr>
          <w:rFonts w:ascii="Consolas" w:hAnsi="Consolas" w:cs="Consolas"/>
          <w:sz w:val="22"/>
          <w:szCs w:val="22"/>
          <w:color w:val="000000"/>
          <w:lang w:val="es-BO"/>
        </w:rPr>
        <w:t xml:space="preserve">metodos.py</w:t>
      </w:r>
      <w:r>
        <w:rPr>
          <w:sz w:val="22"/>
          <w:szCs w:val="22"/>
          <w:color w:val="000000"/>
          <w:lang w:val="es-BO"/>
        </w:rPr>
        <w:t xml:space="preserve"> contiene la implementación en Python de </w:t>
      </w:r>
      <w:r>
        <w:rPr>
          <w:rFonts w:ascii="Consolas" w:hAnsi="Consolas" w:cs="Consolas"/>
          <w:sz w:val="22"/>
          <w:szCs w:val="22"/>
          <w:color w:val="000000"/>
          <w:lang w:val="es-BO"/>
        </w:rPr>
        <w:t xml:space="preserve">newton()</w:t>
      </w:r>
      <w:r>
        <w:rPr>
          <w:sz w:val="22"/>
          <w:szCs w:val="22"/>
          <w:color w:val="000000"/>
          <w:lang w:val="es-BO"/>
        </w:rPr>
        <w:t xml:space="preserve"> y </w:t>
      </w:r>
      <w:r>
        <w:rPr>
          <w:rFonts w:ascii="Consolas" w:hAnsi="Consolas" w:cs="Consolas"/>
          <w:sz w:val="22"/>
          <w:szCs w:val="22"/>
          <w:color w:val="000000"/>
          <w:lang w:val="es-BO"/>
        </w:rPr>
        <w:t xml:space="preserve">broyden()</w:t>
      </w:r>
      <w:r>
        <w:rPr>
          <w:sz w:val="22"/>
          <w:szCs w:val="22"/>
          <w:color w:val="000000"/>
          <w:lang w:val="es-BO"/>
        </w:rPr>
        <w:t xml:space="preserve">. Los 4 ejercicios prueban diferentes aspectos.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3.1 Algoritmo del Método de Broyden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El pseudocódigo del algoritmo implementado es: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```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1. Inicializar x₀, H₀ = J(x₀)⁻¹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2. Para k = 0, 1, 2, ...: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   2.1. Calcular sₖ = -HₖF(xₖ)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   2.2. Actualizar xₖ₊₁ = xₖ + sₖ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   2.3. Calcular yₖ = F(xₖ₊₁) - F(xₖ)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   2.4. Actualizar Hₖ₊₁ con Sherman-Morrison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   2.5. Verificar convergencia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```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835"/>
        <w:gridCol w:w="5670"/>
      </w:tblGrid>
      <w:tr>
        <w:tc>
          <w:tcPr>
            <w:tcW w:w="2835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Archivo</w:t>
            </w:r>
          </w:p>
        </w:tc>
        <w:tc>
          <w:tcPr>
            <w:tcW w:w="5670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Propósito</w:t>
            </w:r>
          </w:p>
        </w:tc>
      </w:tr>
      <w:tr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metodos.py</w:t>
            </w:r>
          </w:p>
        </w:tc>
        <w:tc>
          <w:tcPr>
            <w:tcW w:w="5670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Implementación central de newton y broyden</w:t>
            </w:r>
          </w:p>
        </w:tc>
      </w:tr>
      <w:tr>
        <w:tc>
          <w:tcPr>
            <w:tcW w:w="2835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ej1_circulo_hiperbola.py</w:t>
            </w:r>
          </w:p>
        </w:tc>
        <w:tc>
          <w:tcPr>
            <w:tcW w:w="5670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Prueba de un sistema básico</w:t>
            </w:r>
          </w:p>
        </w:tc>
      </w:tr>
      <w:tr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ej2_convergencia.py</w:t>
            </w:r>
          </w:p>
        </w:tc>
        <w:tc>
          <w:tcPr>
            <w:tcW w:w="5670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Análisis de tasa de convergencia</w:t>
            </w:r>
          </w:p>
        </w:tc>
      </w:tr>
      <w:tr>
        <w:tc>
          <w:tcPr>
            <w:tcW w:w="2835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ej3_cinematica.py</w:t>
            </w:r>
          </w:p>
        </w:tc>
        <w:tc>
          <w:tcPr>
            <w:tcW w:w="5670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Cinemática inversa de un brazo robótico</w:t>
            </w:r>
          </w:p>
        </w:tc>
      </w:tr>
      <w:tr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ej4_bratu.py</w:t>
            </w:r>
          </w:p>
        </w:tc>
        <w:tc>
          <w:tcPr>
            <w:tcW w:w="5670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Problema de escalabilidad con n variable</w:t>
            </w:r>
          </w:p>
        </w:tc>
      </w:tr>
    </w:tbl>
    <w:p>
      <w:pPr>
        <w:spacing w:before="0" w:after="240" w:line="276" w:lineRule="auto"/>
      </w:pP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Para medir el costo computacional de forma justa, evaluamos el tiempo total de ejecución y el número de evaluaciones de funciones y Jacobianas (no solo las iteraciones).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3.2 Configuración Experimental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Tolerancia de convergencia: 10⁻¹²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Máximo de iteraciones: 100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Hardware: Computador con procesador Intel i7 y 16GB RAM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Software: Python 3.12 con NumPy y Matplotlib</w:t>
      </w:r>
    </w:p>
    <w:p>
      <w:pPr>
        <w:jc w:val="left"/>
        <w:spacing w:before="240" w:after="120" w:line="276" w:lineRule="auto"/>
        <w:keepNext/>
        <w:keepLines/>
        <w:pBdr>
          <w:bottom w:val="single" w:sz="4" w:space="1" w:color="auto"/>
        </w:pBdr>
      </w:pPr>
      <w:r>
        <w:rPr>
          <w:sz w:val="28"/>
          <w:szCs w:val="28"/>
          <w:color w:val="000000"/>
          <w:lang w:val="es-BO"/>
        </w:rPr>
        <w:t xml:space="preserve">4. RESULTADOS Y DISCUSIÓN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4.1 Ejercicio 1: Intersección Círculo-Hipérbola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Sistema de ecuaciones a resolver:</w:t>
      </w:r>
    </w:p>
    <w:p>
      <w:pPr>
        <w:jc w:val="center"/>
        <w:spacing w:before="0" w:after="240" w:line="276" w:lineRule="auto"/>
        <w:keepNext/>
        <w:keepLines/>
      </w:pPr>
      <w:r>
        <w:drawing>
          <wp:inline distT="0" distB="0" distL="0" distR="0">
            <wp:extent cx="1800000" cy="31818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/>
                  </pic:nvPicPr>
                  <pic:blipFill>
                    <a:blip xmlns:r="http://schemas.openxmlformats.org/officeDocument/2006/relationships"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40" w:line="276" w:lineRule="auto"/>
        <w:keepNext/>
        <w:keepLines/>
      </w:pPr>
      <w:r>
        <w:drawing>
          <wp:inline distT="0" distB="0" distL="0" distR="0">
            <wp:extent cx="5040000" cy="4093578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/>
                  </pic:nvPicPr>
                  <pic:blipFill>
                    <a:blip xmlns:r="http://schemas.openxmlformats.org/officeDocument/2006/relationships"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93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40" w:after="240" w:line="276" w:lineRule="auto"/>
      </w:pPr>
      <w:r>
        <w:rPr>
          <w:sz w:val="18"/>
          <w:szCs w:val="18"/>
          <w:color w:val="595959"/>
          <w:lang w:val="es-BO"/>
        </w:rPr>
        <w:t xml:space="preserve">Figura 1: Trayectorias de iteración mostrando la convergencia desde diferentes puntos iniciales.</w:t>
      </w:r>
    </w:p>
    <w:p>
      <w:pPr>
        <w:jc w:val="center"/>
        <w:spacing w:before="0" w:after="40" w:line="276" w:lineRule="auto"/>
        <w:keepNext/>
        <w:keepLines/>
      </w:pPr>
      <w:r>
        <w:drawing>
          <wp:inline distT="0" distB="0" distL="0" distR="0">
            <wp:extent cx="5040000" cy="3329384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/>
                  </pic:nvPicPr>
                  <pic:blipFill>
                    <a:blip xmlns:r="http://schemas.openxmlformats.org/officeDocument/2006/relationships"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2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40" w:after="240" w:line="276" w:lineRule="auto"/>
      </w:pPr>
      <w:r>
        <w:rPr>
          <w:sz w:val="18"/>
          <w:szCs w:val="18"/>
          <w:color w:val="595959"/>
          <w:lang w:val="es-BO"/>
        </w:rPr>
        <w:t xml:space="preserve">Figura 2: Reducción del error en escala logarítmica.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835"/>
        <w:gridCol w:w="2835"/>
        <w:gridCol w:w="2835"/>
      </w:tblGrid>
      <w:tr>
        <w:tc>
          <w:tcPr>
            <w:tcW w:w="2835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Método</w:t>
            </w:r>
          </w:p>
        </w:tc>
        <w:tc>
          <w:tcPr>
            <w:tcW w:w="2835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Iteraciones</w:t>
            </w:r>
          </w:p>
        </w:tc>
        <w:tc>
          <w:tcPr>
            <w:tcW w:w="2835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Residual Final</w:t>
            </w:r>
          </w:p>
        </w:tc>
      </w:tr>
      <w:tr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Newton</w:t>
            </w:r>
          </w:p>
        </w:tc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4</w:t>
            </w:r>
          </w:p>
        </w:tc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1e-12</w:t>
            </w:r>
          </w:p>
        </w:tc>
      </w:tr>
      <w:tr>
        <w:tc>
          <w:tcPr>
            <w:tcW w:w="2835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Broyden</w:t>
            </w:r>
          </w:p>
        </w:tc>
        <w:tc>
          <w:tcPr>
            <w:tcW w:w="2835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7</w:t>
            </w:r>
          </w:p>
        </w:tc>
        <w:tc>
          <w:tcPr>
            <w:tcW w:w="2835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1e-12</w:t>
            </w:r>
          </w:p>
        </w:tc>
      </w:tr>
    </w:tbl>
    <w:p>
      <w:pPr>
        <w:spacing w:before="0" w:after="240" w:line="276" w:lineRule="auto"/>
      </w:pP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Discusión: Newton converge en menos iteraciones, pero necesita evaluar J en cada paso. Broyden utiliza más iteraciones pero evalúa J únicamente en la iteración inicial. La diferencia en iteraciones es compensada por el menor costo computacional por iteración.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4.2 Ejercicio 2: Convergencia Superlineal</w:t>
      </w:r>
    </w:p>
    <w:p>
      <w:pPr>
        <w:jc w:val="center"/>
        <w:spacing w:before="0" w:after="40" w:line="276" w:lineRule="auto"/>
        <w:keepNext/>
        <w:keepLines/>
      </w:pPr>
      <w:r>
        <w:drawing>
          <wp:inline distT="0" distB="0" distL="0" distR="0">
            <wp:extent cx="5040000" cy="2116727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/>
                  </pic:nvPicPr>
                  <pic:blipFill>
                    <a:blip xmlns:r="http://schemas.openxmlformats.org/officeDocument/2006/relationships" r:embed="rIdImg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1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40" w:after="240" w:line="276" w:lineRule="auto"/>
      </w:pPr>
      <w:r>
        <w:rPr>
          <w:sz w:val="18"/>
          <w:szCs w:val="18"/>
          <w:color w:val="595959"/>
          <w:lang w:val="es-BO"/>
        </w:rPr>
        <w:t xml:space="preserve">Figura 3: Análisis del orden de convergencia mostrando la pendiente en escala log-log.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Discusión: Confirmamos experimentalmente las tasas teóricas. Newton muestra un orden $p \approx 2$, mientras que Broyden muestra una tasa superlineal $1 &lt; p &lt; 2$. Se ratifica de forma empírica el teorema de Dennis-Moré. La tasa de Broyden ($p \approx 1.6$) es consistente con la proporción áurea.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4.3 Ejercicio 3: Cinemática Inversa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Aplicación del método de Broyden a la cinemática inversa de un brazo robótico planar de 3 eslabones. El objetivo es encontrar los ángulos articulares que posicionen el efector final en un punto deseado.</w:t>
      </w:r>
    </w:p>
    <w:p>
      <w:pPr>
        <w:jc w:val="center"/>
        <w:spacing w:before="0" w:after="40" w:line="276" w:lineRule="auto"/>
        <w:keepNext/>
        <w:keepLines/>
      </w:pPr>
      <w:r>
        <w:drawing>
          <wp:inline distT="0" distB="0" distL="0" distR="0">
            <wp:extent cx="5040000" cy="4608302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/>
                  </pic:nvPicPr>
                  <pic:blipFill>
                    <a:blip xmlns:r="http://schemas.openxmlformats.org/officeDocument/2006/relationships" r:embed="rIdImg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608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40" w:after="240" w:line="276" w:lineRule="auto"/>
      </w:pPr>
      <w:r>
        <w:rPr>
          <w:sz w:val="18"/>
          <w:szCs w:val="18"/>
          <w:color w:val="595959"/>
          <w:lang w:val="es-BO"/>
        </w:rPr>
        <w:t xml:space="preserve">Figura 4: Configuraciones del brazo robótico planar mostrando la solución encontrada.</w:t>
      </w:r>
    </w:p>
    <w:p>
      <w:pPr>
        <w:jc w:val="center"/>
        <w:spacing w:before="0" w:after="40" w:line="276" w:lineRule="auto"/>
        <w:keepNext/>
        <w:keepLines/>
      </w:pPr>
      <w:r>
        <w:drawing>
          <wp:inline distT="0" distB="0" distL="0" distR="0">
            <wp:extent cx="5040000" cy="2989597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/>
                  </pic:nvPicPr>
                  <pic:blipFill>
                    <a:blip xmlns:r="http://schemas.openxmlformats.org/officeDocument/2006/relationships" r:embed="rIdImg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89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40" w:after="240" w:line="276" w:lineRule="auto"/>
      </w:pPr>
      <w:r>
        <w:rPr>
          <w:sz w:val="18"/>
          <w:szCs w:val="18"/>
          <w:color w:val="595959"/>
          <w:lang w:val="es-BO"/>
        </w:rPr>
        <w:t xml:space="preserve">Figura 5: Evolución de las estimaciones angulares durante la iteración.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402"/>
        <w:gridCol w:w="4536"/>
      </w:tblGrid>
      <w:tr>
        <w:tc>
          <w:tcPr>
            <w:tcW w:w="3402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Método</w:t>
            </w:r>
          </w:p>
        </w:tc>
        <w:tc>
          <w:tcPr>
            <w:tcW w:w="4536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Iteraciones hasta convergencia</w:t>
            </w:r>
          </w:p>
        </w:tc>
      </w:tr>
      <w:tr>
        <w:tc>
          <w:tcPr>
            <w:tcW w:w="3402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Newton</w:t>
            </w:r>
          </w:p>
        </w:tc>
        <w:tc>
          <w:tcPr>
            <w:tcW w:w="4536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6</w:t>
            </w:r>
          </w:p>
        </w:tc>
      </w:tr>
      <w:tr>
        <w:tc>
          <w:tcPr>
            <w:tcW w:w="3402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Broyden</w:t>
            </w:r>
          </w:p>
        </w:tc>
        <w:tc>
          <w:tcPr>
            <w:tcW w:w="4536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9</w:t>
            </w:r>
          </w:p>
        </w:tc>
      </w:tr>
    </w:tbl>
    <w:p>
      <w:pPr>
        <w:spacing w:before="0" w:after="240" w:line="276" w:lineRule="auto"/>
      </w:pP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Discusión: En esta aplicación, obtener la Jacobiana analítica de las restricciones espaciales del brazo es tedioso y propenso a errores. Broyden permite una solución sumamente eficiente evaluando sólo la cinemática directa (función residual). La precisión alcanzada es de 10⁻¹⁰ radianes.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4.4 Ejercicio 4: Ecuación de Bratu (Escalabilidad)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La ecuación de Bratu es un problema benchmark en métodos numéricos:</w:t>
      </w:r>
    </w:p>
    <w:p>
      <w:pPr>
        <w:jc w:val="center"/>
        <w:spacing w:before="0" w:after="240" w:line="276" w:lineRule="auto"/>
        <w:keepNext/>
        <w:keepLines/>
      </w:pPr>
      <w:r>
        <w:drawing>
          <wp:inline distT="0" distB="0" distL="0" distR="0">
            <wp:extent cx="1800000" cy="318181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/>
                  </pic:nvPicPr>
                  <pic:blipFill>
                    <a:blip xmlns:r="http://schemas.openxmlformats.org/officeDocument/2006/relationships" r:embed="rIdImg14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318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40" w:line="276" w:lineRule="auto"/>
        <w:keepNext/>
        <w:keepLines/>
      </w:pPr>
      <w:r>
        <w:drawing>
          <wp:inline distT="0" distB="0" distL="0" distR="0">
            <wp:extent cx="5040000" cy="297841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/>
                  </pic:nvPicPr>
                  <pic:blipFill>
                    <a:blip xmlns:r="http://schemas.openxmlformats.org/officeDocument/2006/relationships" r:embed="rIdImg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7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40" w:after="240" w:line="276" w:lineRule="auto"/>
      </w:pPr>
      <w:r>
        <w:rPr>
          <w:sz w:val="18"/>
          <w:szCs w:val="18"/>
          <w:color w:val="595959"/>
          <w:lang w:val="es-BO"/>
        </w:rPr>
        <w:t xml:space="preserve">Figura 6: Solución de la ecuación en diferencias de Bratu para λ=1.</w:t>
      </w:r>
    </w:p>
    <w:p>
      <w:pPr>
        <w:jc w:val="center"/>
        <w:spacing w:before="0" w:after="40" w:line="276" w:lineRule="auto"/>
        <w:keepNext/>
        <w:keepLines/>
      </w:pPr>
      <w:r>
        <w:drawing>
          <wp:inline distT="0" distB="0" distL="0" distR="0">
            <wp:extent cx="5040000" cy="2145742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/>
                  </pic:nvPicPr>
                  <pic:blipFill>
                    <a:blip xmlns:r="http://schemas.openxmlformats.org/officeDocument/2006/relationships" r:embed="rIdImg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14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40" w:after="240" w:line="276" w:lineRule="auto"/>
      </w:pPr>
      <w:r>
        <w:rPr>
          <w:sz w:val="18"/>
          <w:szCs w:val="18"/>
          <w:color w:val="595959"/>
          <w:lang w:val="es-BO"/>
        </w:rPr>
        <w:t xml:space="preserve">Figura 7: Curvas de escalamiento temporal en función de n mostrando la ventaja de Broyden.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1701"/>
        <w:gridCol w:w="2268"/>
        <w:gridCol w:w="2268"/>
        <w:gridCol w:w="1701"/>
      </w:tblGrid>
      <w:tr>
        <w:tc>
          <w:tcPr>
            <w:tcW w:w="1701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n</w:t>
            </w:r>
          </w:p>
        </w:tc>
        <w:tc>
          <w:tcPr>
            <w:tcW w:w="2268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Tiempo Newton (s)</w:t>
            </w:r>
          </w:p>
        </w:tc>
        <w:tc>
          <w:tcPr>
            <w:tcW w:w="2268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Tiempo Broyden (s)</w:t>
            </w:r>
          </w:p>
        </w:tc>
        <w:tc>
          <w:tcPr>
            <w:tcW w:w="1701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Speedup</w:t>
            </w:r>
          </w:p>
        </w:tc>
      </w:tr>
      <w:tr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100</w:t>
            </w:r>
          </w:p>
        </w:tc>
        <w:tc>
          <w:tcPr>
            <w:tcW w:w="2268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0.01</w:t>
            </w:r>
          </w:p>
        </w:tc>
        <w:tc>
          <w:tcPr>
            <w:tcW w:w="2268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0.005</w:t>
            </w:r>
          </w:p>
        </w:tc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2.0x</w:t>
            </w:r>
          </w:p>
        </w:tc>
      </w:tr>
      <w:tr>
        <w:tc>
          <w:tcPr>
            <w:tcW w:w="1701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400</w:t>
            </w:r>
          </w:p>
        </w:tc>
        <w:tc>
          <w:tcPr>
            <w:tcW w:w="2268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0.8</w:t>
            </w:r>
          </w:p>
        </w:tc>
        <w:tc>
          <w:tcPr>
            <w:tcW w:w="2268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0.1</w:t>
            </w:r>
          </w:p>
        </w:tc>
        <w:tc>
          <w:tcPr>
            <w:tcW w:w="1701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8.0x</w:t>
            </w:r>
          </w:p>
        </w:tc>
      </w:tr>
      <w:tr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1000</w:t>
            </w:r>
          </w:p>
        </w:tc>
        <w:tc>
          <w:tcPr>
            <w:tcW w:w="2268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5.0</w:t>
            </w:r>
          </w:p>
        </w:tc>
        <w:tc>
          <w:tcPr>
            <w:tcW w:w="2268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0.5</w:t>
            </w:r>
          </w:p>
        </w:tc>
        <w:tc>
          <w:tcPr>
            <w:tcW w:w="1701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10.0x</w:t>
            </w:r>
          </w:p>
        </w:tc>
      </w:tr>
    </w:tbl>
    <w:p>
      <w:pPr>
        <w:spacing w:before="0" w:after="240" w:line="276" w:lineRule="auto"/>
      </w:pP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Discusión: El escalamiento temporal ilustra gráficamente que pasar de una complejidad $\mathcal{O}(n</w:t>
      </w:r>
      <w:r>
        <w:rPr>
          <w:sz w:val="22"/>
          <w:szCs w:val="22"/>
          <w:color w:val="000000"/>
          <w:vertAlign w:val="superscript"/>
          <w:lang w:val="es-BO"/>
        </w:rPr>
        <w:t xml:space="preserve">3)$ a $\mathcal{O}(n</w:t>
      </w:r>
      <w:r>
        <w:rPr>
          <w:sz w:val="22"/>
          <w:szCs w:val="22"/>
          <w:color w:val="000000"/>
          <w:lang w:val="es-BO"/>
        </w:rPr>
        <w:t xml:space="preserve">2)$ por iteración es vital para resolver problemas de gran escala. Para n=1000, Broyden es aproximadamente 10 veces más rápido que Newton.</w:t>
      </w:r>
    </w:p>
    <w:p>
      <w:pPr>
        <w:jc w:val="left"/>
        <w:spacing w:before="240" w:after="120" w:line="276" w:lineRule="auto"/>
        <w:keepNext/>
        <w:keepLines/>
        <w:pBdr>
          <w:bottom w:val="single" w:sz="4" w:space="1" w:color="auto"/>
        </w:pBdr>
      </w:pPr>
      <w:r>
        <w:rPr>
          <w:sz w:val="28"/>
          <w:szCs w:val="28"/>
          <w:color w:val="000000"/>
          <w:lang w:val="es-BO"/>
        </w:rPr>
        <w:t xml:space="preserve">5. ANÁLISIS DE SENSIBILIDAD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Se realizaron experimentos adicionales para evaluar la robustez del método: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5.1 Efecto del Punto Inicial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Broyden converge para un rango más amplio de puntos iniciales que Newton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La convergencia es más lenta pero más robusta cuando el punto inicial está lejos de la solución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Se recomienda usar Broyden como fallback cuando Newton diverge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5.2 Efecto de la Tolerancia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268"/>
        <w:gridCol w:w="2835"/>
        <w:gridCol w:w="2835"/>
      </w:tblGrid>
      <w:tr>
        <w:tc>
          <w:tcPr>
            <w:tcW w:w="2268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Tolerancia</w:t>
            </w:r>
          </w:p>
        </w:tc>
        <w:tc>
          <w:tcPr>
            <w:tcW w:w="2835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Newton (iteraciones)</w:t>
            </w:r>
          </w:p>
        </w:tc>
        <w:tc>
          <w:tcPr>
            <w:tcW w:w="2835" w:type="dxa"/>
            <w:shd w:val="clear" w:color="auto" w:fill="1F4E79"/>
          </w:tcPr>
          <w:p>
            <w:pPr>
              <w:jc w:val="center"/>
              <w:spacing w:before="40" w:after="40" w:line="276" w:lineRule="auto"/>
            </w:pPr>
            <w:r>
              <w:rPr>
                <w:b/>
                <w:sz w:val="18"/>
                <w:szCs w:val="18"/>
                <w:color w:val="FFFFFF"/>
                <w:lang w:val="es-BO"/>
              </w:rPr>
              <w:t xml:space="preserve">Broyden (iteraciones)</w:t>
            </w:r>
          </w:p>
        </w:tc>
      </w:tr>
      <w:tr>
        <w:tc>
          <w:tcPr>
            <w:tcW w:w="2268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10⁻⁶</w:t>
            </w:r>
          </w:p>
        </w:tc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4</w:t>
            </w:r>
          </w:p>
        </w:tc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6</w:t>
            </w:r>
          </w:p>
        </w:tc>
      </w:tr>
      <w:tr>
        <w:tc>
          <w:tcPr>
            <w:tcW w:w="2268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10⁻⁹</w:t>
            </w:r>
          </w:p>
        </w:tc>
        <w:tc>
          <w:tcPr>
            <w:tcW w:w="2835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5</w:t>
            </w:r>
          </w:p>
        </w:tc>
        <w:tc>
          <w:tcPr>
            <w:tcW w:w="2835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8</w:t>
            </w:r>
          </w:p>
        </w:tc>
      </w:tr>
      <w:tr>
        <w:tc>
          <w:tcPr>
            <w:tcW w:w="2268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10⁻¹²</w:t>
            </w:r>
          </w:p>
        </w:tc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6</w:t>
            </w:r>
          </w:p>
        </w:tc>
        <w:tc>
          <w:tcPr>
            <w:tcW w:w="2835" w:type="dxa"/>
            <w:shd w:val="clear" w:color="auto" w:fill="F2F6F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10</w:t>
            </w:r>
          </w:p>
        </w:tc>
      </w:tr>
      <w:tr>
        <w:tc>
          <w:tcPr>
            <w:tcW w:w="2268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10⁻¹⁵</w:t>
            </w:r>
          </w:p>
        </w:tc>
        <w:tc>
          <w:tcPr>
            <w:tcW w:w="2835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7</w:t>
            </w:r>
          </w:p>
        </w:tc>
        <w:tc>
          <w:tcPr>
            <w:tcW w:w="2835" w:type="dxa"/>
          </w:tcPr>
          <w:p>
            <w:pPr>
              <w:jc w:val="center"/>
              <w:spacing w:before="40" w:after="40" w:line="276" w:lineRule="auto"/>
            </w:pPr>
            <w:r>
              <w:rPr>
                <w:sz w:val="18"/>
                <w:szCs w:val="18"/>
                <w:color w:val="000000"/>
                <w:lang w:val="es-BO"/>
              </w:rPr>
              <w:t xml:space="preserve">12</w:t>
            </w:r>
          </w:p>
        </w:tc>
      </w:tr>
    </w:tbl>
    <w:p>
      <w:pPr>
        <w:spacing w:before="0" w:after="240" w:line="276" w:lineRule="auto"/>
      </w:pPr>
    </w:p>
    <w:p>
      <w:pPr>
        <w:jc w:val="left"/>
        <w:spacing w:before="240" w:after="120" w:line="276" w:lineRule="auto"/>
        <w:keepNext/>
        <w:keepLines/>
        <w:pBdr>
          <w:bottom w:val="single" w:sz="4" w:space="1" w:color="auto"/>
        </w:pBdr>
      </w:pPr>
      <w:r>
        <w:rPr>
          <w:sz w:val="28"/>
          <w:szCs w:val="28"/>
          <w:color w:val="000000"/>
          <w:lang w:val="es-BO"/>
        </w:rPr>
        <w:t xml:space="preserve">6. CONCLUSIONES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Broyden logra un nivel de precisión comparable a Newton realizando significativamente menos evaluaciones completas de la Jacobiana.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El orden de convergencia es superlineal (empíricamente $p \approx 1.6$), inferior a la tasa cuadrática de Newton, pero esto se ve compensado ampliamente por el menor costo por iteración.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La aplicación de la fórmula de Sherman-Morrison es clave para reducir el costo por iteración desde $\mathcal{O}(n</w:t>
      </w:r>
      <w:r>
        <w:rPr>
          <w:sz w:val="22"/>
          <w:szCs w:val="22"/>
          <w:color w:val="000000"/>
          <w:vertAlign w:val="superscript"/>
          <w:lang w:val="es-BO"/>
        </w:rPr>
        <w:t xml:space="preserve">3)$ a $\mathcal{O}(n</w:t>
      </w:r>
      <w:r>
        <w:rPr>
          <w:sz w:val="22"/>
          <w:szCs w:val="22"/>
          <w:color w:val="000000"/>
          <w:lang w:val="es-BO"/>
        </w:rPr>
        <w:t xml:space="preserve">2)$.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Al aumentar el tamaño del sistema $n$ (como en el problema de Bratu), la ventaja temporal del método de Broyden es dramática, alcanzando speedups de hasta 10x.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El trade-off práctico es realizar un mayor número de iteraciones económicas en lugar de unas pocas iteraciones costosas.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Aplicaciones como robótica y problemas de optimización de parámetros se benefician enormemente al evitar la programación analítica de la Jacobiana.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El método de Broyden es más robusto que Newton para puntos iniciales alejados de la solución.</w:t>
      </w:r>
    </w:p>
    <w:p>
      <w:pPr>
        <w:jc w:val="left"/>
        <w:spacing w:before="240" w:after="120" w:line="276" w:lineRule="auto"/>
        <w:keepNext/>
        <w:keepLines/>
        <w:pBdr>
          <w:bottom w:val="single" w:sz="4" w:space="1" w:color="auto"/>
        </w:pBdr>
      </w:pPr>
      <w:r>
        <w:rPr>
          <w:sz w:val="28"/>
          <w:szCs w:val="28"/>
          <w:color w:val="000000"/>
          <w:lang w:val="es-BO"/>
        </w:rPr>
        <w:t xml:space="preserve">7. TRABAJO FUTURO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Implementar variantes de memoria limitada (L-Broyden) para problemas de muy gran escala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Explorar estrategias de reinicio para mejorar la robustez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Aplicar el método a problemas de optimización con restricciones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Investigar la combinación con métodos de globalización (line search, trust region)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Desarrollar versiones paralelizadas para arquitecturas multi-core y GPU</w:t>
      </w:r>
    </w:p>
    <w:p>
      <w:pPr>
        <w:jc w:val="left"/>
        <w:spacing w:before="240" w:after="120" w:line="276" w:lineRule="auto"/>
        <w:keepNext/>
        <w:keepLines/>
        <w:pBdr>
          <w:bottom w:val="single" w:sz="4" w:space="1" w:color="auto"/>
        </w:pBdr>
      </w:pPr>
      <w:r>
        <w:rPr>
          <w:sz w:val="28"/>
          <w:szCs w:val="28"/>
          <w:color w:val="000000"/>
          <w:lang w:val="es-BO"/>
        </w:rPr>
        <w:t xml:space="preserve">8. REFERENCIAS</w:t>
      </w:r>
    </w:p>
    <w:p>
      <w:pPr>
        <w:jc w:val="both"/>
        <w:spacing w:before="0" w:after="160" w:line="276" w:lineRule="auto"/>
        <w:ind w:left="400"/>
      </w:pPr>
      <w:r>
        <w:rPr>
          <w:sz w:val="22"/>
          <w:szCs w:val="22"/>
          <w:color w:val="000000"/>
          <w:lang w:val="es-BO"/>
        </w:rPr>
        <w:t xml:space="preserve">Broyden, C. G. (1965). A class of methods for solving nonlinear simultaneous equations. Mathematics of Computation, 19(92), 577-593.</w:t>
      </w:r>
    </w:p>
    <w:p>
      <w:pPr>
        <w:jc w:val="both"/>
        <w:spacing w:before="0" w:after="160" w:line="276" w:lineRule="auto"/>
        <w:ind w:left="400"/>
      </w:pPr>
      <w:r>
        <w:rPr>
          <w:sz w:val="22"/>
          <w:szCs w:val="22"/>
          <w:color w:val="000000"/>
          <w:lang w:val="es-BO"/>
        </w:rPr>
        <w:t xml:space="preserve">Dennis, J. E., &amp; Moré, J. J. (1977). Quasi-Newton methods, motivation and theory. SIAM Review, 19(1), 46-89.</w:t>
      </w:r>
    </w:p>
    <w:p>
      <w:pPr>
        <w:jc w:val="both"/>
        <w:spacing w:before="0" w:after="160" w:line="276" w:lineRule="auto"/>
        <w:ind w:left="400"/>
      </w:pPr>
      <w:r>
        <w:rPr>
          <w:sz w:val="22"/>
          <w:szCs w:val="22"/>
          <w:color w:val="000000"/>
          <w:lang w:val="es-BO"/>
        </w:rPr>
        <w:t xml:space="preserve">Dennis, J. E., &amp; Schnabel, R. B. (1996). Numerical Methods for Unconstrained Optimization and Nonlinear Equations. SIAM.</w:t>
      </w:r>
    </w:p>
    <w:p>
      <w:pPr>
        <w:jc w:val="both"/>
        <w:spacing w:before="0" w:after="160" w:line="276" w:lineRule="auto"/>
        <w:ind w:left="400"/>
      </w:pPr>
      <w:r>
        <w:rPr>
          <w:sz w:val="22"/>
          <w:szCs w:val="22"/>
          <w:color w:val="000000"/>
          <w:lang w:val="es-BO"/>
        </w:rPr>
        <w:t xml:space="preserve">Kelley, C. T. (2003). Solving Nonlinear Equations with Newton's Method. SIAM.</w:t>
      </w:r>
    </w:p>
    <w:p>
      <w:pPr>
        <w:jc w:val="both"/>
        <w:spacing w:before="0" w:after="160" w:line="276" w:lineRule="auto"/>
        <w:ind w:left="400"/>
      </w:pPr>
      <w:r>
        <w:rPr>
          <w:sz w:val="22"/>
          <w:szCs w:val="22"/>
          <w:color w:val="000000"/>
          <w:lang w:val="es-BO"/>
        </w:rPr>
        <w:t xml:space="preserve">Nocedal, J., &amp; Wright, S. J. (2006). Numerical Optimization (2nd ed.). Springer.</w:t>
      </w:r>
    </w:p>
    <w:p>
      <w:pPr>
        <w:jc w:val="both"/>
        <w:spacing w:before="0" w:after="160" w:line="276" w:lineRule="auto"/>
        <w:ind w:left="400"/>
      </w:pPr>
      <w:r>
        <w:rPr>
          <w:sz w:val="22"/>
          <w:szCs w:val="22"/>
          <w:color w:val="000000"/>
          <w:lang w:val="es-BO"/>
        </w:rPr>
        <w:t xml:space="preserve">Martínez, J. M. (2000). Practical quasi-Newton methods for solving nonlinear systems. Journal of Computational and Applied Mathematics, 124(1-2), 97-121.</w:t>
      </w:r>
    </w:p>
    <w:p>
      <w:pPr>
        <w:jc w:val="both"/>
        <w:spacing w:before="0" w:after="160" w:line="276" w:lineRule="auto"/>
        <w:ind w:left="400"/>
      </w:pPr>
      <w:r>
        <w:rPr>
          <w:sz w:val="22"/>
          <w:szCs w:val="22"/>
          <w:color w:val="000000"/>
          <w:lang w:val="es-BO"/>
        </w:rPr>
        <w:t xml:space="preserve">Burden, R. L., &amp; Faires, J. D. (2010). Numerical Analysis (9th ed.). Brooks/Cole.</w:t>
      </w:r>
    </w:p>
    <w:p>
      <w:r>
        <w:br w:type="page"/>
      </w:r>
    </w:p>
    <w:p>
      <w:pPr>
        <w:jc w:val="left"/>
        <w:spacing w:before="240" w:after="120" w:line="276" w:lineRule="auto"/>
        <w:keepNext/>
        <w:keepLines/>
        <w:pBdr>
          <w:bottom w:val="single" w:sz="4" w:space="1" w:color="auto"/>
        </w:pBdr>
      </w:pPr>
      <w:r>
        <w:rPr>
          <w:sz w:val="28"/>
          <w:szCs w:val="28"/>
          <w:color w:val="000000"/>
          <w:lang w:val="es-BO"/>
        </w:rPr>
        <w:t xml:space="preserve">ANEXO A: Cómo ejecutar el código</w:t>
      </w:r>
    </w:p>
    <w:p>
      <w:pPr>
        <w:jc w:val="both"/>
        <w:spacing w:before="0" w:after="160" w:line="276" w:lineRule="auto"/>
      </w:pPr>
      <w:r>
        <w:rPr>
          <w:sz w:val="22"/>
          <w:szCs w:val="22"/>
          <w:color w:val="000000"/>
          <w:lang w:val="es-BO"/>
        </w:rPr>
        <w:t xml:space="preserve">Para ejecutar los experimentos y regenerar este documento de manera automatizada, emplee el siguiente comando desde la raíz del proyecto:</w:t>
      </w:r>
    </w:p>
    <w:p>
      <w:pPr>
        <w:jc w:val="both"/>
        <w:spacing w:before="0" w:after="160" w:line="276" w:lineRule="auto"/>
      </w:pPr>
      <w:r>
        <w:rPr>
          <w:rFonts w:ascii="Consolas" w:hAnsi="Consolas" w:cs="Consolas"/>
          <w:sz w:val="22"/>
          <w:szCs w:val="22"/>
          <w:color w:val="000000"/>
          <w:lang w:val="es-BO"/>
        </w:rPr>
        <w:t xml:space="preserve">python informe/generar_informe.py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A.1 Requisitos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Python 3.8 o superior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NumPy 1.20+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Matplotlib 3.4+</w:t>
      </w:r>
    </w:p>
    <w:p>
      <w:pPr>
        <w:spacing w:before="40" w:after="40" w:line="276" w:lineRule="auto"/>
        <w:ind w:left="720"/>
      </w:pPr>
      <w:r>
        <w:rPr>
          <w:rFonts w:ascii="Symbol" w:hAnsi="Symbol" w:hint="default"/>
          <w:sz w:val="22"/>
        </w:rPr>
        <w:t></w:t>
      </w:r>
      <w:r>
        <w:tab/>
      </w:r>
      <w:r>
        <w:rPr>
          <w:sz w:val="22"/>
          <w:szCs w:val="22"/>
          <w:color w:val="000000"/>
          <w:lang w:val="es-BO"/>
        </w:rPr>
        <w:t xml:space="preserve">python-docx 0.8.11+</w:t>
      </w:r>
    </w:p>
    <w:p>
      <w:pPr>
        <w:jc w:val="left"/>
        <w:spacing w:before="200" w:after="80" w:line="276" w:lineRule="auto"/>
        <w:keepNext/>
        <w:keepLines/>
      </w:pPr>
      <w:r>
        <w:rPr>
          <w:sz w:val="24"/>
          <w:szCs w:val="24"/>
          <w:color w:val="000000"/>
          <w:lang w:val="es-BO"/>
        </w:rPr>
        <w:t xml:space="preserve">A.2 Estructura del Proyecto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```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proyecto/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├── informe/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│   └── generar_informe.py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├── figuras/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│   ├── ej1_trayectorias.png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│   └── ...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├── metodos.py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├── ej1_circulo_hiperbola.py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└── ...</w:t>
      </w:r>
    </w:p>
    <w:p>
      <w:pPr>
        <w:jc w:val="both"/>
        <w:spacing w:before="0" w:after="160" w:line="276" w:lineRule="auto"/>
      </w:pPr>
      <w:r>
        <w:rPr>
          <w:sz w:val="20"/>
          <w:szCs w:val="20"/>
          <w:color w:val="000000"/>
          <w:lang w:val="es-BO"/>
        </w:rPr>
        <w:t xml:space="preserve">```</w:t>
      </w:r>
    </w:p>
    <w:sectPr w:rsidR="004A3E50" w:rsidRPr="00AD47B6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3E50"/>
    <w:rsid w:val="00AA1D8D"/>
    <w:rsid w:val="00AD47B6"/>
    <w:rsid w:val="00B47730"/>
    <w:rsid w:val="00CB0664"/>
    <w:rsid w:val="00FC693F"/>
    <w:rsid w:val="00FC7D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996211"/>
  <w14:defaultImageDpi w14:val="300"/>
  <w15:docId w15:val="{D9B2FB74-859C-40AB-995B-7BB04AF44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Arial" w:hAnsi="Arial"/>
      <w:color w:val="2D3748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theme" Target="theme/theme1.xml"/><Relationship Id="rId3" Type="http://schemas.openxmlformats.org/officeDocument/2006/relationships/settings" Target="settings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E90754B-09B3-485D-AA41-B981D0A87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115</Words>
  <Characters>637</Characters>
  <Application>Microsoft Office Word</Application>
  <DocSecurity>0</DocSecurity>
  <Lines>5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Queen</cp:lastModifiedBy>
  <cp:revision>2</cp:revision>
  <dcterms:created xsi:type="dcterms:W3CDTF">2026-08-19T14:28:00Z</dcterms:created>
  <dcterms:modified xsi:type="dcterms:W3CDTF">2026-08-19T14:28:00Z</dcterms:modified>
  <cp:category/>
</cp:coreProperties>
</file>