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 xml:space="preserve">a profesora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Evelenir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183E">
        <w:rPr>
          <w:rFonts w:ascii="Arial" w:hAnsi="Arial" w:cs="Arial"/>
          <w:sz w:val="28"/>
          <w:szCs w:val="28"/>
        </w:rPr>
        <w:t>Wilmer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l profesor Giovanni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Sparacio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>, al ayudarnos a sustituir uno de los engranajes de transmisión del cuadricóptero.</w:t>
      </w:r>
    </w:p>
    <w:p w:rsidR="00053022" w:rsidRPr="00053022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183E">
        <w:rPr>
          <w:rFonts w:ascii="Arial" w:hAnsi="Arial" w:cs="Arial"/>
          <w:sz w:val="28"/>
          <w:szCs w:val="28"/>
        </w:rPr>
        <w:t xml:space="preserve"> los profesores y estudiantes del Grupo de </w:t>
      </w:r>
      <w:proofErr w:type="spellStart"/>
      <w:r w:rsidRPr="0026183E">
        <w:rPr>
          <w:rFonts w:ascii="Arial" w:hAnsi="Arial" w:cs="Arial"/>
          <w:sz w:val="28"/>
          <w:szCs w:val="28"/>
        </w:rPr>
        <w:t>Mecatrónica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de la Universidad Simón Bolívar, con especial mención a los profesores José </w:t>
      </w:r>
      <w:proofErr w:type="spellStart"/>
      <w:r w:rsidRPr="0026183E">
        <w:rPr>
          <w:rFonts w:ascii="Arial" w:hAnsi="Arial" w:cs="Arial"/>
          <w:sz w:val="28"/>
          <w:szCs w:val="28"/>
        </w:rPr>
        <w:t>Cappelletto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y Gaudí </w:t>
      </w:r>
      <w:proofErr w:type="spellStart"/>
      <w:r w:rsidRPr="0026183E">
        <w:rPr>
          <w:rFonts w:ascii="Arial" w:hAnsi="Arial" w:cs="Arial"/>
          <w:sz w:val="28"/>
          <w:szCs w:val="28"/>
        </w:rPr>
        <w:t>Morantes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</w:t>
      </w:r>
      <w:r w:rsidR="00053022">
        <w:rPr>
          <w:rFonts w:ascii="Arial" w:hAnsi="Arial" w:cs="Arial"/>
          <w:sz w:val="28"/>
          <w:szCs w:val="28"/>
        </w:rPr>
        <w:t>, organizar las competencias nacionales de robótica año tras año,</w:t>
      </w:r>
      <w:r>
        <w:rPr>
          <w:rFonts w:ascii="Arial" w:hAnsi="Arial" w:cs="Arial"/>
          <w:sz w:val="28"/>
          <w:szCs w:val="28"/>
        </w:rPr>
        <w:t xml:space="preserve"> y dar ejemplo de </w:t>
      </w:r>
      <w:r w:rsidR="00CA0233">
        <w:rPr>
          <w:rFonts w:ascii="Arial" w:hAnsi="Arial" w:cs="Arial"/>
          <w:sz w:val="28"/>
          <w:szCs w:val="28"/>
        </w:rPr>
        <w:t xml:space="preserve">humildad, </w:t>
      </w:r>
      <w:r>
        <w:rPr>
          <w:rFonts w:ascii="Arial" w:hAnsi="Arial" w:cs="Arial"/>
          <w:sz w:val="28"/>
          <w:szCs w:val="28"/>
        </w:rPr>
        <w:t>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7811FE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Sinopsis</w:t>
      </w:r>
    </w:p>
    <w:p w:rsidR="00D42D27" w:rsidRDefault="00D42D2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Alvarez</w:t>
      </w:r>
      <w:proofErr w:type="spellEnd"/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lastRenderedPageBreak/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Nacional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. </w:t>
      </w:r>
      <w:proofErr w:type="gramStart"/>
      <w:r w:rsidR="00D9651F" w:rsidRPr="003A296D">
        <w:rPr>
          <w:rFonts w:ascii="Arial" w:hAnsi="Arial" w:cs="Arial"/>
          <w:szCs w:val="24"/>
          <w:lang w:val="en-US"/>
        </w:rPr>
        <w:t>Córdoba.</w:t>
      </w:r>
      <w:proofErr w:type="gramEnd"/>
      <w:r w:rsidR="00D9651F" w:rsidRPr="003A296D">
        <w:rPr>
          <w:rFonts w:ascii="Arial" w:hAnsi="Arial" w:cs="Arial"/>
          <w:szCs w:val="24"/>
          <w:lang w:val="en-US"/>
        </w:rPr>
        <w:t xml:space="preserve"> Argentina.</w:t>
      </w:r>
    </w:p>
    <w:p w:rsidR="00745E3F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3A296D" w:rsidRDefault="003A296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1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2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D42D2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D42D27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D42D27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D42D27">
        <w:rPr>
          <w:rFonts w:ascii="Arial" w:hAnsi="Arial" w:cs="Arial"/>
          <w:szCs w:val="24"/>
          <w:lang w:val="en-US"/>
        </w:rPr>
        <w:t>Shakev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D42D27">
        <w:rPr>
          <w:rFonts w:ascii="Arial" w:hAnsi="Arial" w:cs="Arial"/>
          <w:szCs w:val="24"/>
          <w:lang w:val="en-US"/>
        </w:rPr>
        <w:t>Topalov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D42D27">
        <w:rPr>
          <w:rFonts w:ascii="Arial" w:hAnsi="Arial" w:cs="Arial"/>
          <w:szCs w:val="24"/>
          <w:lang w:val="en-US"/>
        </w:rPr>
        <w:t>Kaynak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D42D27">
        <w:rPr>
          <w:rFonts w:ascii="Arial" w:hAnsi="Arial" w:cs="Arial"/>
          <w:szCs w:val="24"/>
          <w:lang w:val="en-US"/>
        </w:rPr>
        <w:t>Borisov</w:t>
      </w:r>
      <w:proofErr w:type="spellEnd"/>
      <w:r w:rsidRPr="00D42D27">
        <w:rPr>
          <w:rFonts w:ascii="Arial" w:hAnsi="Arial" w:cs="Arial"/>
          <w:szCs w:val="24"/>
          <w:lang w:val="en-US"/>
        </w:rPr>
        <w:t>, K. (2011).</w:t>
      </w:r>
      <w:proofErr w:type="gramEnd"/>
      <w:r w:rsidRPr="00D42D27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D42D2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D42D27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D42D27">
        <w:rPr>
          <w:rFonts w:ascii="Arial" w:hAnsi="Arial" w:cs="Arial"/>
          <w:szCs w:val="24"/>
          <w:lang w:val="en-US"/>
        </w:rPr>
        <w:t>Estados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D42D27">
        <w:rPr>
          <w:rFonts w:ascii="Arial" w:hAnsi="Arial" w:cs="Arial"/>
          <w:szCs w:val="24"/>
          <w:lang w:val="en-US"/>
        </w:rPr>
        <w:t>Unidos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D42D27">
        <w:rPr>
          <w:rFonts w:ascii="Arial" w:hAnsi="Arial" w:cs="Arial"/>
          <w:szCs w:val="24"/>
          <w:lang w:val="en-US"/>
        </w:rPr>
        <w:t>América</w:t>
      </w:r>
      <w:proofErr w:type="spellEnd"/>
      <w:r w:rsidRPr="00D42D27">
        <w:rPr>
          <w:rFonts w:ascii="Arial" w:hAnsi="Arial" w:cs="Arial"/>
          <w:szCs w:val="24"/>
          <w:lang w:val="en-US"/>
        </w:rPr>
        <w:t>.</w:t>
      </w:r>
    </w:p>
    <w:p w:rsidR="00C60DD9" w:rsidRPr="00D42D27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D42D2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D42D2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D42D27">
        <w:rPr>
          <w:rFonts w:ascii="Arial" w:hAnsi="Arial" w:cs="Arial"/>
          <w:b/>
          <w:szCs w:val="24"/>
          <w:lang w:val="en-US"/>
        </w:rPr>
        <w:t xml:space="preserve"> 1993]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D42D27">
        <w:rPr>
          <w:rFonts w:ascii="Arial" w:hAnsi="Arial" w:cs="Arial"/>
          <w:szCs w:val="24"/>
          <w:lang w:val="en-US"/>
        </w:rPr>
        <w:t>Zabczyk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J. (1993). </w:t>
      </w:r>
      <w:r w:rsidRPr="00D42D27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sectPr w:rsidR="004954A4" w:rsidRPr="00645A99" w:rsidSect="007C6DB4">
      <w:headerReference w:type="default" r:id="rId13"/>
      <w:footerReference w:type="default" r:id="rId14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490" w:rsidRDefault="00257490" w:rsidP="000F105E">
      <w:pPr>
        <w:spacing w:after="0" w:line="240" w:lineRule="auto"/>
      </w:pPr>
      <w:r>
        <w:separator/>
      </w:r>
    </w:p>
  </w:endnote>
  <w:endnote w:type="continuationSeparator" w:id="0">
    <w:p w:rsidR="00257490" w:rsidRDefault="00257490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490" w:rsidRDefault="00257490" w:rsidP="000F105E">
      <w:pPr>
        <w:spacing w:after="0" w:line="240" w:lineRule="auto"/>
      </w:pPr>
      <w:r>
        <w:separator/>
      </w:r>
    </w:p>
  </w:footnote>
  <w:footnote w:type="continuationSeparator" w:id="0">
    <w:p w:rsidR="00257490" w:rsidRDefault="00257490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025E6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2D27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softwarequality.techtarget.com/definition/spiral-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.usb.ve/mirodriguez/control/Sistemas_y_transformada_de_laplace/control_a_lazo_abiert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49277-DB49-4D3F-ACFC-16EA8D19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31</cp:revision>
  <cp:lastPrinted>2013-07-23T05:50:00Z</cp:lastPrinted>
  <dcterms:created xsi:type="dcterms:W3CDTF">2014-05-22T20:46:00Z</dcterms:created>
  <dcterms:modified xsi:type="dcterms:W3CDTF">2014-10-27T07:33:00Z</dcterms:modified>
</cp:coreProperties>
</file>