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625B8C0">
      <w:pPr>
        <w:pStyle w:val="2"/>
        <w:spacing w:before="360" w:after="360" w:line="276" w:lineRule="auto"/>
        <w:ind w:firstLine="0"/>
        <w:jc w:val="center"/>
      </w:pPr>
      <w:r>
        <w:rPr>
          <w:rFonts w:ascii="Times New Roman" w:hAnsi="Times New Roman" w:eastAsia="Times New Roman" w:cs="Times New Roman"/>
          <w:b/>
          <w:color w:val="002855"/>
          <w:sz w:val="32"/>
        </w:rPr>
        <w:t>Chapter 7 — Results and Discussion</w:t>
      </w:r>
    </w:p>
    <w:p w14:paraId="7CA67514">
      <w:pPr>
        <w:pStyle w:val="3"/>
        <w:spacing w:before="280" w:after="160" w:line="276" w:lineRule="auto"/>
        <w:ind w:firstLine="0"/>
        <w:jc w:val="left"/>
      </w:pPr>
      <w:r>
        <w:rPr>
          <w:rFonts w:ascii="Times New Roman" w:hAnsi="Times New Roman" w:eastAsia="Times New Roman" w:cs="Times New Roman"/>
          <w:b/>
          <w:color w:val="00468C"/>
          <w:sz w:val="28"/>
        </w:rPr>
        <w:t>7.2  Part B — Quiz Generation Results and Discussion</w:t>
      </w:r>
    </w:p>
    <w:p w14:paraId="6D134B89">
      <w:pPr>
        <w:spacing w:before="0" w:after="0" w:line="360" w:lineRule="auto"/>
        <w:jc w:val="both"/>
      </w:pPr>
      <w:r>
        <w:rPr>
          <w:rFonts w:ascii="Times New Roman" w:hAnsi="Times New Roman" w:eastAsia="Times New Roman" w:cs="Times New Roman"/>
          <w:b w:val="0"/>
          <w:i w:val="0"/>
          <w:sz w:val="24"/>
        </w:rPr>
        <w:t>This part of the chapter interprets the empirical outcomes of the Quiz Generation subsystem described in Chapters 5 and 6. The system distils a Gemini 2.5 Flash Lite teacher into a Qwen2.5-1.5B student through supervised knowledge distillation, and is wrapped by the S1–S5 validation pipeline. Eight experimental versions (V1–V8) were trained iteratively; Version 8 is the final production configuration and therefore frames the discussion that follows. Earlier versions are referenced only to explain how specific data, preprocessing, and hyperparameter changes led to the V8 results, Table 5.10 (Final Training Hyperparameter Configuration) serve as the reference for all hyperparameter-related discussions in this chapter. Definitions of the metrics (CMQS, QPS, KL divergence, perplexity, retention score, Cohen's d) and of the seven-check validation pipeline were established in Chapter 6 and are not redefined here; the focus is interpretation, failure analysis, and trade-off discussion that connect the numerical results back to the original software-engineering objective of scalable, automated educational content generation.</w:t>
      </w:r>
    </w:p>
    <w:p w14:paraId="24148D0A">
      <w:pPr>
        <w:pStyle w:val="4"/>
        <w:spacing w:before="240" w:after="120" w:line="276" w:lineRule="auto"/>
        <w:ind w:firstLine="0"/>
        <w:jc w:val="left"/>
      </w:pPr>
      <w:r>
        <w:rPr>
          <w:rFonts w:ascii="Times New Roman" w:hAnsi="Times New Roman" w:eastAsia="Times New Roman" w:cs="Times New Roman"/>
          <w:b/>
          <w:color w:val="002855"/>
          <w:sz w:val="24"/>
        </w:rPr>
        <w:t>7.2.1  Teacher Model Performance Summary</w:t>
      </w:r>
    </w:p>
    <w:p w14:paraId="4AEE2F10">
      <w:pPr>
        <w:spacing w:before="0" w:after="0" w:line="360" w:lineRule="auto"/>
        <w:jc w:val="both"/>
      </w:pPr>
      <w:r>
        <w:rPr>
          <w:rFonts w:ascii="Times New Roman" w:hAnsi="Times New Roman" w:eastAsia="Times New Roman" w:cs="Times New Roman"/>
          <w:b w:val="0"/>
          <w:i w:val="0"/>
          <w:sz w:val="24"/>
        </w:rPr>
        <w:t>The teacher model (Gemini 2.5 Flash Lite) was evaluated on a held-out set of 200 generation slots and produced 192 syntactically valid MCQs (96.0% structural pass rate at S1). Across the seven-dimension LLM-as-a-Judge rubric introduced in Chapter 6, the teacher achieves a Composite MCQ Quality Score of CMQS = 4.614 ± 0.399 on the 1–5 scale, with 79.7% of items rated Excellent and only 1.6% Poor (no items Rejected). Table 7.6 summarises the per-dimension behaviour.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3545D1B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000000" w:sz="12" w:space="0"/>
              <w:left w:val="nil"/>
              <w:bottom w:val="single" w:color="000000" w:sz="6" w:space="0"/>
              <w:right w:val="nil"/>
              <w:insideH w:val="nil"/>
              <w:insideV w:val="nil"/>
            </w:tcBorders>
            <w:shd w:val="clear" w:color="auto" w:fill="00468C"/>
          </w:tcPr>
          <w:p w14:paraId="1DCF834E">
            <w:pPr>
              <w:spacing w:before="40" w:after="40" w:line="276" w:lineRule="auto"/>
              <w:ind w:firstLine="0"/>
            </w:pPr>
            <w:r>
              <w:rPr>
                <w:rFonts w:ascii="Arial" w:hAnsi="Arial" w:eastAsia="Arial" w:cs="Arial"/>
                <w:b/>
                <w:color w:val="FFFFFF"/>
                <w:sz w:val="20"/>
              </w:rPr>
              <w:t>Dimension</w:t>
            </w:r>
          </w:p>
        </w:tc>
        <w:tc>
          <w:tcPr>
            <w:tcW w:w="2160" w:type="dxa"/>
            <w:tcBorders>
              <w:top w:val="single" w:color="000000" w:sz="12" w:space="0"/>
              <w:left w:val="nil"/>
              <w:bottom w:val="single" w:color="000000" w:sz="6" w:space="0"/>
              <w:right w:val="nil"/>
              <w:insideH w:val="nil"/>
              <w:insideV w:val="nil"/>
            </w:tcBorders>
            <w:shd w:val="clear" w:color="auto" w:fill="00468C"/>
          </w:tcPr>
          <w:p w14:paraId="6D5E9F3C">
            <w:pPr>
              <w:spacing w:before="40" w:after="40" w:line="276" w:lineRule="auto"/>
              <w:ind w:firstLine="0"/>
            </w:pPr>
            <w:r>
              <w:rPr>
                <w:rFonts w:ascii="Arial" w:hAnsi="Arial" w:eastAsia="Arial" w:cs="Arial"/>
                <w:b/>
                <w:color w:val="FFFFFF"/>
                <w:sz w:val="20"/>
              </w:rPr>
              <w:t>Teacher Mean</w:t>
            </w:r>
          </w:p>
        </w:tc>
        <w:tc>
          <w:tcPr>
            <w:tcW w:w="2160" w:type="dxa"/>
            <w:tcBorders>
              <w:top w:val="single" w:color="000000" w:sz="12" w:space="0"/>
              <w:left w:val="nil"/>
              <w:bottom w:val="single" w:color="000000" w:sz="6" w:space="0"/>
              <w:right w:val="nil"/>
              <w:insideH w:val="nil"/>
              <w:insideV w:val="nil"/>
            </w:tcBorders>
            <w:shd w:val="clear" w:color="auto" w:fill="00468C"/>
          </w:tcPr>
          <w:p w14:paraId="1C169452">
            <w:pPr>
              <w:spacing w:before="40" w:after="40" w:line="276" w:lineRule="auto"/>
              <w:ind w:firstLine="0"/>
            </w:pPr>
            <w:r>
              <w:rPr>
                <w:rFonts w:ascii="Arial" w:hAnsi="Arial" w:eastAsia="Arial" w:cs="Arial"/>
                <w:b/>
                <w:color w:val="FFFFFF"/>
                <w:sz w:val="20"/>
              </w:rPr>
              <w:t>Std</w:t>
            </w:r>
          </w:p>
        </w:tc>
        <w:tc>
          <w:tcPr>
            <w:tcW w:w="2160" w:type="dxa"/>
            <w:tcBorders>
              <w:top w:val="single" w:color="000000" w:sz="12" w:space="0"/>
              <w:left w:val="nil"/>
              <w:bottom w:val="single" w:color="000000" w:sz="6" w:space="0"/>
              <w:right w:val="nil"/>
              <w:insideH w:val="nil"/>
              <w:insideV w:val="nil"/>
            </w:tcBorders>
            <w:shd w:val="clear" w:color="auto" w:fill="00468C"/>
          </w:tcPr>
          <w:p w14:paraId="74FA13ED">
            <w:pPr>
              <w:spacing w:before="40" w:after="40" w:line="276" w:lineRule="auto"/>
              <w:ind w:firstLine="0"/>
            </w:pPr>
            <w:r>
              <w:rPr>
                <w:rFonts w:ascii="Arial" w:hAnsi="Arial" w:eastAsia="Arial" w:cs="Arial"/>
                <w:b/>
                <w:color w:val="FFFFFF"/>
                <w:sz w:val="20"/>
              </w:rPr>
              <w:t>Median</w:t>
            </w:r>
          </w:p>
        </w:tc>
      </w:tr>
      <w:tr w14:paraId="3B0A7D4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7A5C7007">
            <w:pPr>
              <w:spacing w:before="40" w:after="40" w:line="276" w:lineRule="auto"/>
              <w:ind w:firstLine="0"/>
            </w:pPr>
            <w:r>
              <w:rPr>
                <w:rFonts w:ascii="Times New Roman" w:hAnsi="Times New Roman" w:eastAsia="Times New Roman" w:cs="Times New Roman"/>
                <w:b w:val="0"/>
                <w:color w:val="000000"/>
                <w:sz w:val="22"/>
              </w:rPr>
              <w:t>D1 — Factual Grounding</w:t>
            </w:r>
          </w:p>
        </w:tc>
        <w:tc>
          <w:tcPr>
            <w:tcW w:w="2160" w:type="dxa"/>
            <w:tcBorders>
              <w:top w:val="nil"/>
              <w:left w:val="nil"/>
              <w:bottom w:val="nil"/>
              <w:right w:val="nil"/>
              <w:insideH w:val="nil"/>
              <w:insideV w:val="nil"/>
            </w:tcBorders>
            <w:shd w:val="clear" w:color="auto" w:fill="FFFFFF"/>
          </w:tcPr>
          <w:p w14:paraId="61CE026B">
            <w:pPr>
              <w:spacing w:before="40" w:after="40" w:line="276" w:lineRule="auto"/>
              <w:ind w:firstLine="0"/>
            </w:pPr>
            <w:r>
              <w:rPr>
                <w:rFonts w:ascii="Times New Roman" w:hAnsi="Times New Roman" w:eastAsia="Times New Roman" w:cs="Times New Roman"/>
                <w:b w:val="0"/>
                <w:color w:val="000000"/>
                <w:sz w:val="22"/>
              </w:rPr>
              <w:t>4.583</w:t>
            </w:r>
          </w:p>
        </w:tc>
        <w:tc>
          <w:tcPr>
            <w:tcW w:w="2160" w:type="dxa"/>
            <w:tcBorders>
              <w:top w:val="nil"/>
              <w:left w:val="nil"/>
              <w:bottom w:val="nil"/>
              <w:right w:val="nil"/>
              <w:insideH w:val="nil"/>
              <w:insideV w:val="nil"/>
            </w:tcBorders>
            <w:shd w:val="clear" w:color="auto" w:fill="FFFFFF"/>
          </w:tcPr>
          <w:p w14:paraId="5CD1A86B">
            <w:pPr>
              <w:spacing w:before="40" w:after="40" w:line="276" w:lineRule="auto"/>
              <w:ind w:firstLine="0"/>
            </w:pPr>
            <w:r>
              <w:rPr>
                <w:rFonts w:ascii="Times New Roman" w:hAnsi="Times New Roman" w:eastAsia="Times New Roman" w:cs="Times New Roman"/>
                <w:b w:val="0"/>
                <w:color w:val="000000"/>
                <w:sz w:val="22"/>
              </w:rPr>
              <w:t>0.888</w:t>
            </w:r>
          </w:p>
        </w:tc>
        <w:tc>
          <w:tcPr>
            <w:tcW w:w="2160" w:type="dxa"/>
            <w:tcBorders>
              <w:top w:val="nil"/>
              <w:left w:val="nil"/>
              <w:bottom w:val="nil"/>
              <w:right w:val="nil"/>
              <w:insideH w:val="nil"/>
              <w:insideV w:val="nil"/>
            </w:tcBorders>
            <w:shd w:val="clear" w:color="auto" w:fill="FFFFFF"/>
          </w:tcPr>
          <w:p w14:paraId="1E59589C">
            <w:pPr>
              <w:spacing w:before="40" w:after="40" w:line="276" w:lineRule="auto"/>
              <w:ind w:firstLine="0"/>
            </w:pPr>
            <w:r>
              <w:rPr>
                <w:rFonts w:ascii="Times New Roman" w:hAnsi="Times New Roman" w:eastAsia="Times New Roman" w:cs="Times New Roman"/>
                <w:b w:val="0"/>
                <w:color w:val="000000"/>
                <w:sz w:val="22"/>
              </w:rPr>
              <w:t>5.0</w:t>
            </w:r>
          </w:p>
        </w:tc>
      </w:tr>
      <w:tr w14:paraId="0D8B2C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147DC39A">
            <w:pPr>
              <w:spacing w:before="40" w:after="40" w:line="276" w:lineRule="auto"/>
              <w:ind w:firstLine="0"/>
            </w:pPr>
            <w:r>
              <w:rPr>
                <w:rFonts w:ascii="Times New Roman" w:hAnsi="Times New Roman" w:eastAsia="Times New Roman" w:cs="Times New Roman"/>
                <w:b w:val="0"/>
                <w:color w:val="000000"/>
                <w:sz w:val="22"/>
              </w:rPr>
              <w:t>D2 — Question Clarity</w:t>
            </w:r>
          </w:p>
        </w:tc>
        <w:tc>
          <w:tcPr>
            <w:tcW w:w="2160" w:type="dxa"/>
            <w:tcBorders>
              <w:top w:val="nil"/>
              <w:left w:val="nil"/>
              <w:bottom w:val="nil"/>
              <w:right w:val="nil"/>
              <w:insideH w:val="nil"/>
              <w:insideV w:val="nil"/>
            </w:tcBorders>
            <w:shd w:val="clear" w:color="auto" w:fill="FFFFFF"/>
          </w:tcPr>
          <w:p w14:paraId="094F7E7A">
            <w:pPr>
              <w:spacing w:before="40" w:after="40" w:line="276" w:lineRule="auto"/>
              <w:ind w:firstLine="0"/>
            </w:pPr>
            <w:r>
              <w:rPr>
                <w:rFonts w:ascii="Times New Roman" w:hAnsi="Times New Roman" w:eastAsia="Times New Roman" w:cs="Times New Roman"/>
                <w:b w:val="0"/>
                <w:color w:val="000000"/>
                <w:sz w:val="22"/>
              </w:rPr>
              <w:t>4.969</w:t>
            </w:r>
          </w:p>
        </w:tc>
        <w:tc>
          <w:tcPr>
            <w:tcW w:w="2160" w:type="dxa"/>
            <w:tcBorders>
              <w:top w:val="nil"/>
              <w:left w:val="nil"/>
              <w:bottom w:val="nil"/>
              <w:right w:val="nil"/>
              <w:insideH w:val="nil"/>
              <w:insideV w:val="nil"/>
            </w:tcBorders>
            <w:shd w:val="clear" w:color="auto" w:fill="FFFFFF"/>
          </w:tcPr>
          <w:p w14:paraId="39D2648A">
            <w:pPr>
              <w:spacing w:before="40" w:after="40" w:line="276" w:lineRule="auto"/>
              <w:ind w:firstLine="0"/>
            </w:pPr>
            <w:r>
              <w:rPr>
                <w:rFonts w:ascii="Times New Roman" w:hAnsi="Times New Roman" w:eastAsia="Times New Roman" w:cs="Times New Roman"/>
                <w:b w:val="0"/>
                <w:color w:val="000000"/>
                <w:sz w:val="22"/>
              </w:rPr>
              <w:t>0.174</w:t>
            </w:r>
          </w:p>
        </w:tc>
        <w:tc>
          <w:tcPr>
            <w:tcW w:w="2160" w:type="dxa"/>
            <w:tcBorders>
              <w:top w:val="nil"/>
              <w:left w:val="nil"/>
              <w:bottom w:val="nil"/>
              <w:right w:val="nil"/>
              <w:insideH w:val="nil"/>
              <w:insideV w:val="nil"/>
            </w:tcBorders>
            <w:shd w:val="clear" w:color="auto" w:fill="FFFFFF"/>
          </w:tcPr>
          <w:p w14:paraId="1F686046">
            <w:pPr>
              <w:spacing w:before="40" w:after="40" w:line="276" w:lineRule="auto"/>
              <w:ind w:firstLine="0"/>
            </w:pPr>
            <w:r>
              <w:rPr>
                <w:rFonts w:ascii="Times New Roman" w:hAnsi="Times New Roman" w:eastAsia="Times New Roman" w:cs="Times New Roman"/>
                <w:b w:val="0"/>
                <w:color w:val="000000"/>
                <w:sz w:val="22"/>
              </w:rPr>
              <w:t>5.0</w:t>
            </w:r>
          </w:p>
        </w:tc>
      </w:tr>
      <w:tr w14:paraId="75D3EEB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554E36FF">
            <w:pPr>
              <w:spacing w:before="40" w:after="40" w:line="276" w:lineRule="auto"/>
              <w:ind w:firstLine="0"/>
            </w:pPr>
            <w:r>
              <w:rPr>
                <w:rFonts w:ascii="Times New Roman" w:hAnsi="Times New Roman" w:eastAsia="Times New Roman" w:cs="Times New Roman"/>
                <w:b w:val="0"/>
                <w:color w:val="000000"/>
                <w:sz w:val="22"/>
              </w:rPr>
              <w:t>D3 — Correct Answer Validity</w:t>
            </w:r>
          </w:p>
        </w:tc>
        <w:tc>
          <w:tcPr>
            <w:tcW w:w="2160" w:type="dxa"/>
            <w:tcBorders>
              <w:top w:val="nil"/>
              <w:left w:val="nil"/>
              <w:bottom w:val="nil"/>
              <w:right w:val="nil"/>
              <w:insideH w:val="nil"/>
              <w:insideV w:val="nil"/>
            </w:tcBorders>
            <w:shd w:val="clear" w:color="auto" w:fill="FFFFFF"/>
          </w:tcPr>
          <w:p w14:paraId="6558110F">
            <w:pPr>
              <w:spacing w:before="40" w:after="40" w:line="276" w:lineRule="auto"/>
              <w:ind w:firstLine="0"/>
            </w:pPr>
            <w:r>
              <w:rPr>
                <w:rFonts w:ascii="Times New Roman" w:hAnsi="Times New Roman" w:eastAsia="Times New Roman" w:cs="Times New Roman"/>
                <w:b w:val="0"/>
                <w:color w:val="000000"/>
                <w:sz w:val="22"/>
              </w:rPr>
              <w:t>4.885</w:t>
            </w:r>
          </w:p>
        </w:tc>
        <w:tc>
          <w:tcPr>
            <w:tcW w:w="2160" w:type="dxa"/>
            <w:tcBorders>
              <w:top w:val="nil"/>
              <w:left w:val="nil"/>
              <w:bottom w:val="nil"/>
              <w:right w:val="nil"/>
              <w:insideH w:val="nil"/>
              <w:insideV w:val="nil"/>
            </w:tcBorders>
            <w:shd w:val="clear" w:color="auto" w:fill="FFFFFF"/>
          </w:tcPr>
          <w:p w14:paraId="18719ED1">
            <w:pPr>
              <w:spacing w:before="40" w:after="40" w:line="276" w:lineRule="auto"/>
              <w:ind w:firstLine="0"/>
            </w:pPr>
            <w:r>
              <w:rPr>
                <w:rFonts w:ascii="Times New Roman" w:hAnsi="Times New Roman" w:eastAsia="Times New Roman" w:cs="Times New Roman"/>
                <w:b w:val="0"/>
                <w:color w:val="000000"/>
                <w:sz w:val="22"/>
              </w:rPr>
              <w:t>0.645</w:t>
            </w:r>
          </w:p>
        </w:tc>
        <w:tc>
          <w:tcPr>
            <w:tcW w:w="2160" w:type="dxa"/>
            <w:tcBorders>
              <w:top w:val="nil"/>
              <w:left w:val="nil"/>
              <w:bottom w:val="nil"/>
              <w:right w:val="nil"/>
              <w:insideH w:val="nil"/>
              <w:insideV w:val="nil"/>
            </w:tcBorders>
            <w:shd w:val="clear" w:color="auto" w:fill="FFFFFF"/>
          </w:tcPr>
          <w:p w14:paraId="686F142E">
            <w:pPr>
              <w:spacing w:before="40" w:after="40" w:line="276" w:lineRule="auto"/>
              <w:ind w:firstLine="0"/>
            </w:pPr>
            <w:r>
              <w:rPr>
                <w:rFonts w:ascii="Times New Roman" w:hAnsi="Times New Roman" w:eastAsia="Times New Roman" w:cs="Times New Roman"/>
                <w:b w:val="0"/>
                <w:color w:val="000000"/>
                <w:sz w:val="22"/>
              </w:rPr>
              <w:t>5.0</w:t>
            </w:r>
          </w:p>
        </w:tc>
      </w:tr>
      <w:tr w14:paraId="338B925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214036C2">
            <w:pPr>
              <w:spacing w:before="40" w:after="40" w:line="276" w:lineRule="auto"/>
              <w:ind w:firstLine="0"/>
            </w:pPr>
            <w:r>
              <w:rPr>
                <w:rFonts w:ascii="Times New Roman" w:hAnsi="Times New Roman" w:eastAsia="Times New Roman" w:cs="Times New Roman"/>
                <w:b w:val="0"/>
                <w:color w:val="000000"/>
                <w:sz w:val="22"/>
              </w:rPr>
              <w:t>D4 — Distractor Plausibility</w:t>
            </w:r>
          </w:p>
        </w:tc>
        <w:tc>
          <w:tcPr>
            <w:tcW w:w="2160" w:type="dxa"/>
            <w:tcBorders>
              <w:top w:val="nil"/>
              <w:left w:val="nil"/>
              <w:bottom w:val="nil"/>
              <w:right w:val="nil"/>
              <w:insideH w:val="nil"/>
              <w:insideV w:val="nil"/>
            </w:tcBorders>
            <w:shd w:val="clear" w:color="auto" w:fill="FFFFFF"/>
          </w:tcPr>
          <w:p w14:paraId="3B8B015F">
            <w:pPr>
              <w:spacing w:before="40" w:after="40" w:line="276" w:lineRule="auto"/>
              <w:ind w:firstLine="0"/>
            </w:pPr>
            <w:r>
              <w:rPr>
                <w:rFonts w:ascii="Times New Roman" w:hAnsi="Times New Roman" w:eastAsia="Times New Roman" w:cs="Times New Roman"/>
                <w:b w:val="0"/>
                <w:color w:val="000000"/>
                <w:sz w:val="22"/>
              </w:rPr>
              <w:t>3.953</w:t>
            </w:r>
          </w:p>
        </w:tc>
        <w:tc>
          <w:tcPr>
            <w:tcW w:w="2160" w:type="dxa"/>
            <w:tcBorders>
              <w:top w:val="nil"/>
              <w:left w:val="nil"/>
              <w:bottom w:val="nil"/>
              <w:right w:val="nil"/>
              <w:insideH w:val="nil"/>
              <w:insideV w:val="nil"/>
            </w:tcBorders>
            <w:shd w:val="clear" w:color="auto" w:fill="FFFFFF"/>
          </w:tcPr>
          <w:p w14:paraId="64136FFF">
            <w:pPr>
              <w:spacing w:before="40" w:after="40" w:line="276" w:lineRule="auto"/>
              <w:ind w:firstLine="0"/>
            </w:pPr>
            <w:r>
              <w:rPr>
                <w:rFonts w:ascii="Times New Roman" w:hAnsi="Times New Roman" w:eastAsia="Times New Roman" w:cs="Times New Roman"/>
                <w:b w:val="0"/>
                <w:color w:val="000000"/>
                <w:sz w:val="22"/>
              </w:rPr>
              <w:t>0.328</w:t>
            </w:r>
          </w:p>
        </w:tc>
        <w:tc>
          <w:tcPr>
            <w:tcW w:w="2160" w:type="dxa"/>
            <w:tcBorders>
              <w:top w:val="nil"/>
              <w:left w:val="nil"/>
              <w:bottom w:val="nil"/>
              <w:right w:val="nil"/>
              <w:insideH w:val="nil"/>
              <w:insideV w:val="nil"/>
            </w:tcBorders>
            <w:shd w:val="clear" w:color="auto" w:fill="FFFFFF"/>
          </w:tcPr>
          <w:p w14:paraId="4F2BC7BD">
            <w:pPr>
              <w:spacing w:before="40" w:after="40" w:line="276" w:lineRule="auto"/>
              <w:ind w:firstLine="0"/>
            </w:pPr>
            <w:r>
              <w:rPr>
                <w:rFonts w:ascii="Times New Roman" w:hAnsi="Times New Roman" w:eastAsia="Times New Roman" w:cs="Times New Roman"/>
                <w:b w:val="0"/>
                <w:color w:val="000000"/>
                <w:sz w:val="22"/>
              </w:rPr>
              <w:t>4.0</w:t>
            </w:r>
          </w:p>
        </w:tc>
      </w:tr>
      <w:tr w14:paraId="47CF213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30635EA9">
            <w:pPr>
              <w:spacing w:before="40" w:after="40" w:line="276" w:lineRule="auto"/>
              <w:ind w:firstLine="0"/>
            </w:pPr>
            <w:r>
              <w:rPr>
                <w:rFonts w:ascii="Times New Roman" w:hAnsi="Times New Roman" w:eastAsia="Times New Roman" w:cs="Times New Roman"/>
                <w:b w:val="0"/>
                <w:color w:val="000000"/>
                <w:sz w:val="22"/>
              </w:rPr>
              <w:t>D5 — Bloom Alignment</w:t>
            </w:r>
          </w:p>
        </w:tc>
        <w:tc>
          <w:tcPr>
            <w:tcW w:w="2160" w:type="dxa"/>
            <w:tcBorders>
              <w:top w:val="nil"/>
              <w:left w:val="nil"/>
              <w:bottom w:val="nil"/>
              <w:right w:val="nil"/>
              <w:insideH w:val="nil"/>
              <w:insideV w:val="nil"/>
            </w:tcBorders>
            <w:shd w:val="clear" w:color="auto" w:fill="FFFFFF"/>
          </w:tcPr>
          <w:p w14:paraId="2A001BFD">
            <w:pPr>
              <w:spacing w:before="40" w:after="40" w:line="276" w:lineRule="auto"/>
              <w:ind w:firstLine="0"/>
            </w:pPr>
            <w:r>
              <w:rPr>
                <w:rFonts w:ascii="Times New Roman" w:hAnsi="Times New Roman" w:eastAsia="Times New Roman" w:cs="Times New Roman"/>
                <w:b w:val="0"/>
                <w:color w:val="000000"/>
                <w:sz w:val="22"/>
              </w:rPr>
              <w:t>4.724</w:t>
            </w:r>
          </w:p>
        </w:tc>
        <w:tc>
          <w:tcPr>
            <w:tcW w:w="2160" w:type="dxa"/>
            <w:tcBorders>
              <w:top w:val="nil"/>
              <w:left w:val="nil"/>
              <w:bottom w:val="nil"/>
              <w:right w:val="nil"/>
              <w:insideH w:val="nil"/>
              <w:insideV w:val="nil"/>
            </w:tcBorders>
            <w:shd w:val="clear" w:color="auto" w:fill="FFFFFF"/>
          </w:tcPr>
          <w:p w14:paraId="3DF86023">
            <w:pPr>
              <w:spacing w:before="40" w:after="40" w:line="276" w:lineRule="auto"/>
              <w:ind w:firstLine="0"/>
            </w:pPr>
            <w:r>
              <w:rPr>
                <w:rFonts w:ascii="Times New Roman" w:hAnsi="Times New Roman" w:eastAsia="Times New Roman" w:cs="Times New Roman"/>
                <w:b w:val="0"/>
                <w:color w:val="000000"/>
                <w:sz w:val="22"/>
              </w:rPr>
              <w:t>0.703</w:t>
            </w:r>
          </w:p>
        </w:tc>
        <w:tc>
          <w:tcPr>
            <w:tcW w:w="2160" w:type="dxa"/>
            <w:tcBorders>
              <w:top w:val="nil"/>
              <w:left w:val="nil"/>
              <w:bottom w:val="nil"/>
              <w:right w:val="nil"/>
              <w:insideH w:val="nil"/>
              <w:insideV w:val="nil"/>
            </w:tcBorders>
            <w:shd w:val="clear" w:color="auto" w:fill="FFFFFF"/>
          </w:tcPr>
          <w:p w14:paraId="1E9E15F3">
            <w:pPr>
              <w:spacing w:before="40" w:after="40" w:line="276" w:lineRule="auto"/>
              <w:ind w:firstLine="0"/>
            </w:pPr>
            <w:r>
              <w:rPr>
                <w:rFonts w:ascii="Times New Roman" w:hAnsi="Times New Roman" w:eastAsia="Times New Roman" w:cs="Times New Roman"/>
                <w:b w:val="0"/>
                <w:color w:val="000000"/>
                <w:sz w:val="22"/>
              </w:rPr>
              <w:t>5.0</w:t>
            </w:r>
          </w:p>
        </w:tc>
      </w:tr>
      <w:tr w14:paraId="79E402A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668DA105">
            <w:pPr>
              <w:spacing w:before="40" w:after="40" w:line="276" w:lineRule="auto"/>
              <w:ind w:firstLine="0"/>
            </w:pPr>
            <w:r>
              <w:rPr>
                <w:rFonts w:ascii="Times New Roman" w:hAnsi="Times New Roman" w:eastAsia="Times New Roman" w:cs="Times New Roman"/>
                <w:b w:val="0"/>
                <w:color w:val="000000"/>
                <w:sz w:val="22"/>
              </w:rPr>
              <w:t>D6 — Topic &amp; LO Alignment</w:t>
            </w:r>
          </w:p>
        </w:tc>
        <w:tc>
          <w:tcPr>
            <w:tcW w:w="2160" w:type="dxa"/>
            <w:tcBorders>
              <w:top w:val="nil"/>
              <w:left w:val="nil"/>
              <w:bottom w:val="nil"/>
              <w:right w:val="nil"/>
              <w:insideH w:val="nil"/>
              <w:insideV w:val="nil"/>
            </w:tcBorders>
            <w:shd w:val="clear" w:color="auto" w:fill="FFFFFF"/>
          </w:tcPr>
          <w:p w14:paraId="1935D1DC">
            <w:pPr>
              <w:spacing w:before="40" w:after="40" w:line="276" w:lineRule="auto"/>
              <w:ind w:firstLine="0"/>
            </w:pPr>
            <w:r>
              <w:rPr>
                <w:rFonts w:ascii="Times New Roman" w:hAnsi="Times New Roman" w:eastAsia="Times New Roman" w:cs="Times New Roman"/>
                <w:b w:val="0"/>
                <w:color w:val="000000"/>
                <w:sz w:val="22"/>
              </w:rPr>
              <w:t>4.948</w:t>
            </w:r>
          </w:p>
        </w:tc>
        <w:tc>
          <w:tcPr>
            <w:tcW w:w="2160" w:type="dxa"/>
            <w:tcBorders>
              <w:top w:val="nil"/>
              <w:left w:val="nil"/>
              <w:bottom w:val="nil"/>
              <w:right w:val="nil"/>
              <w:insideH w:val="nil"/>
              <w:insideV w:val="nil"/>
            </w:tcBorders>
            <w:shd w:val="clear" w:color="auto" w:fill="FFFFFF"/>
          </w:tcPr>
          <w:p w14:paraId="0EAA13F3">
            <w:pPr>
              <w:spacing w:before="40" w:after="40" w:line="276" w:lineRule="auto"/>
              <w:ind w:firstLine="0"/>
            </w:pPr>
            <w:r>
              <w:rPr>
                <w:rFonts w:ascii="Times New Roman" w:hAnsi="Times New Roman" w:eastAsia="Times New Roman" w:cs="Times New Roman"/>
                <w:b w:val="0"/>
                <w:color w:val="000000"/>
                <w:sz w:val="22"/>
              </w:rPr>
              <w:t>0.365</w:t>
            </w:r>
          </w:p>
        </w:tc>
        <w:tc>
          <w:tcPr>
            <w:tcW w:w="2160" w:type="dxa"/>
            <w:tcBorders>
              <w:top w:val="nil"/>
              <w:left w:val="nil"/>
              <w:bottom w:val="nil"/>
              <w:right w:val="nil"/>
              <w:insideH w:val="nil"/>
              <w:insideV w:val="nil"/>
            </w:tcBorders>
            <w:shd w:val="clear" w:color="auto" w:fill="FFFFFF"/>
          </w:tcPr>
          <w:p w14:paraId="31DCDEEC">
            <w:pPr>
              <w:spacing w:before="40" w:after="40" w:line="276" w:lineRule="auto"/>
              <w:ind w:firstLine="0"/>
            </w:pPr>
            <w:r>
              <w:rPr>
                <w:rFonts w:ascii="Times New Roman" w:hAnsi="Times New Roman" w:eastAsia="Times New Roman" w:cs="Times New Roman"/>
                <w:b w:val="0"/>
                <w:color w:val="000000"/>
                <w:sz w:val="22"/>
              </w:rPr>
              <w:t>5.0</w:t>
            </w:r>
          </w:p>
        </w:tc>
      </w:tr>
      <w:tr w14:paraId="5B5FF4D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single" w:color="000000" w:sz="12" w:space="0"/>
              <w:right w:val="nil"/>
              <w:insideH w:val="nil"/>
              <w:insideV w:val="nil"/>
            </w:tcBorders>
            <w:shd w:val="clear" w:color="auto" w:fill="FFFFFF"/>
          </w:tcPr>
          <w:p w14:paraId="2EE77FF8">
            <w:pPr>
              <w:spacing w:before="40" w:after="40" w:line="276" w:lineRule="auto"/>
              <w:ind w:firstLine="0"/>
            </w:pPr>
            <w:r>
              <w:rPr>
                <w:rFonts w:ascii="Times New Roman" w:hAnsi="Times New Roman" w:eastAsia="Times New Roman" w:cs="Times New Roman"/>
                <w:b w:val="0"/>
                <w:color w:val="000000"/>
                <w:sz w:val="22"/>
              </w:rPr>
              <w:t>CMQS (Composite)</w:t>
            </w:r>
          </w:p>
        </w:tc>
        <w:tc>
          <w:tcPr>
            <w:tcW w:w="2160" w:type="dxa"/>
            <w:tcBorders>
              <w:top w:val="nil"/>
              <w:left w:val="nil"/>
              <w:bottom w:val="single" w:color="000000" w:sz="12" w:space="0"/>
              <w:right w:val="nil"/>
              <w:insideH w:val="nil"/>
              <w:insideV w:val="nil"/>
            </w:tcBorders>
            <w:shd w:val="clear" w:color="auto" w:fill="FFFFFF"/>
          </w:tcPr>
          <w:p w14:paraId="5F8668F2">
            <w:pPr>
              <w:spacing w:before="40" w:after="40" w:line="276" w:lineRule="auto"/>
              <w:ind w:firstLine="0"/>
            </w:pPr>
            <w:r>
              <w:rPr>
                <w:rFonts w:ascii="Times New Roman" w:hAnsi="Times New Roman" w:eastAsia="Times New Roman" w:cs="Times New Roman"/>
                <w:b w:val="0"/>
                <w:color w:val="000000"/>
                <w:sz w:val="22"/>
              </w:rPr>
              <w:t>4.614</w:t>
            </w:r>
          </w:p>
        </w:tc>
        <w:tc>
          <w:tcPr>
            <w:tcW w:w="2160" w:type="dxa"/>
            <w:tcBorders>
              <w:top w:val="nil"/>
              <w:left w:val="nil"/>
              <w:bottom w:val="single" w:color="000000" w:sz="12" w:space="0"/>
              <w:right w:val="nil"/>
              <w:insideH w:val="nil"/>
              <w:insideV w:val="nil"/>
            </w:tcBorders>
            <w:shd w:val="clear" w:color="auto" w:fill="FFFFFF"/>
          </w:tcPr>
          <w:p w14:paraId="547B7365">
            <w:pPr>
              <w:spacing w:before="40" w:after="40" w:line="276" w:lineRule="auto"/>
              <w:ind w:firstLine="0"/>
            </w:pPr>
            <w:r>
              <w:rPr>
                <w:rFonts w:ascii="Times New Roman" w:hAnsi="Times New Roman" w:eastAsia="Times New Roman" w:cs="Times New Roman"/>
                <w:b w:val="0"/>
                <w:color w:val="000000"/>
                <w:sz w:val="22"/>
              </w:rPr>
              <w:t>0.399</w:t>
            </w:r>
          </w:p>
        </w:tc>
        <w:tc>
          <w:tcPr>
            <w:tcW w:w="2160" w:type="dxa"/>
            <w:tcBorders>
              <w:top w:val="nil"/>
              <w:left w:val="nil"/>
              <w:bottom w:val="single" w:color="000000" w:sz="12" w:space="0"/>
              <w:right w:val="nil"/>
              <w:insideH w:val="nil"/>
              <w:insideV w:val="nil"/>
            </w:tcBorders>
            <w:shd w:val="clear" w:color="auto" w:fill="FFFFFF"/>
          </w:tcPr>
          <w:p w14:paraId="7847EEB9">
            <w:pPr>
              <w:spacing w:before="40" w:after="40" w:line="276" w:lineRule="auto"/>
              <w:ind w:firstLine="0"/>
            </w:pPr>
            <w:r>
              <w:rPr>
                <w:rFonts w:ascii="Times New Roman" w:hAnsi="Times New Roman" w:eastAsia="Times New Roman" w:cs="Times New Roman"/>
                <w:b w:val="0"/>
                <w:color w:val="000000"/>
                <w:sz w:val="22"/>
              </w:rPr>
              <w:t>4.80</w:t>
            </w:r>
          </w:p>
        </w:tc>
      </w:tr>
    </w:tbl>
    <w:p w14:paraId="204AB3DB">
      <w:pPr>
        <w:spacing w:before="80" w:after="160" w:line="276" w:lineRule="auto"/>
        <w:ind w:firstLine="0"/>
        <w:jc w:val="center"/>
      </w:pPr>
      <w:r>
        <w:rPr>
          <w:rFonts w:ascii="Arial" w:hAnsi="Arial" w:eastAsia="Arial" w:cs="Arial"/>
          <w:b/>
          <w:i/>
          <w:color w:val="00468C"/>
          <w:sz w:val="20"/>
        </w:rPr>
        <w:t>Table 7.6 — Teacher (Gemini 2.5 Flash Lite) per-dimension judge scores (n = 192).</w:t>
      </w:r>
    </w:p>
    <w:p w14:paraId="101F2D33">
      <w:pPr>
        <w:spacing w:before="0" w:after="0" w:line="360" w:lineRule="auto"/>
        <w:jc w:val="both"/>
      </w:pPr>
      <w:r>
        <w:rPr>
          <w:rFonts w:ascii="Times New Roman" w:hAnsi="Times New Roman" w:eastAsia="Times New Roman" w:cs="Times New Roman"/>
          <w:b w:val="0"/>
          <w:i w:val="0"/>
          <w:sz w:val="24"/>
        </w:rPr>
        <w:t>Two patterns are noteworthy. First, the teacher is essentially saturated on the surface-form dimensions: question clarity (D2 = 4.97) and topic/learning-objective alignment (D6 = 4.95) leave virtually no headroom, which means any student trained on this teacher inherits an already-clean prompt and stem distribution. Second, distractor plausibility (D4 = 3.95) is by a wide margin the teacher's weakest dimension. This is the most important observation in Table 7.6 for the rest of the chapter, because it places a hard ceiling on what distillation can achieve: a student cannot exceed teacher behaviour on D4 unless an additional inductive signal (such as the NLI paraphrase check inside S3) is added. The Bloom breakdown shows a similar story — the teacher is strongest on Understand/Apply/Analyze (4.68–4.72) and weakest on Remember (4.07, n = 7) and Create (4.32, n = 13), reflecting Gemini's well-known preference for conceptual over recall-style questions and a sparse sample for higher-order generative tasks. Taken together, the teacher constitutes a strong but imperfect distillation target: its strengths align with what the educational pipeline most needs (clear, on-topic, cognitively-aligned stems), while its weaknesses (plausible distractors, Remember-level coverage) define the failure modes the student is expected to inherit.</w:t>
      </w:r>
    </w:p>
    <w:p w14:paraId="2BB23D02">
      <w:pPr>
        <w:pStyle w:val="4"/>
        <w:spacing w:before="240" w:after="120" w:line="276" w:lineRule="auto"/>
        <w:ind w:firstLine="0"/>
        <w:jc w:val="left"/>
      </w:pPr>
      <w:r>
        <w:rPr>
          <w:rFonts w:ascii="Times New Roman" w:hAnsi="Times New Roman" w:eastAsia="Times New Roman" w:cs="Times New Roman"/>
          <w:b/>
          <w:color w:val="002855"/>
          <w:sz w:val="24"/>
        </w:rPr>
        <w:t>7.2.2  Student Model Performance Before Fine-Tuning</w:t>
      </w:r>
    </w:p>
    <w:p w14:paraId="300D6610">
      <w:pPr>
        <w:spacing w:before="0" w:after="0" w:line="360" w:lineRule="auto"/>
        <w:ind w:firstLine="720"/>
        <w:jc w:val="both"/>
      </w:pPr>
      <w:r>
        <w:rPr>
          <w:rFonts w:ascii="Times New Roman" w:hAnsi="Times New Roman" w:eastAsia="Times New Roman" w:cs="Times New Roman"/>
          <w:b w:val="0"/>
          <w:i w:val="0"/>
          <w:sz w:val="24"/>
        </w:rPr>
        <w:t>The base Qwen2.5-1.5B model was evaluated under the identical prompt and judging protocol. Of the 191 slots that produced output, only 165 (86.4%) survived the S1 schema check, and the surviving items scored CMQS = 3.954 ± 0.996. Table 7.7 contrasts the pre-fine-tuning student with the teacher.</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160"/>
        <w:gridCol w:w="2160"/>
        <w:gridCol w:w="2160"/>
        <w:gridCol w:w="2160"/>
      </w:tblGrid>
      <w:tr w14:paraId="20182DB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single" w:color="000000" w:sz="12" w:space="0"/>
              <w:left w:val="nil"/>
              <w:bottom w:val="single" w:color="000000" w:sz="6" w:space="0"/>
              <w:right w:val="nil"/>
              <w:insideH w:val="nil"/>
              <w:insideV w:val="nil"/>
            </w:tcBorders>
            <w:shd w:val="clear" w:color="auto" w:fill="00468C"/>
          </w:tcPr>
          <w:p w14:paraId="21D91D03">
            <w:pPr>
              <w:spacing w:before="40" w:after="40" w:line="276" w:lineRule="auto"/>
              <w:ind w:firstLine="0"/>
            </w:pPr>
            <w:r>
              <w:rPr>
                <w:rFonts w:ascii="Arial" w:hAnsi="Arial" w:eastAsia="Arial" w:cs="Arial"/>
                <w:b/>
                <w:color w:val="FFFFFF"/>
                <w:sz w:val="20"/>
              </w:rPr>
              <w:t>Dimension</w:t>
            </w:r>
          </w:p>
        </w:tc>
        <w:tc>
          <w:tcPr>
            <w:tcW w:w="2160" w:type="dxa"/>
            <w:tcBorders>
              <w:top w:val="single" w:color="000000" w:sz="12" w:space="0"/>
              <w:left w:val="nil"/>
              <w:bottom w:val="single" w:color="000000" w:sz="6" w:space="0"/>
              <w:right w:val="nil"/>
              <w:insideH w:val="nil"/>
              <w:insideV w:val="nil"/>
            </w:tcBorders>
            <w:shd w:val="clear" w:color="auto" w:fill="00468C"/>
          </w:tcPr>
          <w:p w14:paraId="6178C722">
            <w:pPr>
              <w:spacing w:before="40" w:after="40" w:line="276" w:lineRule="auto"/>
              <w:ind w:firstLine="0"/>
            </w:pPr>
            <w:r>
              <w:rPr>
                <w:rFonts w:ascii="Arial" w:hAnsi="Arial" w:eastAsia="Arial" w:cs="Arial"/>
                <w:b/>
                <w:color w:val="FFFFFF"/>
                <w:sz w:val="20"/>
              </w:rPr>
              <w:t>Teacher</w:t>
            </w:r>
          </w:p>
        </w:tc>
        <w:tc>
          <w:tcPr>
            <w:tcW w:w="2160" w:type="dxa"/>
            <w:tcBorders>
              <w:top w:val="single" w:color="000000" w:sz="12" w:space="0"/>
              <w:left w:val="nil"/>
              <w:bottom w:val="single" w:color="000000" w:sz="6" w:space="0"/>
              <w:right w:val="nil"/>
              <w:insideH w:val="nil"/>
              <w:insideV w:val="nil"/>
            </w:tcBorders>
            <w:shd w:val="clear" w:color="auto" w:fill="00468C"/>
          </w:tcPr>
          <w:p w14:paraId="1B6C998A">
            <w:pPr>
              <w:spacing w:before="40" w:after="40" w:line="276" w:lineRule="auto"/>
              <w:ind w:firstLine="0"/>
            </w:pPr>
            <w:r>
              <w:rPr>
                <w:rFonts w:ascii="Arial" w:hAnsi="Arial" w:eastAsia="Arial" w:cs="Arial"/>
                <w:b/>
                <w:color w:val="FFFFFF"/>
                <w:sz w:val="20"/>
              </w:rPr>
              <w:t>Pre-FT Student</w:t>
            </w:r>
          </w:p>
        </w:tc>
        <w:tc>
          <w:tcPr>
            <w:tcW w:w="2160" w:type="dxa"/>
            <w:tcBorders>
              <w:top w:val="single" w:color="000000" w:sz="12" w:space="0"/>
              <w:left w:val="nil"/>
              <w:bottom w:val="single" w:color="000000" w:sz="6" w:space="0"/>
              <w:right w:val="nil"/>
              <w:insideH w:val="nil"/>
              <w:insideV w:val="nil"/>
            </w:tcBorders>
            <w:shd w:val="clear" w:color="auto" w:fill="00468C"/>
          </w:tcPr>
          <w:p w14:paraId="6A13C447">
            <w:pPr>
              <w:spacing w:before="40" w:after="40" w:line="276" w:lineRule="auto"/>
              <w:ind w:firstLine="0"/>
            </w:pPr>
            <w:r>
              <w:rPr>
                <w:rFonts w:ascii="Arial" w:hAnsi="Arial" w:eastAsia="Arial" w:cs="Arial"/>
                <w:b/>
                <w:color w:val="FFFFFF"/>
                <w:sz w:val="20"/>
              </w:rPr>
              <w:t>Δ (Teacher − Pre-FT)</w:t>
            </w:r>
          </w:p>
        </w:tc>
      </w:tr>
      <w:tr w14:paraId="7CA25C5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70C57A05">
            <w:pPr>
              <w:spacing w:before="40" w:after="40" w:line="276" w:lineRule="auto"/>
              <w:ind w:firstLine="0"/>
            </w:pPr>
            <w:r>
              <w:rPr>
                <w:rFonts w:ascii="Times New Roman" w:hAnsi="Times New Roman" w:eastAsia="Times New Roman" w:cs="Times New Roman"/>
                <w:b w:val="0"/>
                <w:color w:val="000000"/>
                <w:sz w:val="22"/>
              </w:rPr>
              <w:t>D1 — Factual Grounding</w:t>
            </w:r>
          </w:p>
        </w:tc>
        <w:tc>
          <w:tcPr>
            <w:tcW w:w="2160" w:type="dxa"/>
            <w:tcBorders>
              <w:top w:val="nil"/>
              <w:left w:val="nil"/>
              <w:bottom w:val="nil"/>
              <w:right w:val="nil"/>
              <w:insideH w:val="nil"/>
              <w:insideV w:val="nil"/>
            </w:tcBorders>
            <w:shd w:val="clear" w:color="auto" w:fill="FFFFFF"/>
          </w:tcPr>
          <w:p w14:paraId="0DE83B3C">
            <w:pPr>
              <w:spacing w:before="40" w:after="40" w:line="276" w:lineRule="auto"/>
              <w:ind w:firstLine="0"/>
            </w:pPr>
            <w:r>
              <w:rPr>
                <w:rFonts w:ascii="Times New Roman" w:hAnsi="Times New Roman" w:eastAsia="Times New Roman" w:cs="Times New Roman"/>
                <w:b w:val="0"/>
                <w:color w:val="000000"/>
                <w:sz w:val="22"/>
              </w:rPr>
              <w:t>4.583</w:t>
            </w:r>
          </w:p>
        </w:tc>
        <w:tc>
          <w:tcPr>
            <w:tcW w:w="2160" w:type="dxa"/>
            <w:tcBorders>
              <w:top w:val="nil"/>
              <w:left w:val="nil"/>
              <w:bottom w:val="nil"/>
              <w:right w:val="nil"/>
              <w:insideH w:val="nil"/>
              <w:insideV w:val="nil"/>
            </w:tcBorders>
            <w:shd w:val="clear" w:color="auto" w:fill="FFFFFF"/>
          </w:tcPr>
          <w:p w14:paraId="600645BE">
            <w:pPr>
              <w:spacing w:before="40" w:after="40" w:line="276" w:lineRule="auto"/>
              <w:ind w:firstLine="0"/>
            </w:pPr>
            <w:r>
              <w:rPr>
                <w:rFonts w:ascii="Times New Roman" w:hAnsi="Times New Roman" w:eastAsia="Times New Roman" w:cs="Times New Roman"/>
                <w:b w:val="0"/>
                <w:color w:val="000000"/>
                <w:sz w:val="22"/>
              </w:rPr>
              <w:t>3.533</w:t>
            </w:r>
          </w:p>
        </w:tc>
        <w:tc>
          <w:tcPr>
            <w:tcW w:w="2160" w:type="dxa"/>
            <w:tcBorders>
              <w:top w:val="nil"/>
              <w:left w:val="nil"/>
              <w:bottom w:val="nil"/>
              <w:right w:val="nil"/>
              <w:insideH w:val="nil"/>
              <w:insideV w:val="nil"/>
            </w:tcBorders>
            <w:shd w:val="clear" w:color="auto" w:fill="FFFFFF"/>
          </w:tcPr>
          <w:p w14:paraId="70ED26B7">
            <w:pPr>
              <w:spacing w:before="40" w:after="40" w:line="276" w:lineRule="auto"/>
              <w:ind w:firstLine="0"/>
            </w:pPr>
            <w:r>
              <w:rPr>
                <w:rFonts w:ascii="Times New Roman" w:hAnsi="Times New Roman" w:eastAsia="Times New Roman" w:cs="Times New Roman"/>
                <w:b w:val="0"/>
                <w:color w:val="000000"/>
                <w:sz w:val="22"/>
              </w:rPr>
              <w:t>+1.050</w:t>
            </w:r>
          </w:p>
        </w:tc>
      </w:tr>
      <w:tr w14:paraId="018119E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54534E50">
            <w:pPr>
              <w:spacing w:before="40" w:after="40" w:line="276" w:lineRule="auto"/>
              <w:ind w:firstLine="0"/>
            </w:pPr>
            <w:r>
              <w:rPr>
                <w:rFonts w:ascii="Times New Roman" w:hAnsi="Times New Roman" w:eastAsia="Times New Roman" w:cs="Times New Roman"/>
                <w:b w:val="0"/>
                <w:color w:val="000000"/>
                <w:sz w:val="22"/>
              </w:rPr>
              <w:t>D2 — Question Clarity</w:t>
            </w:r>
          </w:p>
        </w:tc>
        <w:tc>
          <w:tcPr>
            <w:tcW w:w="2160" w:type="dxa"/>
            <w:tcBorders>
              <w:top w:val="nil"/>
              <w:left w:val="nil"/>
              <w:bottom w:val="nil"/>
              <w:right w:val="nil"/>
              <w:insideH w:val="nil"/>
              <w:insideV w:val="nil"/>
            </w:tcBorders>
            <w:shd w:val="clear" w:color="auto" w:fill="FFFFFF"/>
          </w:tcPr>
          <w:p w14:paraId="5B224836">
            <w:pPr>
              <w:spacing w:before="40" w:after="40" w:line="276" w:lineRule="auto"/>
              <w:ind w:firstLine="0"/>
            </w:pPr>
            <w:r>
              <w:rPr>
                <w:rFonts w:ascii="Times New Roman" w:hAnsi="Times New Roman" w:eastAsia="Times New Roman" w:cs="Times New Roman"/>
                <w:b w:val="0"/>
                <w:color w:val="000000"/>
                <w:sz w:val="22"/>
              </w:rPr>
              <w:t>4.969</w:t>
            </w:r>
          </w:p>
        </w:tc>
        <w:tc>
          <w:tcPr>
            <w:tcW w:w="2160" w:type="dxa"/>
            <w:tcBorders>
              <w:top w:val="nil"/>
              <w:left w:val="nil"/>
              <w:bottom w:val="nil"/>
              <w:right w:val="nil"/>
              <w:insideH w:val="nil"/>
              <w:insideV w:val="nil"/>
            </w:tcBorders>
            <w:shd w:val="clear" w:color="auto" w:fill="FFFFFF"/>
          </w:tcPr>
          <w:p w14:paraId="07FB69FB">
            <w:pPr>
              <w:spacing w:before="40" w:after="40" w:line="276" w:lineRule="auto"/>
              <w:ind w:firstLine="0"/>
            </w:pPr>
            <w:r>
              <w:rPr>
                <w:rFonts w:ascii="Times New Roman" w:hAnsi="Times New Roman" w:eastAsia="Times New Roman" w:cs="Times New Roman"/>
                <w:b w:val="0"/>
                <w:color w:val="000000"/>
                <w:sz w:val="22"/>
              </w:rPr>
              <w:t>4.854</w:t>
            </w:r>
          </w:p>
        </w:tc>
        <w:tc>
          <w:tcPr>
            <w:tcW w:w="2160" w:type="dxa"/>
            <w:tcBorders>
              <w:top w:val="nil"/>
              <w:left w:val="nil"/>
              <w:bottom w:val="nil"/>
              <w:right w:val="nil"/>
              <w:insideH w:val="nil"/>
              <w:insideV w:val="nil"/>
            </w:tcBorders>
            <w:shd w:val="clear" w:color="auto" w:fill="FFFFFF"/>
          </w:tcPr>
          <w:p w14:paraId="4E2C7B27">
            <w:pPr>
              <w:spacing w:before="40" w:after="40" w:line="276" w:lineRule="auto"/>
              <w:ind w:firstLine="0"/>
            </w:pPr>
            <w:r>
              <w:rPr>
                <w:rFonts w:ascii="Times New Roman" w:hAnsi="Times New Roman" w:eastAsia="Times New Roman" w:cs="Times New Roman"/>
                <w:b w:val="0"/>
                <w:color w:val="000000"/>
                <w:sz w:val="22"/>
              </w:rPr>
              <w:t>+0.115</w:t>
            </w:r>
          </w:p>
        </w:tc>
      </w:tr>
      <w:tr w14:paraId="48BC21F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634242B9">
            <w:pPr>
              <w:spacing w:before="40" w:after="40" w:line="276" w:lineRule="auto"/>
              <w:ind w:firstLine="0"/>
            </w:pPr>
            <w:r>
              <w:rPr>
                <w:rFonts w:ascii="Times New Roman" w:hAnsi="Times New Roman" w:eastAsia="Times New Roman" w:cs="Times New Roman"/>
                <w:b w:val="0"/>
                <w:color w:val="000000"/>
                <w:sz w:val="22"/>
              </w:rPr>
              <w:t>D3 — Correct Answer Validity</w:t>
            </w:r>
          </w:p>
        </w:tc>
        <w:tc>
          <w:tcPr>
            <w:tcW w:w="2160" w:type="dxa"/>
            <w:tcBorders>
              <w:top w:val="nil"/>
              <w:left w:val="nil"/>
              <w:bottom w:val="nil"/>
              <w:right w:val="nil"/>
              <w:insideH w:val="nil"/>
              <w:insideV w:val="nil"/>
            </w:tcBorders>
            <w:shd w:val="clear" w:color="auto" w:fill="FFFFFF"/>
          </w:tcPr>
          <w:p w14:paraId="0E1407A0">
            <w:pPr>
              <w:spacing w:before="40" w:after="40" w:line="276" w:lineRule="auto"/>
              <w:ind w:firstLine="0"/>
            </w:pPr>
            <w:r>
              <w:rPr>
                <w:rFonts w:ascii="Times New Roman" w:hAnsi="Times New Roman" w:eastAsia="Times New Roman" w:cs="Times New Roman"/>
                <w:b w:val="0"/>
                <w:color w:val="000000"/>
                <w:sz w:val="22"/>
              </w:rPr>
              <w:t>4.885</w:t>
            </w:r>
          </w:p>
        </w:tc>
        <w:tc>
          <w:tcPr>
            <w:tcW w:w="2160" w:type="dxa"/>
            <w:tcBorders>
              <w:top w:val="nil"/>
              <w:left w:val="nil"/>
              <w:bottom w:val="nil"/>
              <w:right w:val="nil"/>
              <w:insideH w:val="nil"/>
              <w:insideV w:val="nil"/>
            </w:tcBorders>
            <w:shd w:val="clear" w:color="auto" w:fill="FFFFFF"/>
          </w:tcPr>
          <w:p w14:paraId="0E408F85">
            <w:pPr>
              <w:spacing w:before="40" w:after="40" w:line="276" w:lineRule="auto"/>
              <w:ind w:firstLine="0"/>
            </w:pPr>
            <w:r>
              <w:rPr>
                <w:rFonts w:ascii="Times New Roman" w:hAnsi="Times New Roman" w:eastAsia="Times New Roman" w:cs="Times New Roman"/>
                <w:b w:val="0"/>
                <w:color w:val="000000"/>
                <w:sz w:val="22"/>
              </w:rPr>
              <w:t>3.909</w:t>
            </w:r>
          </w:p>
        </w:tc>
        <w:tc>
          <w:tcPr>
            <w:tcW w:w="2160" w:type="dxa"/>
            <w:tcBorders>
              <w:top w:val="nil"/>
              <w:left w:val="nil"/>
              <w:bottom w:val="nil"/>
              <w:right w:val="nil"/>
              <w:insideH w:val="nil"/>
              <w:insideV w:val="nil"/>
            </w:tcBorders>
            <w:shd w:val="clear" w:color="auto" w:fill="FFFFFF"/>
          </w:tcPr>
          <w:p w14:paraId="7D9358A0">
            <w:pPr>
              <w:spacing w:before="40" w:after="40" w:line="276" w:lineRule="auto"/>
              <w:ind w:firstLine="0"/>
            </w:pPr>
            <w:r>
              <w:rPr>
                <w:rFonts w:ascii="Times New Roman" w:hAnsi="Times New Roman" w:eastAsia="Times New Roman" w:cs="Times New Roman"/>
                <w:b w:val="0"/>
                <w:color w:val="000000"/>
                <w:sz w:val="22"/>
              </w:rPr>
              <w:t>+0.976</w:t>
            </w:r>
          </w:p>
        </w:tc>
      </w:tr>
      <w:tr w14:paraId="1F003A8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7BCFE18D">
            <w:pPr>
              <w:spacing w:before="40" w:after="40" w:line="276" w:lineRule="auto"/>
              <w:ind w:firstLine="0"/>
            </w:pPr>
            <w:r>
              <w:rPr>
                <w:rFonts w:ascii="Times New Roman" w:hAnsi="Times New Roman" w:eastAsia="Times New Roman" w:cs="Times New Roman"/>
                <w:b w:val="0"/>
                <w:color w:val="000000"/>
                <w:sz w:val="22"/>
              </w:rPr>
              <w:t>D4 — Distractor Plausibility</w:t>
            </w:r>
          </w:p>
        </w:tc>
        <w:tc>
          <w:tcPr>
            <w:tcW w:w="2160" w:type="dxa"/>
            <w:tcBorders>
              <w:top w:val="nil"/>
              <w:left w:val="nil"/>
              <w:bottom w:val="nil"/>
              <w:right w:val="nil"/>
              <w:insideH w:val="nil"/>
              <w:insideV w:val="nil"/>
            </w:tcBorders>
            <w:shd w:val="clear" w:color="auto" w:fill="FFFFFF"/>
          </w:tcPr>
          <w:p w14:paraId="37EAA521">
            <w:pPr>
              <w:spacing w:before="40" w:after="40" w:line="276" w:lineRule="auto"/>
              <w:ind w:firstLine="0"/>
            </w:pPr>
            <w:r>
              <w:rPr>
                <w:rFonts w:ascii="Times New Roman" w:hAnsi="Times New Roman" w:eastAsia="Times New Roman" w:cs="Times New Roman"/>
                <w:b w:val="0"/>
                <w:color w:val="000000"/>
                <w:sz w:val="22"/>
              </w:rPr>
              <w:t>3.953</w:t>
            </w:r>
          </w:p>
        </w:tc>
        <w:tc>
          <w:tcPr>
            <w:tcW w:w="2160" w:type="dxa"/>
            <w:tcBorders>
              <w:top w:val="nil"/>
              <w:left w:val="nil"/>
              <w:bottom w:val="nil"/>
              <w:right w:val="nil"/>
              <w:insideH w:val="nil"/>
              <w:insideV w:val="nil"/>
            </w:tcBorders>
            <w:shd w:val="clear" w:color="auto" w:fill="FFFFFF"/>
          </w:tcPr>
          <w:p w14:paraId="3F9C6459">
            <w:pPr>
              <w:spacing w:before="40" w:after="40" w:line="276" w:lineRule="auto"/>
              <w:ind w:firstLine="0"/>
            </w:pPr>
            <w:r>
              <w:rPr>
                <w:rFonts w:ascii="Times New Roman" w:hAnsi="Times New Roman" w:eastAsia="Times New Roman" w:cs="Times New Roman"/>
                <w:b w:val="0"/>
                <w:color w:val="000000"/>
                <w:sz w:val="22"/>
              </w:rPr>
              <w:t>3.691</w:t>
            </w:r>
          </w:p>
        </w:tc>
        <w:tc>
          <w:tcPr>
            <w:tcW w:w="2160" w:type="dxa"/>
            <w:tcBorders>
              <w:top w:val="nil"/>
              <w:left w:val="nil"/>
              <w:bottom w:val="nil"/>
              <w:right w:val="nil"/>
              <w:insideH w:val="nil"/>
              <w:insideV w:val="nil"/>
            </w:tcBorders>
            <w:shd w:val="clear" w:color="auto" w:fill="FFFFFF"/>
          </w:tcPr>
          <w:p w14:paraId="28D97366">
            <w:pPr>
              <w:spacing w:before="40" w:after="40" w:line="276" w:lineRule="auto"/>
              <w:ind w:firstLine="0"/>
            </w:pPr>
            <w:r>
              <w:rPr>
                <w:rFonts w:ascii="Times New Roman" w:hAnsi="Times New Roman" w:eastAsia="Times New Roman" w:cs="Times New Roman"/>
                <w:b w:val="0"/>
                <w:color w:val="000000"/>
                <w:sz w:val="22"/>
              </w:rPr>
              <w:t>+0.262</w:t>
            </w:r>
          </w:p>
        </w:tc>
      </w:tr>
      <w:tr w14:paraId="67E3382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739937E3">
            <w:pPr>
              <w:spacing w:before="40" w:after="40" w:line="276" w:lineRule="auto"/>
              <w:ind w:firstLine="0"/>
            </w:pPr>
            <w:r>
              <w:rPr>
                <w:rFonts w:ascii="Times New Roman" w:hAnsi="Times New Roman" w:eastAsia="Times New Roman" w:cs="Times New Roman"/>
                <w:b w:val="0"/>
                <w:color w:val="000000"/>
                <w:sz w:val="22"/>
              </w:rPr>
              <w:t>D5 — Bloom Alignment</w:t>
            </w:r>
          </w:p>
        </w:tc>
        <w:tc>
          <w:tcPr>
            <w:tcW w:w="2160" w:type="dxa"/>
            <w:tcBorders>
              <w:top w:val="nil"/>
              <w:left w:val="nil"/>
              <w:bottom w:val="nil"/>
              <w:right w:val="nil"/>
              <w:insideH w:val="nil"/>
              <w:insideV w:val="nil"/>
            </w:tcBorders>
            <w:shd w:val="clear" w:color="auto" w:fill="FFFFFF"/>
          </w:tcPr>
          <w:p w14:paraId="208C790C">
            <w:pPr>
              <w:spacing w:before="40" w:after="40" w:line="276" w:lineRule="auto"/>
              <w:ind w:firstLine="0"/>
            </w:pPr>
            <w:r>
              <w:rPr>
                <w:rFonts w:ascii="Times New Roman" w:hAnsi="Times New Roman" w:eastAsia="Times New Roman" w:cs="Times New Roman"/>
                <w:b w:val="0"/>
                <w:color w:val="000000"/>
                <w:sz w:val="22"/>
              </w:rPr>
              <w:t>4.724</w:t>
            </w:r>
          </w:p>
        </w:tc>
        <w:tc>
          <w:tcPr>
            <w:tcW w:w="2160" w:type="dxa"/>
            <w:tcBorders>
              <w:top w:val="nil"/>
              <w:left w:val="nil"/>
              <w:bottom w:val="nil"/>
              <w:right w:val="nil"/>
              <w:insideH w:val="nil"/>
              <w:insideV w:val="nil"/>
            </w:tcBorders>
            <w:shd w:val="clear" w:color="auto" w:fill="FFFFFF"/>
          </w:tcPr>
          <w:p w14:paraId="7A3703D9">
            <w:pPr>
              <w:spacing w:before="40" w:after="40" w:line="276" w:lineRule="auto"/>
              <w:ind w:firstLine="0"/>
            </w:pPr>
            <w:r>
              <w:rPr>
                <w:rFonts w:ascii="Times New Roman" w:hAnsi="Times New Roman" w:eastAsia="Times New Roman" w:cs="Times New Roman"/>
                <w:b w:val="0"/>
                <w:color w:val="000000"/>
                <w:sz w:val="22"/>
              </w:rPr>
              <w:t>4.042</w:t>
            </w:r>
          </w:p>
        </w:tc>
        <w:tc>
          <w:tcPr>
            <w:tcW w:w="2160" w:type="dxa"/>
            <w:tcBorders>
              <w:top w:val="nil"/>
              <w:left w:val="nil"/>
              <w:bottom w:val="nil"/>
              <w:right w:val="nil"/>
              <w:insideH w:val="nil"/>
              <w:insideV w:val="nil"/>
            </w:tcBorders>
            <w:shd w:val="clear" w:color="auto" w:fill="FFFFFF"/>
          </w:tcPr>
          <w:p w14:paraId="3A68AE7E">
            <w:pPr>
              <w:spacing w:before="40" w:after="40" w:line="276" w:lineRule="auto"/>
              <w:ind w:firstLine="0"/>
            </w:pPr>
            <w:r>
              <w:rPr>
                <w:rFonts w:ascii="Times New Roman" w:hAnsi="Times New Roman" w:eastAsia="Times New Roman" w:cs="Times New Roman"/>
                <w:b w:val="0"/>
                <w:color w:val="000000"/>
                <w:sz w:val="22"/>
              </w:rPr>
              <w:t>+0.682</w:t>
            </w:r>
          </w:p>
        </w:tc>
      </w:tr>
      <w:tr w14:paraId="31530CA7">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3F217359">
            <w:pPr>
              <w:spacing w:before="40" w:after="40" w:line="276" w:lineRule="auto"/>
              <w:ind w:firstLine="0"/>
            </w:pPr>
            <w:r>
              <w:rPr>
                <w:rFonts w:ascii="Times New Roman" w:hAnsi="Times New Roman" w:eastAsia="Times New Roman" w:cs="Times New Roman"/>
                <w:b w:val="0"/>
                <w:color w:val="000000"/>
                <w:sz w:val="22"/>
              </w:rPr>
              <w:t>D6 — Topic &amp; LO Alignment</w:t>
            </w:r>
          </w:p>
        </w:tc>
        <w:tc>
          <w:tcPr>
            <w:tcW w:w="2160" w:type="dxa"/>
            <w:tcBorders>
              <w:top w:val="nil"/>
              <w:left w:val="nil"/>
              <w:bottom w:val="nil"/>
              <w:right w:val="nil"/>
              <w:insideH w:val="nil"/>
              <w:insideV w:val="nil"/>
            </w:tcBorders>
            <w:shd w:val="clear" w:color="auto" w:fill="FFFFFF"/>
          </w:tcPr>
          <w:p w14:paraId="6E563077">
            <w:pPr>
              <w:spacing w:before="40" w:after="40" w:line="276" w:lineRule="auto"/>
              <w:ind w:firstLine="0"/>
            </w:pPr>
            <w:r>
              <w:rPr>
                <w:rFonts w:ascii="Times New Roman" w:hAnsi="Times New Roman" w:eastAsia="Times New Roman" w:cs="Times New Roman"/>
                <w:b w:val="0"/>
                <w:color w:val="000000"/>
                <w:sz w:val="22"/>
              </w:rPr>
              <w:t>4.948</w:t>
            </w:r>
          </w:p>
        </w:tc>
        <w:tc>
          <w:tcPr>
            <w:tcW w:w="2160" w:type="dxa"/>
            <w:tcBorders>
              <w:top w:val="nil"/>
              <w:left w:val="nil"/>
              <w:bottom w:val="nil"/>
              <w:right w:val="nil"/>
              <w:insideH w:val="nil"/>
              <w:insideV w:val="nil"/>
            </w:tcBorders>
            <w:shd w:val="clear" w:color="auto" w:fill="FFFFFF"/>
          </w:tcPr>
          <w:p w14:paraId="2233CEF6">
            <w:pPr>
              <w:spacing w:before="40" w:after="40" w:line="276" w:lineRule="auto"/>
              <w:ind w:firstLine="0"/>
            </w:pPr>
            <w:r>
              <w:rPr>
                <w:rFonts w:ascii="Times New Roman" w:hAnsi="Times New Roman" w:eastAsia="Times New Roman" w:cs="Times New Roman"/>
                <w:b w:val="0"/>
                <w:color w:val="000000"/>
                <w:sz w:val="22"/>
              </w:rPr>
              <w:t>4.594</w:t>
            </w:r>
          </w:p>
        </w:tc>
        <w:tc>
          <w:tcPr>
            <w:tcW w:w="2160" w:type="dxa"/>
            <w:tcBorders>
              <w:top w:val="nil"/>
              <w:left w:val="nil"/>
              <w:bottom w:val="nil"/>
              <w:right w:val="nil"/>
              <w:insideH w:val="nil"/>
              <w:insideV w:val="nil"/>
            </w:tcBorders>
            <w:shd w:val="clear" w:color="auto" w:fill="FFFFFF"/>
          </w:tcPr>
          <w:p w14:paraId="2EE659AE">
            <w:pPr>
              <w:spacing w:before="40" w:after="40" w:line="276" w:lineRule="auto"/>
              <w:ind w:firstLine="0"/>
            </w:pPr>
            <w:r>
              <w:rPr>
                <w:rFonts w:ascii="Times New Roman" w:hAnsi="Times New Roman" w:eastAsia="Times New Roman" w:cs="Times New Roman"/>
                <w:b w:val="0"/>
                <w:color w:val="000000"/>
                <w:sz w:val="22"/>
              </w:rPr>
              <w:t>+0.354</w:t>
            </w:r>
          </w:p>
        </w:tc>
      </w:tr>
      <w:tr w14:paraId="2D76B9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4E90DAB2">
            <w:pPr>
              <w:spacing w:before="40" w:after="40" w:line="276" w:lineRule="auto"/>
              <w:ind w:firstLine="0"/>
            </w:pPr>
            <w:r>
              <w:rPr>
                <w:rFonts w:ascii="Times New Roman" w:hAnsi="Times New Roman" w:eastAsia="Times New Roman" w:cs="Times New Roman"/>
                <w:b w:val="0"/>
                <w:color w:val="000000"/>
                <w:sz w:val="22"/>
              </w:rPr>
              <w:t>CMQS (Composite)</w:t>
            </w:r>
          </w:p>
        </w:tc>
        <w:tc>
          <w:tcPr>
            <w:tcW w:w="2160" w:type="dxa"/>
            <w:tcBorders>
              <w:top w:val="nil"/>
              <w:left w:val="nil"/>
              <w:bottom w:val="nil"/>
              <w:right w:val="nil"/>
              <w:insideH w:val="nil"/>
              <w:insideV w:val="nil"/>
            </w:tcBorders>
            <w:shd w:val="clear" w:color="auto" w:fill="FFFFFF"/>
          </w:tcPr>
          <w:p w14:paraId="5929CB2D">
            <w:pPr>
              <w:spacing w:before="40" w:after="40" w:line="276" w:lineRule="auto"/>
              <w:ind w:firstLine="0"/>
            </w:pPr>
            <w:r>
              <w:rPr>
                <w:rFonts w:ascii="Times New Roman" w:hAnsi="Times New Roman" w:eastAsia="Times New Roman" w:cs="Times New Roman"/>
                <w:b w:val="0"/>
                <w:color w:val="000000"/>
                <w:sz w:val="22"/>
              </w:rPr>
              <w:t>4.614</w:t>
            </w:r>
          </w:p>
        </w:tc>
        <w:tc>
          <w:tcPr>
            <w:tcW w:w="2160" w:type="dxa"/>
            <w:tcBorders>
              <w:top w:val="nil"/>
              <w:left w:val="nil"/>
              <w:bottom w:val="nil"/>
              <w:right w:val="nil"/>
              <w:insideH w:val="nil"/>
              <w:insideV w:val="nil"/>
            </w:tcBorders>
            <w:shd w:val="clear" w:color="auto" w:fill="FFFFFF"/>
          </w:tcPr>
          <w:p w14:paraId="23C83C50">
            <w:pPr>
              <w:spacing w:before="40" w:after="40" w:line="276" w:lineRule="auto"/>
              <w:ind w:firstLine="0"/>
            </w:pPr>
            <w:r>
              <w:rPr>
                <w:rFonts w:ascii="Times New Roman" w:hAnsi="Times New Roman" w:eastAsia="Times New Roman" w:cs="Times New Roman"/>
                <w:b w:val="0"/>
                <w:color w:val="000000"/>
                <w:sz w:val="22"/>
              </w:rPr>
              <w:t>3.954</w:t>
            </w:r>
          </w:p>
        </w:tc>
        <w:tc>
          <w:tcPr>
            <w:tcW w:w="2160" w:type="dxa"/>
            <w:tcBorders>
              <w:top w:val="nil"/>
              <w:left w:val="nil"/>
              <w:bottom w:val="nil"/>
              <w:right w:val="nil"/>
              <w:insideH w:val="nil"/>
              <w:insideV w:val="nil"/>
            </w:tcBorders>
            <w:shd w:val="clear" w:color="auto" w:fill="FFFFFF"/>
          </w:tcPr>
          <w:p w14:paraId="1DC2219F">
            <w:pPr>
              <w:spacing w:before="40" w:after="40" w:line="276" w:lineRule="auto"/>
              <w:ind w:firstLine="0"/>
            </w:pPr>
            <w:r>
              <w:rPr>
                <w:rFonts w:ascii="Times New Roman" w:hAnsi="Times New Roman" w:eastAsia="Times New Roman" w:cs="Times New Roman"/>
                <w:b w:val="0"/>
                <w:color w:val="000000"/>
                <w:sz w:val="22"/>
              </w:rPr>
              <w:t>+0.660</w:t>
            </w:r>
          </w:p>
        </w:tc>
      </w:tr>
      <w:tr w14:paraId="0C9106D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nil"/>
              <w:right w:val="nil"/>
              <w:insideH w:val="nil"/>
              <w:insideV w:val="nil"/>
            </w:tcBorders>
            <w:shd w:val="clear" w:color="auto" w:fill="FFFFFF"/>
          </w:tcPr>
          <w:p w14:paraId="797A45F4">
            <w:pPr>
              <w:spacing w:before="40" w:after="40" w:line="276" w:lineRule="auto"/>
              <w:ind w:firstLine="0"/>
            </w:pPr>
            <w:r>
              <w:rPr>
                <w:rFonts w:ascii="Times New Roman" w:hAnsi="Times New Roman" w:eastAsia="Times New Roman" w:cs="Times New Roman"/>
                <w:b w:val="0"/>
                <w:color w:val="000000"/>
                <w:sz w:val="22"/>
              </w:rPr>
              <w:t>Excellent (%)</w:t>
            </w:r>
          </w:p>
        </w:tc>
        <w:tc>
          <w:tcPr>
            <w:tcW w:w="2160" w:type="dxa"/>
            <w:tcBorders>
              <w:top w:val="nil"/>
              <w:left w:val="nil"/>
              <w:bottom w:val="nil"/>
              <w:right w:val="nil"/>
              <w:insideH w:val="nil"/>
              <w:insideV w:val="nil"/>
            </w:tcBorders>
            <w:shd w:val="clear" w:color="auto" w:fill="FFFFFF"/>
          </w:tcPr>
          <w:p w14:paraId="0924E8ED">
            <w:pPr>
              <w:spacing w:before="40" w:after="40" w:line="276" w:lineRule="auto"/>
              <w:ind w:firstLine="0"/>
            </w:pPr>
            <w:r>
              <w:rPr>
                <w:rFonts w:ascii="Times New Roman" w:hAnsi="Times New Roman" w:eastAsia="Times New Roman" w:cs="Times New Roman"/>
                <w:b w:val="0"/>
                <w:color w:val="000000"/>
                <w:sz w:val="22"/>
              </w:rPr>
              <w:t>79.7</w:t>
            </w:r>
          </w:p>
        </w:tc>
        <w:tc>
          <w:tcPr>
            <w:tcW w:w="2160" w:type="dxa"/>
            <w:tcBorders>
              <w:top w:val="nil"/>
              <w:left w:val="nil"/>
              <w:bottom w:val="nil"/>
              <w:right w:val="nil"/>
              <w:insideH w:val="nil"/>
              <w:insideV w:val="nil"/>
            </w:tcBorders>
            <w:shd w:val="clear" w:color="auto" w:fill="FFFFFF"/>
          </w:tcPr>
          <w:p w14:paraId="4E56ADBE">
            <w:pPr>
              <w:spacing w:before="40" w:after="40" w:line="276" w:lineRule="auto"/>
              <w:ind w:firstLine="0"/>
            </w:pPr>
            <w:r>
              <w:rPr>
                <w:rFonts w:ascii="Times New Roman" w:hAnsi="Times New Roman" w:eastAsia="Times New Roman" w:cs="Times New Roman"/>
                <w:b w:val="0"/>
                <w:color w:val="000000"/>
                <w:sz w:val="22"/>
              </w:rPr>
              <w:t>45.5</w:t>
            </w:r>
          </w:p>
        </w:tc>
        <w:tc>
          <w:tcPr>
            <w:tcW w:w="2160" w:type="dxa"/>
            <w:tcBorders>
              <w:top w:val="nil"/>
              <w:left w:val="nil"/>
              <w:bottom w:val="nil"/>
              <w:right w:val="nil"/>
              <w:insideH w:val="nil"/>
              <w:insideV w:val="nil"/>
            </w:tcBorders>
            <w:shd w:val="clear" w:color="auto" w:fill="FFFFFF"/>
          </w:tcPr>
          <w:p w14:paraId="78F88821">
            <w:pPr>
              <w:spacing w:before="40" w:after="40" w:line="276" w:lineRule="auto"/>
              <w:ind w:firstLine="0"/>
            </w:pPr>
            <w:r>
              <w:rPr>
                <w:rFonts w:ascii="Times New Roman" w:hAnsi="Times New Roman" w:eastAsia="Times New Roman" w:cs="Times New Roman"/>
                <w:b w:val="0"/>
                <w:color w:val="000000"/>
                <w:sz w:val="22"/>
              </w:rPr>
              <w:t>+34.2</w:t>
            </w:r>
          </w:p>
        </w:tc>
      </w:tr>
      <w:tr w14:paraId="31BF13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160" w:type="dxa"/>
            <w:tcBorders>
              <w:top w:val="nil"/>
              <w:left w:val="nil"/>
              <w:bottom w:val="single" w:color="000000" w:sz="12" w:space="0"/>
              <w:right w:val="nil"/>
              <w:insideH w:val="nil"/>
              <w:insideV w:val="nil"/>
            </w:tcBorders>
            <w:shd w:val="clear" w:color="auto" w:fill="FFFFFF"/>
          </w:tcPr>
          <w:p w14:paraId="7E84FA32">
            <w:pPr>
              <w:spacing w:before="40" w:after="40" w:line="276" w:lineRule="auto"/>
              <w:ind w:firstLine="0"/>
            </w:pPr>
            <w:r>
              <w:rPr>
                <w:rFonts w:ascii="Times New Roman" w:hAnsi="Times New Roman" w:eastAsia="Times New Roman" w:cs="Times New Roman"/>
                <w:b w:val="0"/>
                <w:color w:val="000000"/>
                <w:sz w:val="22"/>
              </w:rPr>
              <w:t>Poor + Reject (%)</w:t>
            </w:r>
          </w:p>
        </w:tc>
        <w:tc>
          <w:tcPr>
            <w:tcW w:w="2160" w:type="dxa"/>
            <w:tcBorders>
              <w:top w:val="nil"/>
              <w:left w:val="nil"/>
              <w:bottom w:val="single" w:color="000000" w:sz="12" w:space="0"/>
              <w:right w:val="nil"/>
              <w:insideH w:val="nil"/>
              <w:insideV w:val="nil"/>
            </w:tcBorders>
            <w:shd w:val="clear" w:color="auto" w:fill="FFFFFF"/>
          </w:tcPr>
          <w:p w14:paraId="67D6F0A9">
            <w:pPr>
              <w:spacing w:before="40" w:after="40" w:line="276" w:lineRule="auto"/>
              <w:ind w:firstLine="0"/>
            </w:pPr>
            <w:r>
              <w:rPr>
                <w:rFonts w:ascii="Times New Roman" w:hAnsi="Times New Roman" w:eastAsia="Times New Roman" w:cs="Times New Roman"/>
                <w:b w:val="0"/>
                <w:color w:val="000000"/>
                <w:sz w:val="22"/>
              </w:rPr>
              <w:t>1.6</w:t>
            </w:r>
          </w:p>
        </w:tc>
        <w:tc>
          <w:tcPr>
            <w:tcW w:w="2160" w:type="dxa"/>
            <w:tcBorders>
              <w:top w:val="nil"/>
              <w:left w:val="nil"/>
              <w:bottom w:val="single" w:color="000000" w:sz="12" w:space="0"/>
              <w:right w:val="nil"/>
              <w:insideH w:val="nil"/>
              <w:insideV w:val="nil"/>
            </w:tcBorders>
            <w:shd w:val="clear" w:color="auto" w:fill="FFFFFF"/>
          </w:tcPr>
          <w:p w14:paraId="651DFD4F">
            <w:pPr>
              <w:spacing w:before="40" w:after="40" w:line="276" w:lineRule="auto"/>
              <w:ind w:firstLine="0"/>
            </w:pPr>
            <w:r>
              <w:rPr>
                <w:rFonts w:ascii="Times New Roman" w:hAnsi="Times New Roman" w:eastAsia="Times New Roman" w:cs="Times New Roman"/>
                <w:b w:val="0"/>
                <w:color w:val="000000"/>
                <w:sz w:val="22"/>
              </w:rPr>
              <w:t>20.6</w:t>
            </w:r>
          </w:p>
        </w:tc>
        <w:tc>
          <w:tcPr>
            <w:tcW w:w="2160" w:type="dxa"/>
            <w:tcBorders>
              <w:top w:val="nil"/>
              <w:left w:val="nil"/>
              <w:bottom w:val="single" w:color="000000" w:sz="12" w:space="0"/>
              <w:right w:val="nil"/>
              <w:insideH w:val="nil"/>
              <w:insideV w:val="nil"/>
            </w:tcBorders>
            <w:shd w:val="clear" w:color="auto" w:fill="FFFFFF"/>
          </w:tcPr>
          <w:p w14:paraId="6F3880A0">
            <w:pPr>
              <w:spacing w:before="40" w:after="40" w:line="276" w:lineRule="auto"/>
              <w:ind w:firstLine="0"/>
            </w:pPr>
            <w:r>
              <w:rPr>
                <w:rFonts w:ascii="Times New Roman" w:hAnsi="Times New Roman" w:eastAsia="Times New Roman" w:cs="Times New Roman"/>
                <w:b w:val="0"/>
                <w:color w:val="000000"/>
                <w:sz w:val="22"/>
              </w:rPr>
              <w:t>−19.0</w:t>
            </w:r>
          </w:p>
        </w:tc>
      </w:tr>
    </w:tbl>
    <w:p w14:paraId="4E07C3A3">
      <w:pPr>
        <w:spacing w:before="80" w:after="160" w:line="276" w:lineRule="auto"/>
        <w:ind w:firstLine="0"/>
        <w:jc w:val="center"/>
      </w:pPr>
      <w:r>
        <w:rPr>
          <w:rFonts w:ascii="Arial" w:hAnsi="Arial" w:eastAsia="Arial" w:cs="Arial"/>
          <w:b/>
          <w:i/>
          <w:color w:val="00468C"/>
          <w:sz w:val="20"/>
        </w:rPr>
        <w:t>Table 7.7 — Teacher vs. base Qwen2.5-1.5B (Pre-FT) on the seven-dimension rubric and quality distribution.</w:t>
      </w:r>
    </w:p>
    <w:p w14:paraId="5E52C6AE">
      <w:pPr>
        <w:spacing w:before="0" w:after="0" w:line="360" w:lineRule="auto"/>
        <w:jc w:val="both"/>
      </w:pPr>
      <w:r>
        <w:rPr>
          <w:rFonts w:ascii="Times New Roman" w:hAnsi="Times New Roman" w:eastAsia="Times New Roman" w:cs="Times New Roman"/>
          <w:b w:val="0"/>
          <w:i w:val="0"/>
          <w:sz w:val="24"/>
        </w:rPr>
        <w:t>The base student is not unusable, but its weaknesses are exactly those that matter most for educational deployment. The two largest gaps are D1 Factual Grounding (Δ = +1.05) and D3 Correct Answer Validity (Δ = +0.98) — i.e. the dimensions that determine whether the generated MCQ is pedagogically safe. By contrast, surface dimensions such as clarity (D2, Δ = +0.12) and topic alignment (D6, Δ = +0.35) are nearly teacher-level out of the box, indicating that Qwen2.5-1.5B already speaks the MCQ format competently but lacks the disciplined grounding behaviour required for correctness. The quality histogram makes the deployment risk explicit: 20.6% of pre-FT items fall into Poor or Reject, against 1.6% for the teacher. A 1-in-5 reject rate is incompatible with classroom use because it forces an instructor-in-the-loop on every batch, which directly contradicts the project's software-engineering objective of reducing instructor workload. These observations motivate the distillation step described in §7.2.3 and justify the design decision (Chapter 5) to fine-tune on teacher rationales rather than on gold MCQs alone.</w:t>
      </w:r>
    </w:p>
    <w:p w14:paraId="43F7E88C">
      <w:pPr>
        <w:pStyle w:val="4"/>
        <w:spacing w:before="240" w:after="120" w:line="276" w:lineRule="auto"/>
        <w:ind w:firstLine="0"/>
        <w:jc w:val="left"/>
      </w:pPr>
      <w:r>
        <w:rPr>
          <w:rFonts w:ascii="Times New Roman" w:hAnsi="Times New Roman" w:eastAsia="Times New Roman" w:cs="Times New Roman"/>
          <w:b/>
          <w:color w:val="002855"/>
          <w:sz w:val="24"/>
        </w:rPr>
        <w:t>7.2.3  Fine-Tuning Impact Analysis</w:t>
      </w:r>
    </w:p>
    <w:p w14:paraId="03EF52CE">
      <w:pPr>
        <w:spacing w:before="0" w:after="0" w:line="360" w:lineRule="auto"/>
        <w:jc w:val="both"/>
      </w:pPr>
      <w:r>
        <w:rPr>
          <w:rFonts w:ascii="Times New Roman" w:hAnsi="Times New Roman" w:eastAsia="Times New Roman" w:cs="Times New Roman"/>
          <w:b w:val="0"/>
          <w:i w:val="0"/>
          <w:sz w:val="24"/>
        </w:rPr>
        <w:t>Fine-tuning was carried out under the configuration of Table 5.10 (QLoRA on Qwen2.5-1.5B-Instruct, rank 16, 2 epochs, effective batch size 8, learning rate 2 × 10⁻⁴, cosine schedule). Training over 2 epochs (~26.8 k seconds of wall time, 9.03 M tokens seen) converged smoothly to a final train loss of 0.585. Figure 7.5 shows the training and evaluation loss curves: both decrease monotonically and stay tightly coupled, with no divergence between training and held-out loss in the second epoch. This is the empirical justification for stopping at 2 epochs — extending training in earlier versions (V3 ran 3 epochs) widened the train/eval gap and degraded judge scores, which is consistent with the lower V3 QPS (91.5%) reported below.</w:t>
      </w:r>
    </w:p>
    <w:p w14:paraId="61359E79">
      <w:pPr>
        <w:spacing w:before="0" w:after="0" w:line="360" w:lineRule="auto"/>
        <w:jc w:val="both"/>
      </w:pP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drawing>
          <wp:inline distT="0" distB="0" distL="114300" distR="114300">
            <wp:extent cx="4758690" cy="3771900"/>
            <wp:effectExtent l="0" t="0" r="1143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4758690" cy="3771900"/>
                    </a:xfrm>
                    <a:prstGeom prst="rect">
                      <a:avLst/>
                    </a:prstGeom>
                  </pic:spPr>
                </pic:pic>
              </a:graphicData>
            </a:graphic>
          </wp:inline>
        </w:drawing>
      </w:r>
    </w:p>
    <w:p w14:paraId="3061CDF9">
      <w:pPr>
        <w:spacing w:before="80" w:after="160" w:line="276" w:lineRule="auto"/>
        <w:ind w:firstLine="0"/>
        <w:jc w:val="center"/>
      </w:pPr>
      <w:r>
        <w:rPr>
          <w:rFonts w:ascii="Arial" w:hAnsi="Arial" w:eastAsia="Arial" w:cs="Arial"/>
          <w:b/>
          <w:i/>
          <w:color w:val="00468C"/>
          <w:sz w:val="20"/>
        </w:rPr>
        <w:t>Figure 7.5a — Training loss across the two-epoch QLoRA run for V8.</w:t>
      </w:r>
    </w:p>
    <w:p w14:paraId="64F7DFEE">
      <w:pPr>
        <w:spacing w:before="0" w:after="0" w:line="360" w:lineRule="auto"/>
        <w:jc w:val="both"/>
      </w:pP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drawing>
          <wp:inline distT="0" distB="0" distL="114300" distR="114300">
            <wp:extent cx="4780280" cy="2072005"/>
            <wp:effectExtent l="0" t="0" r="5080" b="63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4780280" cy="2072589"/>
                    </a:xfrm>
                    <a:prstGeom prst="rect">
                      <a:avLst/>
                    </a:prstGeom>
                  </pic:spPr>
                </pic:pic>
              </a:graphicData>
            </a:graphic>
          </wp:inline>
        </w:drawing>
      </w:r>
    </w:p>
    <w:p w14:paraId="562475F3">
      <w:pPr>
        <w:spacing w:before="80" w:after="160" w:line="276" w:lineRule="auto"/>
        <w:ind w:firstLine="0"/>
        <w:jc w:val="center"/>
      </w:pPr>
      <w:r>
        <w:rPr>
          <w:rFonts w:ascii="Arial" w:hAnsi="Arial" w:eastAsia="Arial" w:cs="Arial"/>
          <w:b/>
          <w:i/>
          <w:color w:val="00468C"/>
          <w:sz w:val="20"/>
        </w:rPr>
        <w:t>Figure 7.5b — Training vs. evaluation loss; the curves remain tightly coupled, indicating no over-fitting under the Table 5.10 configuration.</w:t>
      </w:r>
    </w:p>
    <w:p w14:paraId="477E4A74">
      <w:pPr>
        <w:spacing w:before="0" w:after="0" w:line="360" w:lineRule="auto"/>
        <w:jc w:val="both"/>
      </w:pPr>
      <w:r>
        <w:rPr>
          <w:rFonts w:ascii="Times New Roman" w:hAnsi="Times New Roman" w:eastAsia="Times New Roman" w:cs="Times New Roman"/>
          <w:b w:val="0"/>
          <w:i w:val="0"/>
          <w:sz w:val="24"/>
        </w:rPr>
        <w:t>After fine-tuning, 180 of 200 slots produced schema-valid MCQs (90.0% S1 pass-rate, up from 86.4%) and CMQS rose from 3.954 to 4.383, a gain of +0.428 points. A paired Wilcoxon signed-rank test over the n = 150 slots evaluated by all three configurations rejects the null of no improvement at p = 5.8 × 10⁻⁷ with a medium effect size (Cohen's d = 0.501). Crucially, the dimensions that improved most are the dimensions that mattered most: D1 Factual Grounding (+0.60), D3 Correct Answer Validity (+0.59), D5 Bloom Alignment (+0.59) and D6 Topic Alignment (+0.30). These are precisely the deficits identified in §7.2.2, indicating that the teacher rationale signal transferred where it was needed rather than merely sharpening the dimensions the student already mastered.</w:t>
      </w:r>
    </w:p>
    <w:p w14:paraId="15893D78">
      <w:pPr>
        <w:spacing w:before="0" w:after="0" w:line="360" w:lineRule="auto"/>
        <w:jc w:val="center"/>
      </w:pPr>
      <w:r>
        <w:rPr>
          <w:rFonts w:ascii="Times New Roman" w:hAnsi="Times New Roman" w:eastAsia="Times New Roman" w:cs="Times New Roman"/>
          <w:sz w:val="24"/>
        </w:rPr>
        <w:drawing>
          <wp:inline distT="0" distB="0" distL="114300" distR="114300">
            <wp:extent cx="4669790" cy="2350770"/>
            <wp:effectExtent l="0" t="0" r="8890" b="1143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8"/>
                    <a:stretch>
                      <a:fillRect/>
                    </a:stretch>
                  </pic:blipFill>
                  <pic:spPr>
                    <a:xfrm>
                      <a:off x="0" y="0"/>
                      <a:ext cx="4669790" cy="2351314"/>
                    </a:xfrm>
                    <a:prstGeom prst="rect">
                      <a:avLst/>
                    </a:prstGeom>
                  </pic:spPr>
                </pic:pic>
              </a:graphicData>
            </a:graphic>
          </wp:inline>
        </w:drawing>
      </w:r>
    </w:p>
    <w:p w14:paraId="6130EC6A">
      <w:pPr>
        <w:spacing w:before="80" w:after="160" w:line="276" w:lineRule="auto"/>
        <w:ind w:firstLine="0"/>
        <w:jc w:val="center"/>
      </w:pPr>
      <w:r>
        <w:rPr>
          <w:rFonts w:ascii="Arial" w:hAnsi="Arial" w:eastAsia="Arial" w:cs="Arial"/>
          <w:b/>
          <w:i/>
          <w:color w:val="00468C"/>
          <w:sz w:val="20"/>
        </w:rPr>
        <w:t>Figure 7.6 — Per-dimension judge scores: Teacher vs. Pre-FT vs. Post-FT student (V8).</w:t>
      </w:r>
    </w:p>
    <w:p w14:paraId="78A569A4">
      <w:pPr>
        <w:spacing w:before="0" w:after="0" w:line="360" w:lineRule="auto"/>
        <w:jc w:val="both"/>
      </w:pPr>
      <w:r>
        <w:rPr>
          <w:rFonts w:ascii="Times New Roman" w:hAnsi="Times New Roman" w:eastAsia="Times New Roman" w:cs="Times New Roman"/>
          <w:sz w:val="24"/>
        </w:rPr>
        <w:drawing>
          <wp:inline distT="0" distB="0" distL="114300" distR="114300">
            <wp:extent cx="5029200" cy="2794000"/>
            <wp:effectExtent l="0" t="0" r="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5029200" cy="2794000"/>
                    </a:xfrm>
                    <a:prstGeom prst="rect">
                      <a:avLst/>
                    </a:prstGeom>
                  </pic:spPr>
                </pic:pic>
              </a:graphicData>
            </a:graphic>
          </wp:inline>
        </w:drawing>
      </w:r>
    </w:p>
    <w:p w14:paraId="2A40BB11">
      <w:pPr>
        <w:spacing w:before="80" w:after="160" w:line="276" w:lineRule="auto"/>
        <w:ind w:firstLine="0"/>
        <w:jc w:val="center"/>
      </w:pPr>
      <w:r>
        <w:rPr>
          <w:rFonts w:ascii="Arial" w:hAnsi="Arial" w:eastAsia="Arial" w:cs="Arial"/>
          <w:b/>
          <w:i/>
          <w:color w:val="00468C"/>
          <w:sz w:val="20"/>
        </w:rPr>
        <w:t>Figure 7.7 — Quality distribution (Excellent → Reject) before and after fine-tuning. Reject rate drops from 6.1% to 0.6%; Excellent share rises from 45.5% to 62.2%.</w:t>
      </w:r>
    </w:p>
    <w:p w14:paraId="2643B0BF">
      <w:pPr>
        <w:spacing w:before="0" w:after="0" w:line="360" w:lineRule="auto"/>
        <w:jc w:val="both"/>
      </w:pPr>
      <w:r>
        <w:rPr>
          <w:rFonts w:ascii="Times New Roman" w:hAnsi="Times New Roman" w:eastAsia="Times New Roman" w:cs="Times New Roman"/>
          <w:b w:val="0"/>
          <w:i w:val="0"/>
          <w:sz w:val="24"/>
        </w:rPr>
        <w:t xml:space="preserve">The version trajectory in Table 7.8 explains why V8 specifically is the configuration adopted in production. V1 was the initial knowledge-distillation baseline on the raw 2,921-sample corpus, trained with lora_rank=64 over 3 epochs; it already recovered QPS = 91.8% over the un-fine-tuned student but exhibited clear over-parameterisation. V2 introduced the Llama-3.3-70B judge and a leaner LoRA configuration on the same 2,921-sample corpus, reaching QPS = 92.5%. V3 attempted to push gains by extending to 3 epochs on the same data; QPS dropped to 91.5%, confirming over-fitting. V4 marked the first major corpus expansion: after applying the S1–S3 stages of the validation pipeline to a larger pool of teacher generations, the training set grew from 2,921 to 4,509 stratified samples (+54.4%), and QPS rose to 94.9%. V6 (LoRA-rank re-tuning on the same 4,509-sample corpus) recovered to 94.8%, while V5 (aggressive deduplication that removed near-duplicate-but-different-distractor examples) regressed to 93.5%, demonstrating that the deduplication threshold matters in both directions. V7 introduced a sharper system prompt aligned with the S5 rubric (94.3%). V8 combines the V4 curated 4,509-sample corpus, V6 LoRA hyperparameters, V7 prompt, and a final 2-epoch schedule with cosine decay, yielding the best QPS = </w:t>
      </w:r>
      <w:r>
        <w:rPr>
          <w:rFonts w:hint="default" w:ascii="Times New Roman" w:hAnsi="Times New Roman" w:eastAsia="Times New Roman" w:cs="Times New Roman"/>
          <w:b/>
          <w:bCs/>
          <w:i w:val="0"/>
          <w:sz w:val="24"/>
          <w:lang w:val="en-US"/>
        </w:rPr>
        <w:t>94.99</w:t>
      </w:r>
      <w:r>
        <w:rPr>
          <w:rFonts w:ascii="Times New Roman" w:hAnsi="Times New Roman" w:eastAsia="Times New Roman" w:cs="Times New Roman"/>
          <w:b/>
          <w:bCs/>
          <w:i w:val="0"/>
          <w:sz w:val="24"/>
        </w:rPr>
        <w:t>%</w:t>
      </w:r>
      <w:r>
        <w:rPr>
          <w:rFonts w:ascii="Times New Roman" w:hAnsi="Times New Roman" w:eastAsia="Times New Roman" w:cs="Times New Roman"/>
          <w:b w:val="0"/>
          <w:i w:val="0"/>
          <w:sz w:val="24"/>
        </w:rPr>
        <w:t xml:space="preserve"> with the largest absolute CMQS gain of +0.428.</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437"/>
        <w:gridCol w:w="1532"/>
        <w:gridCol w:w="1438"/>
        <w:gridCol w:w="1438"/>
        <w:gridCol w:w="1438"/>
        <w:gridCol w:w="1438"/>
      </w:tblGrid>
      <w:tr w14:paraId="4397A7F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single" w:color="000000" w:sz="12" w:space="0"/>
              <w:left w:val="nil"/>
              <w:bottom w:val="single" w:color="000000" w:sz="6" w:space="0"/>
              <w:right w:val="nil"/>
              <w:insideH w:val="nil"/>
              <w:insideV w:val="nil"/>
            </w:tcBorders>
            <w:shd w:val="clear" w:color="auto" w:fill="00468C"/>
          </w:tcPr>
          <w:p w14:paraId="044546BE">
            <w:pPr>
              <w:spacing w:before="40" w:after="40" w:line="276" w:lineRule="auto"/>
              <w:ind w:firstLine="0"/>
            </w:pPr>
            <w:r>
              <w:rPr>
                <w:rFonts w:ascii="Arial" w:hAnsi="Arial" w:eastAsia="Arial" w:cs="Arial"/>
                <w:b/>
                <w:color w:val="FFFFFF"/>
                <w:sz w:val="20"/>
              </w:rPr>
              <w:t>Version</w:t>
            </w:r>
          </w:p>
        </w:tc>
        <w:tc>
          <w:tcPr>
            <w:tcW w:w="1440" w:type="dxa"/>
            <w:tcBorders>
              <w:top w:val="single" w:color="000000" w:sz="12" w:space="0"/>
              <w:left w:val="nil"/>
              <w:bottom w:val="single" w:color="000000" w:sz="6" w:space="0"/>
              <w:right w:val="nil"/>
              <w:insideH w:val="nil"/>
              <w:insideV w:val="nil"/>
            </w:tcBorders>
            <w:shd w:val="clear" w:color="auto" w:fill="00468C"/>
          </w:tcPr>
          <w:p w14:paraId="593070E8">
            <w:pPr>
              <w:spacing w:before="40" w:after="40" w:line="276" w:lineRule="auto"/>
              <w:ind w:firstLine="0"/>
            </w:pPr>
            <w:r>
              <w:rPr>
                <w:rFonts w:ascii="Arial" w:hAnsi="Arial" w:eastAsia="Arial" w:cs="Arial"/>
                <w:b/>
                <w:color w:val="FFFFFF"/>
                <w:sz w:val="20"/>
              </w:rPr>
              <w:t>Key change vs. previous</w:t>
            </w:r>
          </w:p>
        </w:tc>
        <w:tc>
          <w:tcPr>
            <w:tcW w:w="1440" w:type="dxa"/>
            <w:tcBorders>
              <w:top w:val="single" w:color="000000" w:sz="12" w:space="0"/>
              <w:left w:val="nil"/>
              <w:bottom w:val="single" w:color="000000" w:sz="6" w:space="0"/>
              <w:right w:val="nil"/>
              <w:insideH w:val="nil"/>
              <w:insideV w:val="nil"/>
            </w:tcBorders>
            <w:shd w:val="clear" w:color="auto" w:fill="00468C"/>
          </w:tcPr>
          <w:p w14:paraId="77FEDF9C">
            <w:pPr>
              <w:spacing w:before="40" w:after="40" w:line="276" w:lineRule="auto"/>
              <w:ind w:firstLine="0"/>
            </w:pPr>
            <w:r>
              <w:rPr>
                <w:rFonts w:ascii="Arial" w:hAnsi="Arial" w:eastAsia="Arial" w:cs="Arial"/>
                <w:b/>
                <w:color w:val="FFFFFF"/>
                <w:sz w:val="20"/>
              </w:rPr>
              <w:t>Pre-FT CMQS</w:t>
            </w:r>
          </w:p>
        </w:tc>
        <w:tc>
          <w:tcPr>
            <w:tcW w:w="1440" w:type="dxa"/>
            <w:tcBorders>
              <w:top w:val="single" w:color="000000" w:sz="12" w:space="0"/>
              <w:left w:val="nil"/>
              <w:bottom w:val="single" w:color="000000" w:sz="6" w:space="0"/>
              <w:right w:val="nil"/>
              <w:insideH w:val="nil"/>
              <w:insideV w:val="nil"/>
            </w:tcBorders>
            <w:shd w:val="clear" w:color="auto" w:fill="00468C"/>
          </w:tcPr>
          <w:p w14:paraId="038A355C">
            <w:pPr>
              <w:spacing w:before="40" w:after="40" w:line="276" w:lineRule="auto"/>
              <w:ind w:firstLine="0"/>
            </w:pPr>
            <w:r>
              <w:rPr>
                <w:rFonts w:ascii="Arial" w:hAnsi="Arial" w:eastAsia="Arial" w:cs="Arial"/>
                <w:b/>
                <w:color w:val="FFFFFF"/>
                <w:sz w:val="20"/>
              </w:rPr>
              <w:t>Post-FT CMQS</w:t>
            </w:r>
          </w:p>
        </w:tc>
        <w:tc>
          <w:tcPr>
            <w:tcW w:w="1440" w:type="dxa"/>
            <w:tcBorders>
              <w:top w:val="single" w:color="000000" w:sz="12" w:space="0"/>
              <w:left w:val="nil"/>
              <w:bottom w:val="single" w:color="000000" w:sz="6" w:space="0"/>
              <w:right w:val="nil"/>
              <w:insideH w:val="nil"/>
              <w:insideV w:val="nil"/>
            </w:tcBorders>
            <w:shd w:val="clear" w:color="auto" w:fill="00468C"/>
          </w:tcPr>
          <w:p w14:paraId="6D6A6705">
            <w:pPr>
              <w:spacing w:before="40" w:after="40" w:line="276" w:lineRule="auto"/>
              <w:ind w:firstLine="0"/>
            </w:pPr>
            <w:r>
              <w:rPr>
                <w:rFonts w:ascii="Arial" w:hAnsi="Arial" w:eastAsia="Arial" w:cs="Arial"/>
                <w:b/>
                <w:color w:val="FFFFFF"/>
                <w:sz w:val="20"/>
              </w:rPr>
              <w:t>FT Gain</w:t>
            </w:r>
          </w:p>
        </w:tc>
        <w:tc>
          <w:tcPr>
            <w:tcW w:w="1440" w:type="dxa"/>
            <w:tcBorders>
              <w:top w:val="single" w:color="000000" w:sz="12" w:space="0"/>
              <w:left w:val="nil"/>
              <w:bottom w:val="single" w:color="000000" w:sz="6" w:space="0"/>
              <w:right w:val="nil"/>
              <w:insideH w:val="nil"/>
              <w:insideV w:val="nil"/>
            </w:tcBorders>
            <w:shd w:val="clear" w:color="auto" w:fill="00468C"/>
          </w:tcPr>
          <w:p w14:paraId="0F66AB64">
            <w:pPr>
              <w:spacing w:before="40" w:after="40" w:line="276" w:lineRule="auto"/>
              <w:ind w:firstLine="0"/>
            </w:pPr>
            <w:r>
              <w:rPr>
                <w:rFonts w:ascii="Arial" w:hAnsi="Arial" w:eastAsia="Arial" w:cs="Arial"/>
                <w:b/>
                <w:color w:val="FFFFFF"/>
                <w:sz w:val="20"/>
              </w:rPr>
              <w:t>QPS</w:t>
            </w:r>
          </w:p>
        </w:tc>
      </w:tr>
      <w:tr w14:paraId="6604D75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rPr>
          <w:trHeight w:val="1899" w:hRule="atLeast"/>
        </w:trPr>
        <w:tc>
          <w:tcPr>
            <w:tcW w:w="1440" w:type="dxa"/>
            <w:tcBorders>
              <w:top w:val="nil"/>
              <w:left w:val="nil"/>
              <w:bottom w:val="nil"/>
              <w:right w:val="nil"/>
              <w:insideH w:val="nil"/>
              <w:insideV w:val="nil"/>
            </w:tcBorders>
            <w:shd w:val="clear" w:color="auto" w:fill="FFFFFF"/>
          </w:tcPr>
          <w:p w14:paraId="5A184BA3">
            <w:pPr>
              <w:spacing w:before="40" w:after="40" w:line="276" w:lineRule="auto"/>
              <w:ind w:firstLine="0"/>
            </w:pPr>
            <w:r>
              <w:rPr>
                <w:rFonts w:ascii="Times New Roman" w:hAnsi="Times New Roman" w:eastAsia="Times New Roman" w:cs="Times New Roman"/>
                <w:b w:val="0"/>
                <w:color w:val="000000"/>
                <w:sz w:val="22"/>
              </w:rPr>
              <w:t>V1</w:t>
            </w:r>
          </w:p>
        </w:tc>
        <w:tc>
          <w:tcPr>
            <w:tcW w:w="1440" w:type="dxa"/>
            <w:tcBorders>
              <w:top w:val="nil"/>
              <w:left w:val="nil"/>
              <w:bottom w:val="nil"/>
              <w:right w:val="nil"/>
              <w:insideH w:val="nil"/>
              <w:insideV w:val="nil"/>
            </w:tcBorders>
            <w:shd w:val="clear" w:color="auto" w:fill="FFFFFF"/>
          </w:tcPr>
          <w:p w14:paraId="29806951">
            <w:pPr>
              <w:spacing w:before="40" w:after="40" w:line="276" w:lineRule="auto"/>
              <w:ind w:firstLine="0"/>
            </w:pPr>
            <w:r>
              <w:rPr>
                <w:rFonts w:ascii="Times New Roman" w:hAnsi="Times New Roman" w:eastAsia="Times New Roman" w:cs="Times New Roman"/>
                <w:b w:val="0"/>
                <w:color w:val="000000"/>
                <w:sz w:val="22"/>
              </w:rPr>
              <w:t>Initial KD baseline (lora_rank=64, 3 epochs, raw 2,921-sample corpus)</w:t>
            </w:r>
          </w:p>
        </w:tc>
        <w:tc>
          <w:tcPr>
            <w:tcW w:w="1440" w:type="dxa"/>
            <w:tcBorders>
              <w:top w:val="nil"/>
              <w:left w:val="nil"/>
              <w:bottom w:val="nil"/>
              <w:right w:val="nil"/>
              <w:insideH w:val="nil"/>
              <w:insideV w:val="nil"/>
            </w:tcBorders>
            <w:shd w:val="clear" w:color="auto" w:fill="FFFFFF"/>
          </w:tcPr>
          <w:p w14:paraId="41080FDA">
            <w:pPr>
              <w:spacing w:before="40" w:after="40" w:line="276" w:lineRule="auto"/>
              <w:ind w:firstLine="0"/>
            </w:pPr>
            <w:r>
              <w:rPr>
                <w:rFonts w:ascii="Times New Roman" w:hAnsi="Times New Roman" w:eastAsia="Times New Roman" w:cs="Times New Roman"/>
                <w:b w:val="0"/>
                <w:color w:val="000000"/>
                <w:sz w:val="22"/>
              </w:rPr>
              <w:t>4.075</w:t>
            </w:r>
          </w:p>
        </w:tc>
        <w:tc>
          <w:tcPr>
            <w:tcW w:w="1440" w:type="dxa"/>
            <w:tcBorders>
              <w:top w:val="nil"/>
              <w:left w:val="nil"/>
              <w:bottom w:val="nil"/>
              <w:right w:val="nil"/>
              <w:insideH w:val="nil"/>
              <w:insideV w:val="nil"/>
            </w:tcBorders>
            <w:shd w:val="clear" w:color="auto" w:fill="FFFFFF"/>
          </w:tcPr>
          <w:p w14:paraId="790DBCF1">
            <w:pPr>
              <w:spacing w:before="40" w:after="40" w:line="276" w:lineRule="auto"/>
              <w:ind w:firstLine="0"/>
            </w:pPr>
            <w:r>
              <w:rPr>
                <w:rFonts w:ascii="Times New Roman" w:hAnsi="Times New Roman" w:eastAsia="Times New Roman" w:cs="Times New Roman"/>
                <w:b w:val="0"/>
                <w:color w:val="000000"/>
                <w:sz w:val="22"/>
              </w:rPr>
              <w:t>4.319</w:t>
            </w:r>
          </w:p>
        </w:tc>
        <w:tc>
          <w:tcPr>
            <w:tcW w:w="1440" w:type="dxa"/>
            <w:tcBorders>
              <w:top w:val="nil"/>
              <w:left w:val="nil"/>
              <w:bottom w:val="nil"/>
              <w:right w:val="nil"/>
              <w:insideH w:val="nil"/>
              <w:insideV w:val="nil"/>
            </w:tcBorders>
            <w:shd w:val="clear" w:color="auto" w:fill="FFFFFF"/>
          </w:tcPr>
          <w:p w14:paraId="0B4B7C5D">
            <w:pPr>
              <w:spacing w:before="40" w:after="40" w:line="276" w:lineRule="auto"/>
              <w:ind w:firstLine="0"/>
            </w:pPr>
            <w:r>
              <w:rPr>
                <w:rFonts w:ascii="Times New Roman" w:hAnsi="Times New Roman" w:eastAsia="Times New Roman" w:cs="Times New Roman"/>
                <w:b w:val="0"/>
                <w:color w:val="000000"/>
                <w:sz w:val="22"/>
              </w:rPr>
              <w:t>+0.245</w:t>
            </w:r>
          </w:p>
        </w:tc>
        <w:tc>
          <w:tcPr>
            <w:tcW w:w="1440" w:type="dxa"/>
            <w:tcBorders>
              <w:top w:val="nil"/>
              <w:left w:val="nil"/>
              <w:bottom w:val="nil"/>
              <w:right w:val="nil"/>
              <w:insideH w:val="nil"/>
              <w:insideV w:val="nil"/>
            </w:tcBorders>
            <w:shd w:val="clear" w:color="auto" w:fill="FFFFFF"/>
          </w:tcPr>
          <w:p w14:paraId="6C0399F2">
            <w:pPr>
              <w:spacing w:before="40" w:after="40" w:line="276" w:lineRule="auto"/>
              <w:ind w:firstLine="0"/>
            </w:pPr>
            <w:r>
              <w:rPr>
                <w:rFonts w:ascii="Times New Roman" w:hAnsi="Times New Roman" w:eastAsia="Times New Roman" w:cs="Times New Roman"/>
                <w:b w:val="0"/>
                <w:color w:val="000000"/>
                <w:sz w:val="22"/>
              </w:rPr>
              <w:t>91.8%</w:t>
            </w:r>
          </w:p>
        </w:tc>
      </w:tr>
      <w:tr w14:paraId="00402E50">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nil"/>
              <w:right w:val="nil"/>
              <w:insideH w:val="nil"/>
              <w:insideV w:val="nil"/>
            </w:tcBorders>
            <w:shd w:val="clear" w:color="auto" w:fill="FFFFFF"/>
          </w:tcPr>
          <w:p w14:paraId="709D7422">
            <w:pPr>
              <w:spacing w:before="40" w:after="40" w:line="276" w:lineRule="auto"/>
              <w:ind w:firstLine="0"/>
            </w:pPr>
            <w:r>
              <w:rPr>
                <w:rFonts w:ascii="Times New Roman" w:hAnsi="Times New Roman" w:eastAsia="Times New Roman" w:cs="Times New Roman"/>
                <w:b w:val="0"/>
                <w:color w:val="000000"/>
                <w:sz w:val="22"/>
              </w:rPr>
              <w:t>V2</w:t>
            </w:r>
          </w:p>
        </w:tc>
        <w:tc>
          <w:tcPr>
            <w:tcW w:w="1440" w:type="dxa"/>
            <w:tcBorders>
              <w:top w:val="nil"/>
              <w:left w:val="nil"/>
              <w:bottom w:val="nil"/>
              <w:right w:val="nil"/>
              <w:insideH w:val="nil"/>
              <w:insideV w:val="nil"/>
            </w:tcBorders>
            <w:shd w:val="clear" w:color="auto" w:fill="FFFFFF"/>
          </w:tcPr>
          <w:p w14:paraId="74E29FE7">
            <w:pPr>
              <w:spacing w:before="40" w:after="40" w:line="276" w:lineRule="auto"/>
              <w:ind w:firstLine="0"/>
            </w:pPr>
            <w:r>
              <w:rPr>
                <w:rFonts w:ascii="Times New Roman" w:hAnsi="Times New Roman" w:eastAsia="Times New Roman" w:cs="Times New Roman"/>
                <w:b w:val="0"/>
                <w:color w:val="000000"/>
                <w:sz w:val="22"/>
              </w:rPr>
              <w:t>Adopted Llama-3.3-70B judge, baseline KD on raw 2,921-sample corpus</w:t>
            </w:r>
          </w:p>
        </w:tc>
        <w:tc>
          <w:tcPr>
            <w:tcW w:w="1440" w:type="dxa"/>
            <w:tcBorders>
              <w:top w:val="nil"/>
              <w:left w:val="nil"/>
              <w:bottom w:val="nil"/>
              <w:right w:val="nil"/>
              <w:insideH w:val="nil"/>
              <w:insideV w:val="nil"/>
            </w:tcBorders>
            <w:shd w:val="clear" w:color="auto" w:fill="FFFFFF"/>
          </w:tcPr>
          <w:p w14:paraId="60A22712">
            <w:pPr>
              <w:spacing w:before="40" w:after="40" w:line="276" w:lineRule="auto"/>
              <w:ind w:firstLine="0"/>
            </w:pPr>
            <w:r>
              <w:rPr>
                <w:rFonts w:ascii="Times New Roman" w:hAnsi="Times New Roman" w:eastAsia="Times New Roman" w:cs="Times New Roman"/>
                <w:b w:val="0"/>
                <w:color w:val="000000"/>
                <w:sz w:val="22"/>
              </w:rPr>
              <w:t>4.067</w:t>
            </w:r>
          </w:p>
        </w:tc>
        <w:tc>
          <w:tcPr>
            <w:tcW w:w="1440" w:type="dxa"/>
            <w:tcBorders>
              <w:top w:val="nil"/>
              <w:left w:val="nil"/>
              <w:bottom w:val="nil"/>
              <w:right w:val="nil"/>
              <w:insideH w:val="nil"/>
              <w:insideV w:val="nil"/>
            </w:tcBorders>
            <w:shd w:val="clear" w:color="auto" w:fill="FFFFFF"/>
          </w:tcPr>
          <w:p w14:paraId="2986DAD5">
            <w:pPr>
              <w:spacing w:before="40" w:after="40" w:line="276" w:lineRule="auto"/>
              <w:ind w:firstLine="0"/>
            </w:pPr>
            <w:r>
              <w:rPr>
                <w:rFonts w:ascii="Times New Roman" w:hAnsi="Times New Roman" w:eastAsia="Times New Roman" w:cs="Times New Roman"/>
                <w:b w:val="0"/>
                <w:color w:val="000000"/>
                <w:sz w:val="22"/>
              </w:rPr>
              <w:t>4.354</w:t>
            </w:r>
          </w:p>
        </w:tc>
        <w:tc>
          <w:tcPr>
            <w:tcW w:w="1440" w:type="dxa"/>
            <w:tcBorders>
              <w:top w:val="nil"/>
              <w:left w:val="nil"/>
              <w:bottom w:val="nil"/>
              <w:right w:val="nil"/>
              <w:insideH w:val="nil"/>
              <w:insideV w:val="nil"/>
            </w:tcBorders>
            <w:shd w:val="clear" w:color="auto" w:fill="FFFFFF"/>
          </w:tcPr>
          <w:p w14:paraId="0A15EF6A">
            <w:pPr>
              <w:spacing w:before="40" w:after="40" w:line="276" w:lineRule="auto"/>
              <w:ind w:firstLine="0"/>
            </w:pPr>
            <w:r>
              <w:rPr>
                <w:rFonts w:ascii="Times New Roman" w:hAnsi="Times New Roman" w:eastAsia="Times New Roman" w:cs="Times New Roman"/>
                <w:b w:val="0"/>
                <w:color w:val="000000"/>
                <w:sz w:val="22"/>
              </w:rPr>
              <w:t>+0.288</w:t>
            </w:r>
          </w:p>
        </w:tc>
        <w:tc>
          <w:tcPr>
            <w:tcW w:w="1440" w:type="dxa"/>
            <w:tcBorders>
              <w:top w:val="nil"/>
              <w:left w:val="nil"/>
              <w:bottom w:val="nil"/>
              <w:right w:val="nil"/>
              <w:insideH w:val="nil"/>
              <w:insideV w:val="nil"/>
            </w:tcBorders>
            <w:shd w:val="clear" w:color="auto" w:fill="FFFFFF"/>
          </w:tcPr>
          <w:p w14:paraId="6A515D0A">
            <w:pPr>
              <w:spacing w:before="40" w:after="40" w:line="276" w:lineRule="auto"/>
              <w:ind w:firstLine="0"/>
            </w:pPr>
            <w:r>
              <w:rPr>
                <w:rFonts w:ascii="Times New Roman" w:hAnsi="Times New Roman" w:eastAsia="Times New Roman" w:cs="Times New Roman"/>
                <w:b w:val="0"/>
                <w:color w:val="000000"/>
                <w:sz w:val="22"/>
              </w:rPr>
              <w:t>92.5%</w:t>
            </w:r>
          </w:p>
        </w:tc>
      </w:tr>
      <w:tr w14:paraId="27CDF47F">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nil"/>
              <w:right w:val="nil"/>
              <w:insideH w:val="nil"/>
              <w:insideV w:val="nil"/>
            </w:tcBorders>
            <w:shd w:val="clear" w:color="auto" w:fill="FFFFFF"/>
          </w:tcPr>
          <w:p w14:paraId="327B448F">
            <w:pPr>
              <w:spacing w:before="40" w:after="40" w:line="276" w:lineRule="auto"/>
              <w:ind w:firstLine="0"/>
            </w:pPr>
            <w:r>
              <w:rPr>
                <w:rFonts w:ascii="Times New Roman" w:hAnsi="Times New Roman" w:eastAsia="Times New Roman" w:cs="Times New Roman"/>
                <w:b w:val="0"/>
                <w:color w:val="000000"/>
                <w:sz w:val="22"/>
              </w:rPr>
              <w:t>V3</w:t>
            </w:r>
          </w:p>
        </w:tc>
        <w:tc>
          <w:tcPr>
            <w:tcW w:w="1440" w:type="dxa"/>
            <w:tcBorders>
              <w:top w:val="nil"/>
              <w:left w:val="nil"/>
              <w:bottom w:val="nil"/>
              <w:right w:val="nil"/>
              <w:insideH w:val="nil"/>
              <w:insideV w:val="nil"/>
            </w:tcBorders>
            <w:shd w:val="clear" w:color="auto" w:fill="FFFFFF"/>
          </w:tcPr>
          <w:p w14:paraId="2A3E3938">
            <w:pPr>
              <w:spacing w:before="40" w:after="40" w:line="276" w:lineRule="auto"/>
              <w:ind w:firstLine="0"/>
            </w:pPr>
            <w:r>
              <w:rPr>
                <w:rFonts w:ascii="Times New Roman" w:hAnsi="Times New Roman" w:eastAsia="Times New Roman" w:cs="Times New Roman"/>
                <w:b w:val="0"/>
                <w:color w:val="000000"/>
                <w:sz w:val="22"/>
              </w:rPr>
              <w:t>Extended training to 3 epochs (2,921-sample corpus)</w:t>
            </w:r>
          </w:p>
        </w:tc>
        <w:tc>
          <w:tcPr>
            <w:tcW w:w="1440" w:type="dxa"/>
            <w:tcBorders>
              <w:top w:val="nil"/>
              <w:left w:val="nil"/>
              <w:bottom w:val="nil"/>
              <w:right w:val="nil"/>
              <w:insideH w:val="nil"/>
              <w:insideV w:val="nil"/>
            </w:tcBorders>
            <w:shd w:val="clear" w:color="auto" w:fill="FFFFFF"/>
          </w:tcPr>
          <w:p w14:paraId="3DE8A281">
            <w:pPr>
              <w:spacing w:before="40" w:after="40" w:line="276" w:lineRule="auto"/>
              <w:ind w:firstLine="0"/>
            </w:pPr>
            <w:r>
              <w:rPr>
                <w:rFonts w:ascii="Times New Roman" w:hAnsi="Times New Roman" w:eastAsia="Times New Roman" w:cs="Times New Roman"/>
                <w:b w:val="0"/>
                <w:color w:val="000000"/>
                <w:sz w:val="22"/>
              </w:rPr>
              <w:t>4.067</w:t>
            </w:r>
          </w:p>
        </w:tc>
        <w:tc>
          <w:tcPr>
            <w:tcW w:w="1440" w:type="dxa"/>
            <w:tcBorders>
              <w:top w:val="nil"/>
              <w:left w:val="nil"/>
              <w:bottom w:val="nil"/>
              <w:right w:val="nil"/>
              <w:insideH w:val="nil"/>
              <w:insideV w:val="nil"/>
            </w:tcBorders>
            <w:shd w:val="clear" w:color="auto" w:fill="FFFFFF"/>
          </w:tcPr>
          <w:p w14:paraId="033945C5">
            <w:pPr>
              <w:spacing w:before="40" w:after="40" w:line="276" w:lineRule="auto"/>
              <w:ind w:firstLine="0"/>
            </w:pPr>
            <w:r>
              <w:rPr>
                <w:rFonts w:ascii="Times New Roman" w:hAnsi="Times New Roman" w:eastAsia="Times New Roman" w:cs="Times New Roman"/>
                <w:b w:val="0"/>
                <w:color w:val="000000"/>
                <w:sz w:val="22"/>
              </w:rPr>
              <w:t>4.304</w:t>
            </w:r>
          </w:p>
        </w:tc>
        <w:tc>
          <w:tcPr>
            <w:tcW w:w="1440" w:type="dxa"/>
            <w:tcBorders>
              <w:top w:val="nil"/>
              <w:left w:val="nil"/>
              <w:bottom w:val="nil"/>
              <w:right w:val="nil"/>
              <w:insideH w:val="nil"/>
              <w:insideV w:val="nil"/>
            </w:tcBorders>
            <w:shd w:val="clear" w:color="auto" w:fill="FFFFFF"/>
          </w:tcPr>
          <w:p w14:paraId="6CA079D6">
            <w:pPr>
              <w:spacing w:before="40" w:after="40" w:line="276" w:lineRule="auto"/>
              <w:ind w:firstLine="0"/>
            </w:pPr>
            <w:r>
              <w:rPr>
                <w:rFonts w:ascii="Times New Roman" w:hAnsi="Times New Roman" w:eastAsia="Times New Roman" w:cs="Times New Roman"/>
                <w:b w:val="0"/>
                <w:color w:val="000000"/>
                <w:sz w:val="22"/>
              </w:rPr>
              <w:t>+0.237</w:t>
            </w:r>
          </w:p>
        </w:tc>
        <w:tc>
          <w:tcPr>
            <w:tcW w:w="1440" w:type="dxa"/>
            <w:tcBorders>
              <w:top w:val="nil"/>
              <w:left w:val="nil"/>
              <w:bottom w:val="nil"/>
              <w:right w:val="nil"/>
              <w:insideH w:val="nil"/>
              <w:insideV w:val="nil"/>
            </w:tcBorders>
            <w:shd w:val="clear" w:color="auto" w:fill="FFFFFF"/>
          </w:tcPr>
          <w:p w14:paraId="0F264EB1">
            <w:pPr>
              <w:spacing w:before="40" w:after="40" w:line="276" w:lineRule="auto"/>
              <w:ind w:firstLine="0"/>
            </w:pPr>
            <w:r>
              <w:rPr>
                <w:rFonts w:ascii="Times New Roman" w:hAnsi="Times New Roman" w:eastAsia="Times New Roman" w:cs="Times New Roman"/>
                <w:b w:val="0"/>
                <w:color w:val="000000"/>
                <w:sz w:val="22"/>
              </w:rPr>
              <w:t>91.5%</w:t>
            </w:r>
          </w:p>
        </w:tc>
      </w:tr>
      <w:tr w14:paraId="6125F63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nil"/>
              <w:right w:val="nil"/>
              <w:insideH w:val="nil"/>
              <w:insideV w:val="nil"/>
            </w:tcBorders>
            <w:shd w:val="clear" w:color="auto" w:fill="FFFFFF"/>
          </w:tcPr>
          <w:p w14:paraId="28D90A0E">
            <w:pPr>
              <w:spacing w:before="40" w:after="40" w:line="276" w:lineRule="auto"/>
              <w:ind w:firstLine="0"/>
            </w:pPr>
            <w:r>
              <w:rPr>
                <w:rFonts w:ascii="Times New Roman" w:hAnsi="Times New Roman" w:eastAsia="Times New Roman" w:cs="Times New Roman"/>
                <w:b w:val="0"/>
                <w:color w:val="000000"/>
                <w:sz w:val="22"/>
              </w:rPr>
              <w:t>V4</w:t>
            </w:r>
          </w:p>
        </w:tc>
        <w:tc>
          <w:tcPr>
            <w:tcW w:w="1440" w:type="dxa"/>
            <w:tcBorders>
              <w:top w:val="nil"/>
              <w:left w:val="nil"/>
              <w:bottom w:val="nil"/>
              <w:right w:val="nil"/>
              <w:insideH w:val="nil"/>
              <w:insideV w:val="nil"/>
            </w:tcBorders>
            <w:shd w:val="clear" w:color="auto" w:fill="FFFFFF"/>
          </w:tcPr>
          <w:p w14:paraId="5A3A01A3">
            <w:pPr>
              <w:spacing w:before="40" w:after="40" w:line="276" w:lineRule="auto"/>
              <w:ind w:firstLine="0"/>
            </w:pPr>
            <w:r>
              <w:rPr>
                <w:rFonts w:ascii="Times New Roman" w:hAnsi="Times New Roman" w:eastAsia="Times New Roman" w:cs="Times New Roman"/>
                <w:b w:val="0"/>
                <w:color w:val="000000"/>
                <w:sz w:val="22"/>
              </w:rPr>
              <w:t>Applied S1–S3 filtering and expanded corpus to 4,509 samples (+54.4%)</w:t>
            </w:r>
          </w:p>
        </w:tc>
        <w:tc>
          <w:tcPr>
            <w:tcW w:w="1440" w:type="dxa"/>
            <w:tcBorders>
              <w:top w:val="nil"/>
              <w:left w:val="nil"/>
              <w:bottom w:val="nil"/>
              <w:right w:val="nil"/>
              <w:insideH w:val="nil"/>
              <w:insideV w:val="nil"/>
            </w:tcBorders>
            <w:shd w:val="clear" w:color="auto" w:fill="FFFFFF"/>
          </w:tcPr>
          <w:p w14:paraId="4A99A83F">
            <w:pPr>
              <w:spacing w:before="40" w:after="40" w:line="276" w:lineRule="auto"/>
              <w:ind w:firstLine="0"/>
            </w:pPr>
            <w:r>
              <w:rPr>
                <w:rFonts w:ascii="Times New Roman" w:hAnsi="Times New Roman" w:eastAsia="Times New Roman" w:cs="Times New Roman"/>
                <w:b w:val="0"/>
                <w:color w:val="000000"/>
                <w:sz w:val="22"/>
              </w:rPr>
              <w:t>3.954</w:t>
            </w:r>
          </w:p>
        </w:tc>
        <w:tc>
          <w:tcPr>
            <w:tcW w:w="1440" w:type="dxa"/>
            <w:tcBorders>
              <w:top w:val="nil"/>
              <w:left w:val="nil"/>
              <w:bottom w:val="nil"/>
              <w:right w:val="nil"/>
              <w:insideH w:val="nil"/>
              <w:insideV w:val="nil"/>
            </w:tcBorders>
            <w:shd w:val="clear" w:color="auto" w:fill="FFFFFF"/>
          </w:tcPr>
          <w:p w14:paraId="4D5B3090">
            <w:pPr>
              <w:spacing w:before="40" w:after="40" w:line="276" w:lineRule="auto"/>
              <w:ind w:firstLine="0"/>
            </w:pPr>
            <w:r>
              <w:rPr>
                <w:rFonts w:ascii="Times New Roman" w:hAnsi="Times New Roman" w:eastAsia="Times New Roman" w:cs="Times New Roman"/>
                <w:b w:val="0"/>
                <w:color w:val="000000"/>
                <w:sz w:val="22"/>
              </w:rPr>
              <w:t>4.379</w:t>
            </w:r>
          </w:p>
        </w:tc>
        <w:tc>
          <w:tcPr>
            <w:tcW w:w="1440" w:type="dxa"/>
            <w:tcBorders>
              <w:top w:val="nil"/>
              <w:left w:val="nil"/>
              <w:bottom w:val="nil"/>
              <w:right w:val="nil"/>
              <w:insideH w:val="nil"/>
              <w:insideV w:val="nil"/>
            </w:tcBorders>
            <w:shd w:val="clear" w:color="auto" w:fill="FFFFFF"/>
          </w:tcPr>
          <w:p w14:paraId="0D8CC987">
            <w:pPr>
              <w:spacing w:before="40" w:after="40" w:line="276" w:lineRule="auto"/>
              <w:ind w:firstLine="0"/>
            </w:pPr>
            <w:r>
              <w:rPr>
                <w:rFonts w:ascii="Times New Roman" w:hAnsi="Times New Roman" w:eastAsia="Times New Roman" w:cs="Times New Roman"/>
                <w:b w:val="0"/>
                <w:color w:val="000000"/>
                <w:sz w:val="22"/>
              </w:rPr>
              <w:t>+0.424</w:t>
            </w:r>
          </w:p>
        </w:tc>
        <w:tc>
          <w:tcPr>
            <w:tcW w:w="1440" w:type="dxa"/>
            <w:tcBorders>
              <w:top w:val="nil"/>
              <w:left w:val="nil"/>
              <w:bottom w:val="nil"/>
              <w:right w:val="nil"/>
              <w:insideH w:val="nil"/>
              <w:insideV w:val="nil"/>
            </w:tcBorders>
            <w:shd w:val="clear" w:color="auto" w:fill="FFFFFF"/>
          </w:tcPr>
          <w:p w14:paraId="00F9D104">
            <w:pPr>
              <w:spacing w:before="40" w:after="40" w:line="276" w:lineRule="auto"/>
              <w:ind w:firstLine="0"/>
            </w:pPr>
            <w:r>
              <w:rPr>
                <w:rFonts w:ascii="Times New Roman" w:hAnsi="Times New Roman" w:eastAsia="Times New Roman" w:cs="Times New Roman"/>
                <w:b w:val="0"/>
                <w:color w:val="000000"/>
                <w:sz w:val="22"/>
              </w:rPr>
              <w:t>94.9%</w:t>
            </w:r>
          </w:p>
        </w:tc>
      </w:tr>
      <w:tr w14:paraId="24089A93">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nil"/>
              <w:right w:val="nil"/>
              <w:insideH w:val="nil"/>
              <w:insideV w:val="nil"/>
            </w:tcBorders>
            <w:shd w:val="clear" w:color="auto" w:fill="FFFFFF"/>
          </w:tcPr>
          <w:p w14:paraId="5928D3F8">
            <w:pPr>
              <w:spacing w:before="40" w:after="40" w:line="276" w:lineRule="auto"/>
              <w:ind w:firstLine="0"/>
            </w:pPr>
            <w:r>
              <w:rPr>
                <w:rFonts w:ascii="Times New Roman" w:hAnsi="Times New Roman" w:eastAsia="Times New Roman" w:cs="Times New Roman"/>
                <w:b w:val="0"/>
                <w:color w:val="000000"/>
                <w:sz w:val="22"/>
              </w:rPr>
              <w:t>V5</w:t>
            </w:r>
          </w:p>
        </w:tc>
        <w:tc>
          <w:tcPr>
            <w:tcW w:w="1440" w:type="dxa"/>
            <w:tcBorders>
              <w:top w:val="nil"/>
              <w:left w:val="nil"/>
              <w:bottom w:val="nil"/>
              <w:right w:val="nil"/>
              <w:insideH w:val="nil"/>
              <w:insideV w:val="nil"/>
            </w:tcBorders>
            <w:shd w:val="clear" w:color="auto" w:fill="FFFFFF"/>
          </w:tcPr>
          <w:p w14:paraId="59FA3C22">
            <w:pPr>
              <w:spacing w:before="40" w:after="40" w:line="276" w:lineRule="auto"/>
              <w:ind w:firstLine="0"/>
            </w:pPr>
            <w:r>
              <w:rPr>
                <w:rFonts w:ascii="Times New Roman" w:hAnsi="Times New Roman" w:eastAsia="Times New Roman" w:cs="Times New Roman"/>
                <w:b w:val="0"/>
                <w:color w:val="000000"/>
                <w:sz w:val="22"/>
              </w:rPr>
              <w:t>Aggressive near-duplicate removal (4,509 samples)</w:t>
            </w:r>
          </w:p>
        </w:tc>
        <w:tc>
          <w:tcPr>
            <w:tcW w:w="1440" w:type="dxa"/>
            <w:tcBorders>
              <w:top w:val="nil"/>
              <w:left w:val="nil"/>
              <w:bottom w:val="nil"/>
              <w:right w:val="nil"/>
              <w:insideH w:val="nil"/>
              <w:insideV w:val="nil"/>
            </w:tcBorders>
            <w:shd w:val="clear" w:color="auto" w:fill="FFFFFF"/>
          </w:tcPr>
          <w:p w14:paraId="56E755ED">
            <w:pPr>
              <w:spacing w:before="40" w:after="40" w:line="276" w:lineRule="auto"/>
              <w:ind w:firstLine="0"/>
            </w:pPr>
            <w:r>
              <w:rPr>
                <w:rFonts w:ascii="Times New Roman" w:hAnsi="Times New Roman" w:eastAsia="Times New Roman" w:cs="Times New Roman"/>
                <w:b w:val="0"/>
                <w:color w:val="000000"/>
                <w:sz w:val="22"/>
              </w:rPr>
              <w:t>3.954</w:t>
            </w:r>
          </w:p>
        </w:tc>
        <w:tc>
          <w:tcPr>
            <w:tcW w:w="1440" w:type="dxa"/>
            <w:tcBorders>
              <w:top w:val="nil"/>
              <w:left w:val="nil"/>
              <w:bottom w:val="nil"/>
              <w:right w:val="nil"/>
              <w:insideH w:val="nil"/>
              <w:insideV w:val="nil"/>
            </w:tcBorders>
            <w:shd w:val="clear" w:color="auto" w:fill="FFFFFF"/>
          </w:tcPr>
          <w:p w14:paraId="3A02CE9E">
            <w:pPr>
              <w:spacing w:before="40" w:after="40" w:line="276" w:lineRule="auto"/>
              <w:ind w:firstLine="0"/>
            </w:pPr>
            <w:r>
              <w:rPr>
                <w:rFonts w:ascii="Times New Roman" w:hAnsi="Times New Roman" w:eastAsia="Times New Roman" w:cs="Times New Roman"/>
                <w:b w:val="0"/>
                <w:color w:val="000000"/>
                <w:sz w:val="22"/>
              </w:rPr>
              <w:t>4.314</w:t>
            </w:r>
          </w:p>
        </w:tc>
        <w:tc>
          <w:tcPr>
            <w:tcW w:w="1440" w:type="dxa"/>
            <w:tcBorders>
              <w:top w:val="nil"/>
              <w:left w:val="nil"/>
              <w:bottom w:val="nil"/>
              <w:right w:val="nil"/>
              <w:insideH w:val="nil"/>
              <w:insideV w:val="nil"/>
            </w:tcBorders>
            <w:shd w:val="clear" w:color="auto" w:fill="FFFFFF"/>
          </w:tcPr>
          <w:p w14:paraId="6316F0C0">
            <w:pPr>
              <w:spacing w:before="40" w:after="40" w:line="276" w:lineRule="auto"/>
              <w:ind w:firstLine="0"/>
            </w:pPr>
            <w:r>
              <w:rPr>
                <w:rFonts w:ascii="Times New Roman" w:hAnsi="Times New Roman" w:eastAsia="Times New Roman" w:cs="Times New Roman"/>
                <w:b w:val="0"/>
                <w:color w:val="000000"/>
                <w:sz w:val="22"/>
              </w:rPr>
              <w:t>+0.360</w:t>
            </w:r>
          </w:p>
        </w:tc>
        <w:tc>
          <w:tcPr>
            <w:tcW w:w="1440" w:type="dxa"/>
            <w:tcBorders>
              <w:top w:val="nil"/>
              <w:left w:val="nil"/>
              <w:bottom w:val="nil"/>
              <w:right w:val="nil"/>
              <w:insideH w:val="nil"/>
              <w:insideV w:val="nil"/>
            </w:tcBorders>
            <w:shd w:val="clear" w:color="auto" w:fill="FFFFFF"/>
          </w:tcPr>
          <w:p w14:paraId="3267DCD5">
            <w:pPr>
              <w:spacing w:before="40" w:after="40" w:line="276" w:lineRule="auto"/>
              <w:ind w:firstLine="0"/>
            </w:pPr>
            <w:r>
              <w:rPr>
                <w:rFonts w:ascii="Times New Roman" w:hAnsi="Times New Roman" w:eastAsia="Times New Roman" w:cs="Times New Roman"/>
                <w:b w:val="0"/>
                <w:color w:val="000000"/>
                <w:sz w:val="22"/>
              </w:rPr>
              <w:t>93.5%</w:t>
            </w:r>
          </w:p>
        </w:tc>
      </w:tr>
      <w:tr w14:paraId="4CC260E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nil"/>
              <w:right w:val="nil"/>
              <w:insideH w:val="nil"/>
              <w:insideV w:val="nil"/>
            </w:tcBorders>
            <w:shd w:val="clear" w:color="auto" w:fill="FFFFFF"/>
          </w:tcPr>
          <w:p w14:paraId="17A76407">
            <w:pPr>
              <w:spacing w:before="40" w:after="40" w:line="276" w:lineRule="auto"/>
              <w:ind w:firstLine="0"/>
            </w:pPr>
            <w:r>
              <w:rPr>
                <w:rFonts w:ascii="Times New Roman" w:hAnsi="Times New Roman" w:eastAsia="Times New Roman" w:cs="Times New Roman"/>
                <w:b w:val="0"/>
                <w:color w:val="000000"/>
                <w:sz w:val="22"/>
              </w:rPr>
              <w:t>V6</w:t>
            </w:r>
          </w:p>
        </w:tc>
        <w:tc>
          <w:tcPr>
            <w:tcW w:w="1440" w:type="dxa"/>
            <w:tcBorders>
              <w:top w:val="nil"/>
              <w:left w:val="nil"/>
              <w:bottom w:val="nil"/>
              <w:right w:val="nil"/>
              <w:insideH w:val="nil"/>
              <w:insideV w:val="nil"/>
            </w:tcBorders>
            <w:shd w:val="clear" w:color="auto" w:fill="FFFFFF"/>
          </w:tcPr>
          <w:p w14:paraId="38F96F16">
            <w:pPr>
              <w:spacing w:before="40" w:after="40" w:line="276" w:lineRule="auto"/>
              <w:ind w:firstLine="0"/>
            </w:pPr>
            <w:r>
              <w:rPr>
                <w:rFonts w:ascii="Times New Roman" w:hAnsi="Times New Roman" w:eastAsia="Times New Roman" w:cs="Times New Roman"/>
                <w:b w:val="0"/>
                <w:color w:val="000000"/>
                <w:sz w:val="22"/>
              </w:rPr>
              <w:t>LoRA rank/alpha re-tuning (4,509 samples)</w:t>
            </w:r>
          </w:p>
        </w:tc>
        <w:tc>
          <w:tcPr>
            <w:tcW w:w="1440" w:type="dxa"/>
            <w:tcBorders>
              <w:top w:val="nil"/>
              <w:left w:val="nil"/>
              <w:bottom w:val="nil"/>
              <w:right w:val="nil"/>
              <w:insideH w:val="nil"/>
              <w:insideV w:val="nil"/>
            </w:tcBorders>
            <w:shd w:val="clear" w:color="auto" w:fill="FFFFFF"/>
          </w:tcPr>
          <w:p w14:paraId="1D3F5EAA">
            <w:pPr>
              <w:spacing w:before="40" w:after="40" w:line="276" w:lineRule="auto"/>
              <w:ind w:firstLine="0"/>
            </w:pPr>
            <w:r>
              <w:rPr>
                <w:rFonts w:ascii="Times New Roman" w:hAnsi="Times New Roman" w:eastAsia="Times New Roman" w:cs="Times New Roman"/>
                <w:b w:val="0"/>
                <w:color w:val="000000"/>
                <w:sz w:val="22"/>
              </w:rPr>
              <w:t>3.954</w:t>
            </w:r>
          </w:p>
        </w:tc>
        <w:tc>
          <w:tcPr>
            <w:tcW w:w="1440" w:type="dxa"/>
            <w:tcBorders>
              <w:top w:val="nil"/>
              <w:left w:val="nil"/>
              <w:bottom w:val="nil"/>
              <w:right w:val="nil"/>
              <w:insideH w:val="nil"/>
              <w:insideV w:val="nil"/>
            </w:tcBorders>
            <w:shd w:val="clear" w:color="auto" w:fill="FFFFFF"/>
          </w:tcPr>
          <w:p w14:paraId="5AA27702">
            <w:pPr>
              <w:spacing w:before="40" w:after="40" w:line="276" w:lineRule="auto"/>
              <w:ind w:firstLine="0"/>
            </w:pPr>
            <w:r>
              <w:rPr>
                <w:rFonts w:ascii="Times New Roman" w:hAnsi="Times New Roman" w:eastAsia="Times New Roman" w:cs="Times New Roman"/>
                <w:b w:val="0"/>
                <w:color w:val="000000"/>
                <w:sz w:val="22"/>
              </w:rPr>
              <w:t>4.375</w:t>
            </w:r>
          </w:p>
        </w:tc>
        <w:tc>
          <w:tcPr>
            <w:tcW w:w="1440" w:type="dxa"/>
            <w:tcBorders>
              <w:top w:val="nil"/>
              <w:left w:val="nil"/>
              <w:bottom w:val="nil"/>
              <w:right w:val="nil"/>
              <w:insideH w:val="nil"/>
              <w:insideV w:val="nil"/>
            </w:tcBorders>
            <w:shd w:val="clear" w:color="auto" w:fill="FFFFFF"/>
          </w:tcPr>
          <w:p w14:paraId="1B448E10">
            <w:pPr>
              <w:spacing w:before="40" w:after="40" w:line="276" w:lineRule="auto"/>
              <w:ind w:firstLine="0"/>
            </w:pPr>
            <w:r>
              <w:rPr>
                <w:rFonts w:ascii="Times New Roman" w:hAnsi="Times New Roman" w:eastAsia="Times New Roman" w:cs="Times New Roman"/>
                <w:b w:val="0"/>
                <w:color w:val="000000"/>
                <w:sz w:val="22"/>
              </w:rPr>
              <w:t>+0.420</w:t>
            </w:r>
          </w:p>
        </w:tc>
        <w:tc>
          <w:tcPr>
            <w:tcW w:w="1440" w:type="dxa"/>
            <w:tcBorders>
              <w:top w:val="nil"/>
              <w:left w:val="nil"/>
              <w:bottom w:val="nil"/>
              <w:right w:val="nil"/>
              <w:insideH w:val="nil"/>
              <w:insideV w:val="nil"/>
            </w:tcBorders>
            <w:shd w:val="clear" w:color="auto" w:fill="FFFFFF"/>
          </w:tcPr>
          <w:p w14:paraId="26A8A9E8">
            <w:pPr>
              <w:spacing w:before="40" w:after="40" w:line="276" w:lineRule="auto"/>
              <w:ind w:firstLine="0"/>
            </w:pPr>
            <w:r>
              <w:rPr>
                <w:rFonts w:ascii="Times New Roman" w:hAnsi="Times New Roman" w:eastAsia="Times New Roman" w:cs="Times New Roman"/>
                <w:b w:val="0"/>
                <w:color w:val="000000"/>
                <w:sz w:val="22"/>
              </w:rPr>
              <w:t>94.8%</w:t>
            </w:r>
          </w:p>
        </w:tc>
      </w:tr>
      <w:tr w14:paraId="0D0AAA5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nil"/>
              <w:right w:val="nil"/>
              <w:insideH w:val="nil"/>
              <w:insideV w:val="nil"/>
            </w:tcBorders>
            <w:shd w:val="clear" w:color="auto" w:fill="FFFFFF"/>
          </w:tcPr>
          <w:p w14:paraId="08760EDB">
            <w:pPr>
              <w:spacing w:before="40" w:after="40" w:line="276" w:lineRule="auto"/>
              <w:ind w:firstLine="0"/>
            </w:pPr>
            <w:r>
              <w:rPr>
                <w:rFonts w:ascii="Times New Roman" w:hAnsi="Times New Roman" w:eastAsia="Times New Roman" w:cs="Times New Roman"/>
                <w:b w:val="0"/>
                <w:color w:val="000000"/>
                <w:sz w:val="22"/>
              </w:rPr>
              <w:t>V7</w:t>
            </w:r>
          </w:p>
        </w:tc>
        <w:tc>
          <w:tcPr>
            <w:tcW w:w="1440" w:type="dxa"/>
            <w:tcBorders>
              <w:top w:val="nil"/>
              <w:left w:val="nil"/>
              <w:bottom w:val="nil"/>
              <w:right w:val="nil"/>
              <w:insideH w:val="nil"/>
              <w:insideV w:val="nil"/>
            </w:tcBorders>
            <w:shd w:val="clear" w:color="auto" w:fill="FFFFFF"/>
          </w:tcPr>
          <w:p w14:paraId="2C6F845E">
            <w:pPr>
              <w:spacing w:before="40" w:after="40" w:line="276" w:lineRule="auto"/>
              <w:ind w:firstLine="0"/>
            </w:pPr>
            <w:r>
              <w:rPr>
                <w:rFonts w:ascii="Times New Roman" w:hAnsi="Times New Roman" w:eastAsia="Times New Roman" w:cs="Times New Roman"/>
                <w:b w:val="0"/>
                <w:color w:val="000000"/>
                <w:sz w:val="22"/>
              </w:rPr>
              <w:t>Rubric-aligned system prompt (4,509 samples)</w:t>
            </w:r>
          </w:p>
        </w:tc>
        <w:tc>
          <w:tcPr>
            <w:tcW w:w="1440" w:type="dxa"/>
            <w:tcBorders>
              <w:top w:val="nil"/>
              <w:left w:val="nil"/>
              <w:bottom w:val="nil"/>
              <w:right w:val="nil"/>
              <w:insideH w:val="nil"/>
              <w:insideV w:val="nil"/>
            </w:tcBorders>
            <w:shd w:val="clear" w:color="auto" w:fill="FFFFFF"/>
          </w:tcPr>
          <w:p w14:paraId="1A4FAB9F">
            <w:pPr>
              <w:spacing w:before="40" w:after="40" w:line="276" w:lineRule="auto"/>
              <w:ind w:firstLine="0"/>
            </w:pPr>
            <w:r>
              <w:rPr>
                <w:rFonts w:ascii="Times New Roman" w:hAnsi="Times New Roman" w:eastAsia="Times New Roman" w:cs="Times New Roman"/>
                <w:b w:val="0"/>
                <w:color w:val="000000"/>
                <w:sz w:val="22"/>
              </w:rPr>
              <w:t>3.954</w:t>
            </w:r>
          </w:p>
        </w:tc>
        <w:tc>
          <w:tcPr>
            <w:tcW w:w="1440" w:type="dxa"/>
            <w:tcBorders>
              <w:top w:val="nil"/>
              <w:left w:val="nil"/>
              <w:bottom w:val="nil"/>
              <w:right w:val="nil"/>
              <w:insideH w:val="nil"/>
              <w:insideV w:val="nil"/>
            </w:tcBorders>
            <w:shd w:val="clear" w:color="auto" w:fill="FFFFFF"/>
          </w:tcPr>
          <w:p w14:paraId="6F5E05CF">
            <w:pPr>
              <w:spacing w:before="40" w:after="40" w:line="276" w:lineRule="auto"/>
              <w:ind w:firstLine="0"/>
            </w:pPr>
            <w:r>
              <w:rPr>
                <w:rFonts w:ascii="Times New Roman" w:hAnsi="Times New Roman" w:eastAsia="Times New Roman" w:cs="Times New Roman"/>
                <w:b w:val="0"/>
                <w:color w:val="000000"/>
                <w:sz w:val="22"/>
              </w:rPr>
              <w:t>4.352</w:t>
            </w:r>
          </w:p>
        </w:tc>
        <w:tc>
          <w:tcPr>
            <w:tcW w:w="1440" w:type="dxa"/>
            <w:tcBorders>
              <w:top w:val="nil"/>
              <w:left w:val="nil"/>
              <w:bottom w:val="nil"/>
              <w:right w:val="nil"/>
              <w:insideH w:val="nil"/>
              <w:insideV w:val="nil"/>
            </w:tcBorders>
            <w:shd w:val="clear" w:color="auto" w:fill="FFFFFF"/>
          </w:tcPr>
          <w:p w14:paraId="55DB5734">
            <w:pPr>
              <w:spacing w:before="40" w:after="40" w:line="276" w:lineRule="auto"/>
              <w:ind w:firstLine="0"/>
            </w:pPr>
            <w:r>
              <w:rPr>
                <w:rFonts w:ascii="Times New Roman" w:hAnsi="Times New Roman" w:eastAsia="Times New Roman" w:cs="Times New Roman"/>
                <w:b w:val="0"/>
                <w:color w:val="000000"/>
                <w:sz w:val="22"/>
              </w:rPr>
              <w:t>+0.397</w:t>
            </w:r>
          </w:p>
        </w:tc>
        <w:tc>
          <w:tcPr>
            <w:tcW w:w="1440" w:type="dxa"/>
            <w:tcBorders>
              <w:top w:val="nil"/>
              <w:left w:val="nil"/>
              <w:bottom w:val="nil"/>
              <w:right w:val="nil"/>
              <w:insideH w:val="nil"/>
              <w:insideV w:val="nil"/>
            </w:tcBorders>
            <w:shd w:val="clear" w:color="auto" w:fill="FFFFFF"/>
          </w:tcPr>
          <w:p w14:paraId="43A90F2A">
            <w:pPr>
              <w:spacing w:before="40" w:after="40" w:line="276" w:lineRule="auto"/>
              <w:ind w:firstLine="0"/>
            </w:pPr>
            <w:r>
              <w:rPr>
                <w:rFonts w:ascii="Times New Roman" w:hAnsi="Times New Roman" w:eastAsia="Times New Roman" w:cs="Times New Roman"/>
                <w:b w:val="0"/>
                <w:color w:val="000000"/>
                <w:sz w:val="22"/>
              </w:rPr>
              <w:t>94.3%</w:t>
            </w:r>
          </w:p>
        </w:tc>
      </w:tr>
      <w:tr w14:paraId="0179271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440" w:type="dxa"/>
            <w:tcBorders>
              <w:top w:val="nil"/>
              <w:left w:val="nil"/>
              <w:bottom w:val="single" w:color="000000" w:sz="12" w:space="0"/>
              <w:right w:val="nil"/>
              <w:insideH w:val="nil"/>
              <w:insideV w:val="nil"/>
            </w:tcBorders>
            <w:shd w:val="clear" w:color="auto" w:fill="FFFFFF"/>
          </w:tcPr>
          <w:p w14:paraId="1B1CC421">
            <w:pPr>
              <w:spacing w:before="40" w:after="40" w:line="276" w:lineRule="auto"/>
              <w:ind w:firstLine="0"/>
            </w:pPr>
            <w:r>
              <w:rPr>
                <w:rFonts w:ascii="Times New Roman" w:hAnsi="Times New Roman" w:eastAsia="Times New Roman" w:cs="Times New Roman"/>
                <w:b w:val="0"/>
                <w:color w:val="000000"/>
                <w:sz w:val="22"/>
              </w:rPr>
              <w:t>V8</w:t>
            </w:r>
          </w:p>
        </w:tc>
        <w:tc>
          <w:tcPr>
            <w:tcW w:w="1440" w:type="dxa"/>
            <w:tcBorders>
              <w:top w:val="nil"/>
              <w:left w:val="nil"/>
              <w:bottom w:val="single" w:color="000000" w:sz="12" w:space="0"/>
              <w:right w:val="nil"/>
              <w:insideH w:val="nil"/>
              <w:insideV w:val="nil"/>
            </w:tcBorders>
            <w:shd w:val="clear" w:color="auto" w:fill="FFFFFF"/>
          </w:tcPr>
          <w:p w14:paraId="4C87298D">
            <w:pPr>
              <w:spacing w:before="40" w:after="40" w:line="276" w:lineRule="auto"/>
              <w:ind w:firstLine="0"/>
            </w:pPr>
            <w:r>
              <w:rPr>
                <w:rFonts w:ascii="Times New Roman" w:hAnsi="Times New Roman" w:eastAsia="Times New Roman" w:cs="Times New Roman"/>
                <w:b w:val="0"/>
                <w:color w:val="000000"/>
                <w:sz w:val="22"/>
              </w:rPr>
              <w:t>V4 corpus + V6 LoRA + V7 prompt + 2-epoch cosine (4,509 samples)</w:t>
            </w:r>
          </w:p>
        </w:tc>
        <w:tc>
          <w:tcPr>
            <w:tcW w:w="1440" w:type="dxa"/>
            <w:tcBorders>
              <w:top w:val="nil"/>
              <w:left w:val="nil"/>
              <w:bottom w:val="single" w:color="000000" w:sz="12" w:space="0"/>
              <w:right w:val="nil"/>
              <w:insideH w:val="nil"/>
              <w:insideV w:val="nil"/>
            </w:tcBorders>
            <w:shd w:val="clear" w:color="auto" w:fill="FFFFFF"/>
          </w:tcPr>
          <w:p w14:paraId="0BB92BE9">
            <w:pPr>
              <w:spacing w:before="40" w:after="40" w:line="276" w:lineRule="auto"/>
              <w:ind w:firstLine="0"/>
            </w:pPr>
            <w:r>
              <w:rPr>
                <w:rFonts w:ascii="Times New Roman" w:hAnsi="Times New Roman" w:eastAsia="Times New Roman" w:cs="Times New Roman"/>
                <w:b w:val="0"/>
                <w:color w:val="000000"/>
                <w:sz w:val="22"/>
              </w:rPr>
              <w:t>3.954</w:t>
            </w:r>
          </w:p>
        </w:tc>
        <w:tc>
          <w:tcPr>
            <w:tcW w:w="1440" w:type="dxa"/>
            <w:tcBorders>
              <w:top w:val="nil"/>
              <w:left w:val="nil"/>
              <w:bottom w:val="single" w:color="000000" w:sz="12" w:space="0"/>
              <w:right w:val="nil"/>
              <w:insideH w:val="nil"/>
              <w:insideV w:val="nil"/>
            </w:tcBorders>
            <w:shd w:val="clear" w:color="auto" w:fill="FFFFFF"/>
          </w:tcPr>
          <w:p w14:paraId="19E30AA2">
            <w:pPr>
              <w:spacing w:before="40" w:after="40" w:line="276" w:lineRule="auto"/>
              <w:ind w:firstLine="0"/>
            </w:pPr>
            <w:r>
              <w:rPr>
                <w:rFonts w:ascii="Times New Roman" w:hAnsi="Times New Roman" w:eastAsia="Times New Roman" w:cs="Times New Roman"/>
                <w:b w:val="0"/>
                <w:color w:val="000000"/>
                <w:sz w:val="22"/>
              </w:rPr>
              <w:t>4.383</w:t>
            </w:r>
          </w:p>
        </w:tc>
        <w:tc>
          <w:tcPr>
            <w:tcW w:w="1440" w:type="dxa"/>
            <w:tcBorders>
              <w:top w:val="nil"/>
              <w:left w:val="nil"/>
              <w:bottom w:val="single" w:color="000000" w:sz="12" w:space="0"/>
              <w:right w:val="nil"/>
              <w:insideH w:val="nil"/>
              <w:insideV w:val="nil"/>
            </w:tcBorders>
            <w:shd w:val="clear" w:color="auto" w:fill="FFFFFF"/>
          </w:tcPr>
          <w:p w14:paraId="498E31D0">
            <w:pPr>
              <w:spacing w:before="40" w:after="40" w:line="276" w:lineRule="auto"/>
              <w:ind w:firstLine="0"/>
            </w:pPr>
            <w:r>
              <w:rPr>
                <w:rFonts w:ascii="Times New Roman" w:hAnsi="Times New Roman" w:eastAsia="Times New Roman" w:cs="Times New Roman"/>
                <w:b w:val="0"/>
                <w:color w:val="000000"/>
                <w:sz w:val="22"/>
              </w:rPr>
              <w:t>+0.428</w:t>
            </w:r>
          </w:p>
        </w:tc>
        <w:tc>
          <w:tcPr>
            <w:tcW w:w="1440" w:type="dxa"/>
            <w:tcBorders>
              <w:top w:val="nil"/>
              <w:left w:val="nil"/>
              <w:bottom w:val="single" w:color="000000" w:sz="12" w:space="0"/>
              <w:right w:val="nil"/>
              <w:insideH w:val="nil"/>
              <w:insideV w:val="nil"/>
            </w:tcBorders>
            <w:shd w:val="clear" w:color="auto" w:fill="FFFFFF"/>
          </w:tcPr>
          <w:p w14:paraId="29BFEC71">
            <w:pPr>
              <w:spacing w:before="40" w:after="40" w:line="276" w:lineRule="auto"/>
              <w:ind w:firstLine="0"/>
            </w:pPr>
            <w:r>
              <w:rPr>
                <w:rFonts w:hint="default" w:ascii="Times New Roman" w:hAnsi="Times New Roman" w:eastAsia="Times New Roman" w:cs="Times New Roman"/>
                <w:b w:val="0"/>
                <w:bCs/>
                <w:i w:val="0"/>
                <w:color w:val="000000"/>
                <w:sz w:val="22"/>
                <w:lang w:val="en-US"/>
              </w:rPr>
              <w:t>94.99</w:t>
            </w:r>
            <w:r>
              <w:rPr>
                <w:rFonts w:ascii="Times New Roman" w:hAnsi="Times New Roman" w:eastAsia="Times New Roman" w:cs="Times New Roman"/>
                <w:b w:val="0"/>
                <w:bCs/>
                <w:i w:val="0"/>
                <w:color w:val="000000"/>
                <w:sz w:val="22"/>
              </w:rPr>
              <w:t>%</w:t>
            </w:r>
          </w:p>
        </w:tc>
      </w:tr>
    </w:tbl>
    <w:p w14:paraId="7A40BC2D">
      <w:pPr>
        <w:spacing w:before="80" w:after="160" w:line="276" w:lineRule="auto"/>
        <w:ind w:firstLine="0"/>
        <w:jc w:val="center"/>
      </w:pPr>
      <w:r>
        <w:rPr>
          <w:rFonts w:ascii="Arial" w:hAnsi="Arial" w:eastAsia="Arial" w:cs="Arial"/>
          <w:b/>
          <w:i/>
          <w:color w:val="00468C"/>
          <w:sz w:val="20"/>
        </w:rPr>
        <w:t>Table 7.8 — Trajectory of CMQS, fine-tuning gain, and QPS across experimental Versions 2–8. Hyperparameter details for V8 follow Table 5.10.</w:t>
      </w:r>
    </w:p>
    <w:p w14:paraId="5FF7B11A">
      <w:pPr>
        <w:pStyle w:val="4"/>
        <w:spacing w:before="240" w:after="120" w:line="276" w:lineRule="auto"/>
        <w:ind w:firstLine="0"/>
        <w:jc w:val="left"/>
      </w:pPr>
      <w:r>
        <w:rPr>
          <w:rFonts w:ascii="Times New Roman" w:hAnsi="Times New Roman" w:eastAsia="Times New Roman" w:cs="Times New Roman"/>
          <w:b/>
          <w:color w:val="002855"/>
          <w:sz w:val="24"/>
        </w:rPr>
        <w:t>7.2.4  Teacher vs. Student Gap Analysis</w:t>
      </w:r>
    </w:p>
    <w:p w14:paraId="2D581F9A">
      <w:pPr>
        <w:spacing w:before="80" w:after="160" w:line="276" w:lineRule="auto"/>
        <w:ind w:firstLine="0"/>
        <w:jc w:val="center"/>
      </w:pPr>
      <w:r>
        <w:rPr>
          <w:rFonts w:ascii="Arial" w:hAnsi="Arial" w:eastAsia="Arial" w:cs="Arial"/>
          <w:b/>
          <w:i w:val="0"/>
          <w:color w:val="00468C"/>
          <w:sz w:val="20"/>
        </w:rPr>
        <w:t>Figure 7.8 ranks the remaining teacher-student gaps after fine-tuning. Two dimensions concentrate almost all of the residual gap: D1 Factual Grounding (gap = 0.45) and D3 Correct Answer Validity (gap = 0.39). The other five dimensions all retain ≥ 98% of teacher performance, with D2 Clarity (QPS = 99.1%), D6 Topic alignment (QPS = 98.9%), D5 Bloom alignment (QPS = 98.0%) and D4 Distractor plausibility (QPS = 98.0%) effectively closing.</w:t>
      </w:r>
    </w:p>
    <w:p w14:paraId="12623A2F">
      <w:pPr>
        <w:spacing w:before="0" w:after="0" w:line="360" w:lineRule="auto"/>
        <w:jc w:val="both"/>
      </w:pPr>
      <w:r>
        <w:rPr>
          <w:rFonts w:ascii="Times New Roman" w:hAnsi="Times New Roman" w:eastAsia="Times New Roman" w:cs="Times New Roman"/>
          <w:sz w:val="24"/>
        </w:rPr>
        <w:drawing>
          <wp:inline distT="0" distB="0" distL="114300" distR="114300">
            <wp:extent cx="5273675" cy="2703830"/>
            <wp:effectExtent l="0" t="0" r="14605"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0"/>
                    <a:stretch>
                      <a:fillRect/>
                    </a:stretch>
                  </pic:blipFill>
                  <pic:spPr>
                    <a:xfrm>
                      <a:off x="0" y="0"/>
                      <a:ext cx="5273675" cy="2704407"/>
                    </a:xfrm>
                    <a:prstGeom prst="rect">
                      <a:avLst/>
                    </a:prstGeom>
                  </pic:spPr>
                </pic:pic>
              </a:graphicData>
            </a:graphic>
          </wp:inline>
        </w:drawing>
      </w:r>
    </w:p>
    <w:p w14:paraId="0F6276CC">
      <w:pPr>
        <w:spacing w:before="80" w:after="160" w:line="276" w:lineRule="auto"/>
        <w:ind w:firstLine="0"/>
        <w:jc w:val="center"/>
      </w:pPr>
      <w:r>
        <w:rPr>
          <w:rFonts w:ascii="Arial" w:hAnsi="Arial" w:eastAsia="Arial" w:cs="Arial"/>
          <w:b/>
          <w:i/>
          <w:color w:val="00468C"/>
          <w:sz w:val="20"/>
        </w:rPr>
        <w:t>Figure 7.8 — Ranking of remaining teacher-vs-Post-FT gaps. D1 and D3 dominate.</w:t>
      </w:r>
    </w:p>
    <w:p w14:paraId="2A55E6ED">
      <w:pPr>
        <w:spacing w:before="0" w:after="0" w:line="360" w:lineRule="auto"/>
        <w:jc w:val="both"/>
      </w:pP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drawing>
          <wp:inline distT="0" distB="0" distL="114300" distR="114300">
            <wp:extent cx="5029200" cy="16764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1"/>
                    <a:stretch>
                      <a:fillRect/>
                    </a:stretch>
                  </pic:blipFill>
                  <pic:spPr>
                    <a:xfrm>
                      <a:off x="0" y="0"/>
                      <a:ext cx="5029200" cy="1676400"/>
                    </a:xfrm>
                    <a:prstGeom prst="rect">
                      <a:avLst/>
                    </a:prstGeom>
                  </pic:spPr>
                </pic:pic>
              </a:graphicData>
            </a:graphic>
          </wp:inline>
        </w:drawing>
      </w:r>
    </w:p>
    <w:p w14:paraId="6C8F990A">
      <w:pPr>
        <w:spacing w:before="80" w:after="160" w:line="276" w:lineRule="auto"/>
        <w:ind w:firstLine="0"/>
        <w:jc w:val="center"/>
      </w:pPr>
      <w:r>
        <w:rPr>
          <w:rFonts w:ascii="Arial" w:hAnsi="Arial" w:eastAsia="Arial" w:cs="Arial"/>
          <w:b/>
          <w:i/>
          <w:color w:val="00468C"/>
          <w:sz w:val="20"/>
        </w:rPr>
        <w:t>Figure 7.9 — Heat-map of per-dimension scores (Teacher / Pre-FT / Post-FT). The Post-FT row is visually nearly indistinguishable from the Teacher row except along D1 and D3.</w:t>
      </w:r>
    </w:p>
    <w:p w14:paraId="6645C356">
      <w:pPr>
        <w:spacing w:before="0" w:after="0" w:line="360" w:lineRule="auto"/>
        <w:jc w:val="both"/>
      </w:pPr>
      <w:bookmarkStart w:id="0" w:name="_GoBack"/>
      <w:bookmarkEnd w:id="0"/>
      <w:r>
        <w:rPr>
          <w:rFonts w:ascii="Times New Roman" w:hAnsi="Times New Roman" w:eastAsia="Times New Roman" w:cs="Times New Roman"/>
          <w:b w:val="0"/>
          <w:i w:val="0"/>
          <w:sz w:val="24"/>
        </w:rPr>
        <w:t>The interpretation is that knowledge distillation is most successful where the required behaviour is style-like (clarity, taxonomy form, topical phrasing) and least successful where the required behaviour is grounding-like (verifying a fact against a chunk and constructing a correct answer that cannot be defeated by a distractor). A 1.5B-parameter student lacks the parametric world-knowledge that lets the teacher cross-check its own answers; the S2/S3 validation stages partially compensate for this at inference time, but the underlying parametric gap is what Figure 7.8 visualises. Practically, this is why the production pipeline does not rely on the student alone — every generated item is still filtered by S2 (semantic grounding ≥ 0.5 via BGE-Large) and S3 (NLI paraphrase check ≤ 0.78), turning the residual D1/D3 gap into a precision-recall trade-off rather than an end-user-visible quality loss.</w:t>
      </w:r>
    </w:p>
    <w:p w14:paraId="00662C56">
      <w:pPr>
        <w:pStyle w:val="4"/>
        <w:spacing w:before="240" w:after="120" w:line="276" w:lineRule="auto"/>
        <w:ind w:firstLine="0"/>
        <w:jc w:val="left"/>
      </w:pPr>
      <w:r>
        <w:rPr>
          <w:rFonts w:ascii="Times New Roman" w:hAnsi="Times New Roman" w:eastAsia="Times New Roman" w:cs="Times New Roman"/>
          <w:b/>
          <w:color w:val="002855"/>
          <w:sz w:val="24"/>
        </w:rPr>
        <w:t>7.2.5  Knowledge Distillation Effectiveness</w:t>
      </w:r>
    </w:p>
    <w:p w14:paraId="27CFC1DC">
      <w:pPr>
        <w:spacing w:before="0" w:after="0" w:line="360" w:lineRule="auto"/>
        <w:jc w:val="both"/>
      </w:pPr>
      <w:r>
        <w:rPr>
          <w:rFonts w:ascii="Times New Roman" w:hAnsi="Times New Roman" w:eastAsia="Times New Roman" w:cs="Times New Roman"/>
          <w:b w:val="0"/>
          <w:i w:val="0"/>
          <w:sz w:val="24"/>
        </w:rPr>
        <w:t>Effectiveness of distillation can be measured in three complementary ways: behavioural agreement with the teacher (KL divergence of judge-score distributions), semantic agreement (BGE-Large embedding similarity of generated stems and options), and overall quality preservation (QPS). Figure 7.10 summarises the KL analysis. On every dimension, the post-FT score distribution is closer to the teacher distribution than the pre-FT one — the largest reductions are on D1 (KL 0.319 → 0.100, −68.5%), D5 (Bloom alignment) and D3, and the smallest on D2 (already close because the base model produced clear stems). This is direct distributional evidence that the student learned teacher-like behaviour rather than just teacher-like aggregate means.</w:t>
      </w:r>
    </w:p>
    <w:p w14:paraId="6F2EB0D0">
      <w:pPr>
        <w:spacing w:before="0" w:after="0" w:line="360" w:lineRule="auto"/>
        <w:jc w:val="both"/>
      </w:pPr>
      <w:r>
        <w:rPr>
          <w:rFonts w:hint="default" w:ascii="Times New Roman" w:hAnsi="Times New Roman" w:eastAsia="Times New Roman" w:cs="Times New Roman"/>
          <w:sz w:val="24"/>
          <w:lang w:val="en-US"/>
        </w:rPr>
        <w:t xml:space="preserve"> </w:t>
      </w:r>
      <w:r>
        <w:rPr>
          <w:rFonts w:ascii="Times New Roman" w:hAnsi="Times New Roman" w:eastAsia="Times New Roman" w:cs="Times New Roman"/>
          <w:sz w:val="24"/>
        </w:rPr>
        <w:drawing>
          <wp:inline distT="0" distB="0" distL="114300" distR="114300">
            <wp:extent cx="5382895" cy="4022090"/>
            <wp:effectExtent l="0" t="0" r="12065" b="12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2"/>
                    <a:stretch>
                      <a:fillRect/>
                    </a:stretch>
                  </pic:blipFill>
                  <pic:spPr>
                    <a:xfrm>
                      <a:off x="0" y="0"/>
                      <a:ext cx="5382895" cy="4022615"/>
                    </a:xfrm>
                    <a:prstGeom prst="rect">
                      <a:avLst/>
                    </a:prstGeom>
                  </pic:spPr>
                </pic:pic>
              </a:graphicData>
            </a:graphic>
          </wp:inline>
        </w:drawing>
      </w:r>
    </w:p>
    <w:p w14:paraId="610A6F8C">
      <w:pPr>
        <w:spacing w:before="80" w:after="160" w:line="276" w:lineRule="auto"/>
        <w:ind w:firstLine="0"/>
        <w:jc w:val="center"/>
      </w:pPr>
      <w:r>
        <w:rPr>
          <w:rFonts w:ascii="Arial" w:hAnsi="Arial" w:eastAsia="Arial" w:cs="Arial"/>
          <w:b/>
          <w:i/>
          <w:color w:val="00468C"/>
          <w:sz w:val="20"/>
        </w:rPr>
        <w:t>Figure 7.10 — Per-dimension judge-score histograms for Teacher, Pre-FT and Post-FT. Post-FT (orange) tracks Teacher (blue) far more closely than Pre-FT (grey).</w:t>
      </w:r>
    </w:p>
    <w:p w14:paraId="6046D7BE">
      <w:pPr>
        <w:spacing w:before="0" w:after="0" w:line="360" w:lineRule="auto"/>
        <w:ind w:firstLine="720"/>
        <w:jc w:val="both"/>
      </w:pPr>
      <w:r>
        <w:rPr>
          <w:rFonts w:ascii="Times New Roman" w:hAnsi="Times New Roman" w:eastAsia="Times New Roman" w:cs="Times New Roman"/>
          <w:sz w:val="24"/>
        </w:rPr>
        <w:drawing>
          <wp:inline distT="0" distB="0" distL="114300" distR="114300">
            <wp:extent cx="4572000" cy="1662430"/>
            <wp:effectExtent l="0" t="0" r="0" b="139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3"/>
                    <a:stretch>
                      <a:fillRect/>
                    </a:stretch>
                  </pic:blipFill>
                  <pic:spPr>
                    <a:xfrm>
                      <a:off x="0" y="0"/>
                      <a:ext cx="4572000" cy="1662545"/>
                    </a:xfrm>
                    <a:prstGeom prst="rect">
                      <a:avLst/>
                    </a:prstGeom>
                  </pic:spPr>
                </pic:pic>
              </a:graphicData>
            </a:graphic>
          </wp:inline>
        </w:drawing>
      </w:r>
    </w:p>
    <w:p w14:paraId="1CE97A95">
      <w:pPr>
        <w:spacing w:before="80" w:after="160" w:line="276" w:lineRule="auto"/>
        <w:ind w:firstLine="0"/>
        <w:jc w:val="center"/>
      </w:pPr>
      <w:r>
        <w:rPr>
          <w:rFonts w:ascii="Arial" w:hAnsi="Arial" w:eastAsia="Arial" w:cs="Arial"/>
          <w:b/>
          <w:i/>
          <w:color w:val="00468C"/>
          <w:sz w:val="20"/>
        </w:rPr>
        <w:t>Figure 7.11 — KL divergence Pre-FT vs. Post-FT against the teacher distribution, per dimension.</w:t>
      </w:r>
    </w:p>
    <w:p w14:paraId="0C990F6F">
      <w:pPr>
        <w:spacing w:before="0" w:after="0" w:line="360" w:lineRule="auto"/>
        <w:ind w:firstLine="720"/>
        <w:jc w:val="both"/>
      </w:pPr>
      <w:r>
        <w:rPr>
          <w:rFonts w:ascii="Times New Roman" w:hAnsi="Times New Roman" w:eastAsia="Times New Roman" w:cs="Times New Roman"/>
          <w:sz w:val="24"/>
        </w:rPr>
        <w:drawing>
          <wp:inline distT="0" distB="0" distL="114300" distR="114300">
            <wp:extent cx="4572000" cy="1524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4"/>
                    <a:stretch>
                      <a:fillRect/>
                    </a:stretch>
                  </pic:blipFill>
                  <pic:spPr>
                    <a:xfrm>
                      <a:off x="0" y="0"/>
                      <a:ext cx="4572000" cy="1524000"/>
                    </a:xfrm>
                    <a:prstGeom prst="rect">
                      <a:avLst/>
                    </a:prstGeom>
                  </pic:spPr>
                </pic:pic>
              </a:graphicData>
            </a:graphic>
          </wp:inline>
        </w:drawing>
      </w:r>
    </w:p>
    <w:p w14:paraId="3774CCD7">
      <w:pPr>
        <w:spacing w:before="80" w:after="160" w:line="276" w:lineRule="auto"/>
        <w:ind w:firstLine="0"/>
        <w:jc w:val="center"/>
      </w:pPr>
      <w:r>
        <w:rPr>
          <w:rFonts w:ascii="Arial" w:hAnsi="Arial" w:eastAsia="Arial" w:cs="Arial"/>
          <w:b/>
          <w:i/>
          <w:color w:val="00468C"/>
          <w:sz w:val="20"/>
        </w:rPr>
        <w:t>Figure 7.12 — BGE-Large semantic similarity of student outputs to teacher outputs (V8).</w:t>
      </w:r>
    </w:p>
    <w:p w14:paraId="258C1545">
      <w:pPr>
        <w:spacing w:before="0" w:after="0" w:line="360" w:lineRule="auto"/>
        <w:jc w:val="both"/>
      </w:pPr>
      <w:r>
        <w:rPr>
          <w:rFonts w:ascii="Times New Roman" w:hAnsi="Times New Roman" w:eastAsia="Times New Roman" w:cs="Times New Roman"/>
          <w:b w:val="0"/>
          <w:i w:val="0"/>
          <w:sz w:val="24"/>
        </w:rPr>
        <w:t>Semantic similarity confirms the same story: the V8 student's stems and option sets cluster substantially closer to the teacher's in BGE-Large embedding space than the pre-FT student's. Aggregated across all measures, the system achieves QPS = 94.99%, meaning the distilled student preserves roughly 95% of the teacher's CMQS while using a model roughly two orders of magnitude smaller in parameter count and runnable on commodity hardware. What was not successfully transferred is equally informative: the D4 distractor gap closes almost entirely in score (gain +0.18, gap −0.08), but qualitative inspection of failures (§7.2.8) shows the student still occasionally produces lexically-divergent distractors that are semantically too distant from the correct answer — an artefact the teacher also exhibits and that distillation therefore inherits rather than fixes.</w:t>
      </w:r>
    </w:p>
    <w:p w14:paraId="0B2A7CA4">
      <w:pPr>
        <w:pStyle w:val="4"/>
        <w:spacing w:before="240" w:after="120" w:line="276" w:lineRule="auto"/>
        <w:ind w:firstLine="0"/>
        <w:jc w:val="left"/>
      </w:pPr>
      <w:r>
        <w:rPr>
          <w:rFonts w:ascii="Times New Roman" w:hAnsi="Times New Roman" w:eastAsia="Times New Roman" w:cs="Times New Roman"/>
          <w:b/>
          <w:color w:val="002855"/>
          <w:sz w:val="24"/>
        </w:rPr>
        <w:t>7.2.6  Quality Preservation Score (QPS) Analysis</w:t>
      </w:r>
    </w:p>
    <w:p w14:paraId="014119E4">
      <w:pPr>
        <w:spacing w:before="0" w:after="0" w:line="360" w:lineRule="auto"/>
        <w:jc w:val="both"/>
      </w:pPr>
      <w:r>
        <w:rPr>
          <w:rFonts w:ascii="Times New Roman" w:hAnsi="Times New Roman" w:eastAsia="Times New Roman" w:cs="Times New Roman"/>
          <w:b w:val="0"/>
          <w:i w:val="0"/>
          <w:sz w:val="24"/>
        </w:rPr>
        <w:t>QPS, defined in Chapter 6 as the ratio of post-FT CMQS to teacher CMQS, is the single most important number in this chapter because it converts a multi-dimensional comparison into a one-number deployment criterion. Figure 7.13 plots QPS evolution across versions V2 → V8.</w:t>
      </w:r>
    </w:p>
    <w:p w14:paraId="4A3EFE3D">
      <w:pPr>
        <w:spacing w:before="0" w:after="0" w:line="360" w:lineRule="auto"/>
        <w:ind w:firstLine="720"/>
        <w:jc w:val="both"/>
      </w:pPr>
      <w:r>
        <w:rPr>
          <w:rFonts w:ascii="Times New Roman" w:hAnsi="Times New Roman" w:eastAsia="Times New Roman" w:cs="Times New Roman"/>
          <w:sz w:val="24"/>
        </w:rPr>
        <w:drawing>
          <wp:inline distT="0" distB="0" distL="114300" distR="114300">
            <wp:extent cx="4572000" cy="2540000"/>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5"/>
                    <a:stretch>
                      <a:fillRect/>
                    </a:stretch>
                  </pic:blipFill>
                  <pic:spPr>
                    <a:xfrm>
                      <a:off x="0" y="0"/>
                      <a:ext cx="4572000" cy="2540000"/>
                    </a:xfrm>
                    <a:prstGeom prst="rect">
                      <a:avLst/>
                    </a:prstGeom>
                  </pic:spPr>
                </pic:pic>
              </a:graphicData>
            </a:graphic>
          </wp:inline>
        </w:drawing>
      </w:r>
    </w:p>
    <w:p w14:paraId="691DFD70">
      <w:pPr>
        <w:spacing w:before="80" w:after="160" w:line="276" w:lineRule="auto"/>
        <w:ind w:firstLine="0"/>
        <w:jc w:val="center"/>
      </w:pPr>
      <w:r>
        <w:rPr>
          <w:rFonts w:ascii="Arial" w:hAnsi="Arial" w:eastAsia="Arial" w:cs="Arial"/>
          <w:b/>
          <w:i/>
          <w:color w:val="00468C"/>
          <w:sz w:val="20"/>
        </w:rPr>
        <w:t>Figure 7.13 — CMQS for Teacher, Pre-FT, and Post-FT (V8). QPS = 94.99%.</w:t>
      </w:r>
    </w:p>
    <w:p w14:paraId="6F4DFC8D">
      <w:pPr>
        <w:spacing w:before="0" w:after="0" w:line="360" w:lineRule="auto"/>
        <w:jc w:val="both"/>
      </w:pPr>
      <w:r>
        <w:rPr>
          <w:rFonts w:ascii="Times New Roman" w:hAnsi="Times New Roman" w:eastAsia="Times New Roman" w:cs="Times New Roman"/>
          <w:b w:val="0"/>
          <w:i w:val="0"/>
          <w:sz w:val="24"/>
        </w:rPr>
        <w:t>The version trajectory (Table 7.8) shows three plateaus: V2–V3 (~92%) limited by noisy training data, V4–V7 (~94%) once the S1–S3 filter was applied to the training corpus, and V8 (95.0%) once the prompt, LoRA configuration and schedule of Table 5.10 were co-optimised. Crucially, the V5 dip (93.5%) confirms that QPS is not monotone in dataset size — removing ~7% additional near-duplicates that contained legitimate distractor variation reduced effective coverage of D4 and visibly dragged QPS down. This is an important software-engineering finding: data-pipeline thresholds (Jaccard for dedup, BGE cosine for grounding, NLI entailment for paraphrase) cannot be tuned independently of the downstream judge score; V4 → V8 progress required treating the validation thresholds as hyperparameters of the training pipeline, not as fixed pre-processing constants. QPS correlates strongly with per-dimension QPS values (D2 99.1%, D6 98.9%, D5/D4 98.0%, D3 92.0%, D1 90.2%): the composite is essentially pulled down by D1 and D3, so any future gain in QPS beyond 95% will have to come from grounding, not from polishing the already-saturated dimensions.</w:t>
      </w:r>
    </w:p>
    <w:p w14:paraId="7224F1AD">
      <w:pPr>
        <w:pStyle w:val="4"/>
        <w:spacing w:before="240" w:after="120" w:line="276" w:lineRule="auto"/>
        <w:ind w:firstLine="0"/>
        <w:jc w:val="left"/>
      </w:pPr>
      <w:r>
        <w:rPr>
          <w:rFonts w:ascii="Times New Roman" w:hAnsi="Times New Roman" w:eastAsia="Times New Roman" w:cs="Times New Roman"/>
          <w:b/>
          <w:color w:val="002855"/>
          <w:sz w:val="24"/>
        </w:rPr>
        <w:t>7.2.7  LLM-as-a-Judge Findings</w:t>
      </w:r>
    </w:p>
    <w:p w14:paraId="5BDEDF6B">
      <w:pPr>
        <w:spacing w:before="0" w:after="0" w:line="360" w:lineRule="auto"/>
        <w:jc w:val="both"/>
      </w:pPr>
      <w:r>
        <w:rPr>
          <w:rFonts w:ascii="Times New Roman" w:hAnsi="Times New Roman" w:eastAsia="Times New Roman" w:cs="Times New Roman"/>
          <w:b w:val="0"/>
          <w:i w:val="0"/>
          <w:sz w:val="24"/>
        </w:rPr>
        <w:t xml:space="preserve">Each MCQ was scored by Llama-3.3-70B-Versatile (with GPT-OSS-120B used for cross-judge sanity on a </w:t>
      </w:r>
      <w:r>
        <w:rPr>
          <w:rFonts w:hint="default" w:ascii="Times New Roman" w:hAnsi="Times New Roman" w:eastAsia="Times New Roman" w:cs="Times New Roman"/>
          <w:b w:val="0"/>
          <w:i w:val="0"/>
          <w:sz w:val="24"/>
          <w:lang w:val="en-US"/>
        </w:rPr>
        <w:t>200</w:t>
      </w:r>
      <w:r>
        <w:rPr>
          <w:rFonts w:ascii="Times New Roman" w:hAnsi="Times New Roman" w:eastAsia="Times New Roman" w:cs="Times New Roman"/>
          <w:b w:val="0"/>
          <w:i w:val="0"/>
          <w:sz w:val="24"/>
        </w:rPr>
        <w:t>-item subset, as described in Chapter 6). Beyond the numerical scores already analysed, the judge's free-text rationales surface three recurring strengths and three recurring criticisms of the V8 student.</w:t>
      </w:r>
    </w:p>
    <w:p w14:paraId="7100B852">
      <w:pPr>
        <w:spacing w:before="0" w:after="0" w:line="360" w:lineRule="auto"/>
        <w:jc w:val="both"/>
      </w:pPr>
      <w:r>
        <w:rPr>
          <w:rFonts w:ascii="Times New Roman" w:hAnsi="Times New Roman" w:eastAsia="Times New Roman" w:cs="Times New Roman"/>
          <w:b w:val="0"/>
          <w:i w:val="0"/>
          <w:sz w:val="24"/>
        </w:rPr>
        <w:t>Recurring strengths: (i) consistently grammatical and unambiguous stems (D2 = 4.92, judge often comments 'clear, single-best-answer phrasing'); (ii) tight alignment between question topic and chunk content (D6 = 4.89, frequently flagged 'on-topic, derivable from passage'); (iii) plausible mid-level Bloom phrasing for Understand/Apply/Analyze items (verbs match the rubric, no vague 'discuss' or 'list').</w:t>
      </w:r>
    </w:p>
    <w:p w14:paraId="18316AD4">
      <w:pPr>
        <w:spacing w:before="0" w:after="0" w:line="360" w:lineRule="auto"/>
        <w:jc w:val="both"/>
      </w:pPr>
      <w:r>
        <w:rPr>
          <w:rFonts w:ascii="Times New Roman" w:hAnsi="Times New Roman" w:eastAsia="Times New Roman" w:cs="Times New Roman"/>
          <w:b w:val="0"/>
          <w:i w:val="0"/>
          <w:sz w:val="24"/>
        </w:rPr>
        <w:t>Recurring criticisms: (i) over-specific factual claims that exceed what the source chunk supports (D1 failure mode, e.g. citing exact dataset sizes that the chunk did not contain); (ii) one option that is technically correct under a generous reading, weakening the 'single best answer' guarantee (D3 failure mode); (iii) a distractor that is grammatically parallel but semantically off-topic, producing a 'too easy' item rather than a wrong one (D4 failure mode).</w:t>
      </w:r>
    </w:p>
    <w:p w14:paraId="557E4AE2">
      <w:pPr>
        <w:spacing w:before="0" w:after="0" w:line="360" w:lineRule="auto"/>
        <w:jc w:val="both"/>
      </w:pPr>
      <w:r>
        <w:rPr>
          <w:rFonts w:ascii="Times New Roman" w:hAnsi="Times New Roman" w:eastAsia="Times New Roman" w:cs="Times New Roman"/>
          <w:b w:val="0"/>
          <w:i w:val="0"/>
          <w:sz w:val="24"/>
        </w:rPr>
        <w:t>Agreement between the judge and the automated metrics is high: the items the judge rated Poor/Reject are also the items with the lowest BGE grounding score and the highest NLI distractor-paraphrase score, and the perplexity analysis (§7.2.5) independently confirms that post-FT outputs lie closer to the teacher distribution. The most important disagreement is on D4: the automated metric (NLI entailment cap) flags more items as plausible than the judge does, because lexical paraphrase is easier to measure than semantic plausibility. This is why the production S3 stage uses NLI as a necessary-but-not-sufficient filter and defers the final D4 verdict to the S5 LLM-as-judge stage.</w:t>
      </w:r>
    </w:p>
    <w:p w14:paraId="5F7A596C">
      <w:pPr>
        <w:pStyle w:val="4"/>
        <w:spacing w:before="240" w:after="120" w:line="276" w:lineRule="auto"/>
        <w:ind w:firstLine="0"/>
        <w:jc w:val="left"/>
      </w:pPr>
      <w:r>
        <w:rPr>
          <w:rFonts w:ascii="Times New Roman" w:hAnsi="Times New Roman" w:eastAsia="Times New Roman" w:cs="Times New Roman"/>
          <w:b/>
          <w:color w:val="002855"/>
          <w:sz w:val="24"/>
        </w:rPr>
        <w:t>7.2.8  Failure Cases and Error Analysis</w:t>
      </w:r>
    </w:p>
    <w:p w14:paraId="539C9E12">
      <w:pPr>
        <w:spacing w:before="0" w:after="0" w:line="360" w:lineRule="auto"/>
        <w:jc w:val="both"/>
      </w:pPr>
      <w:r>
        <w:rPr>
          <w:rFonts w:ascii="Times New Roman" w:hAnsi="Times New Roman" w:eastAsia="Times New Roman" w:cs="Times New Roman"/>
          <w:b w:val="0"/>
          <w:i w:val="0"/>
          <w:sz w:val="24"/>
        </w:rPr>
        <w:t>Failure cases were extracted by intersecting three signals: validation-pipeline rejections (S1–S5), judge ratings ≤ 3, and manual review of a random 40-item sample. Table 7.9 catalogues the dominant failure modes observed for V8.</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1728"/>
        <w:gridCol w:w="1728"/>
        <w:gridCol w:w="1728"/>
        <w:gridCol w:w="1728"/>
        <w:gridCol w:w="1728"/>
      </w:tblGrid>
      <w:tr w14:paraId="54A507E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single" w:color="000000" w:sz="12" w:space="0"/>
              <w:left w:val="nil"/>
              <w:bottom w:val="single" w:color="000000" w:sz="6" w:space="0"/>
              <w:right w:val="nil"/>
              <w:insideH w:val="nil"/>
              <w:insideV w:val="nil"/>
            </w:tcBorders>
            <w:shd w:val="clear" w:color="auto" w:fill="00468C"/>
          </w:tcPr>
          <w:p w14:paraId="0817E3AE">
            <w:pPr>
              <w:spacing w:before="40" w:after="40" w:line="276" w:lineRule="auto"/>
              <w:ind w:firstLine="0"/>
            </w:pPr>
            <w:r>
              <w:rPr>
                <w:rFonts w:ascii="Arial" w:hAnsi="Arial" w:eastAsia="Arial" w:cs="Arial"/>
                <w:b/>
                <w:color w:val="FFFFFF"/>
                <w:sz w:val="20"/>
              </w:rPr>
              <w:t>Failure type</w:t>
            </w:r>
          </w:p>
        </w:tc>
        <w:tc>
          <w:tcPr>
            <w:tcW w:w="1728" w:type="dxa"/>
            <w:tcBorders>
              <w:top w:val="single" w:color="000000" w:sz="12" w:space="0"/>
              <w:left w:val="nil"/>
              <w:bottom w:val="single" w:color="000000" w:sz="6" w:space="0"/>
              <w:right w:val="nil"/>
              <w:insideH w:val="nil"/>
              <w:insideV w:val="nil"/>
            </w:tcBorders>
            <w:shd w:val="clear" w:color="auto" w:fill="00468C"/>
          </w:tcPr>
          <w:p w14:paraId="4F896612">
            <w:pPr>
              <w:spacing w:before="40" w:after="40" w:line="276" w:lineRule="auto"/>
              <w:ind w:firstLine="0"/>
            </w:pPr>
            <w:r>
              <w:rPr>
                <w:rFonts w:ascii="Arial" w:hAnsi="Arial" w:eastAsia="Arial" w:cs="Arial"/>
                <w:b/>
                <w:color w:val="FFFFFF"/>
                <w:sz w:val="20"/>
              </w:rPr>
              <w:t>Approx. frequency</w:t>
            </w:r>
          </w:p>
        </w:tc>
        <w:tc>
          <w:tcPr>
            <w:tcW w:w="1728" w:type="dxa"/>
            <w:tcBorders>
              <w:top w:val="single" w:color="000000" w:sz="12" w:space="0"/>
              <w:left w:val="nil"/>
              <w:bottom w:val="single" w:color="000000" w:sz="6" w:space="0"/>
              <w:right w:val="nil"/>
              <w:insideH w:val="nil"/>
              <w:insideV w:val="nil"/>
            </w:tcBorders>
            <w:shd w:val="clear" w:color="auto" w:fill="00468C"/>
          </w:tcPr>
          <w:p w14:paraId="3E5E7910">
            <w:pPr>
              <w:spacing w:before="40" w:after="40" w:line="276" w:lineRule="auto"/>
              <w:ind w:firstLine="0"/>
            </w:pPr>
            <w:r>
              <w:rPr>
                <w:rFonts w:ascii="Arial" w:hAnsi="Arial" w:eastAsia="Arial" w:cs="Arial"/>
                <w:b/>
                <w:color w:val="FFFFFF"/>
                <w:sz w:val="20"/>
              </w:rPr>
              <w:t>Root cause</w:t>
            </w:r>
          </w:p>
        </w:tc>
        <w:tc>
          <w:tcPr>
            <w:tcW w:w="1728" w:type="dxa"/>
            <w:tcBorders>
              <w:top w:val="single" w:color="000000" w:sz="12" w:space="0"/>
              <w:left w:val="nil"/>
              <w:bottom w:val="single" w:color="000000" w:sz="6" w:space="0"/>
              <w:right w:val="nil"/>
              <w:insideH w:val="nil"/>
              <w:insideV w:val="nil"/>
            </w:tcBorders>
            <w:shd w:val="clear" w:color="auto" w:fill="00468C"/>
          </w:tcPr>
          <w:p w14:paraId="1ECB7D92">
            <w:pPr>
              <w:spacing w:before="40" w:after="40" w:line="276" w:lineRule="auto"/>
              <w:ind w:firstLine="0"/>
            </w:pPr>
            <w:r>
              <w:rPr>
                <w:rFonts w:ascii="Arial" w:hAnsi="Arial" w:eastAsia="Arial" w:cs="Arial"/>
                <w:b/>
                <w:color w:val="FFFFFF"/>
                <w:sz w:val="20"/>
              </w:rPr>
              <w:t>Educational impact</w:t>
            </w:r>
          </w:p>
        </w:tc>
        <w:tc>
          <w:tcPr>
            <w:tcW w:w="1728" w:type="dxa"/>
            <w:tcBorders>
              <w:top w:val="single" w:color="000000" w:sz="12" w:space="0"/>
              <w:left w:val="nil"/>
              <w:bottom w:val="single" w:color="000000" w:sz="6" w:space="0"/>
              <w:right w:val="nil"/>
              <w:insideH w:val="nil"/>
              <w:insideV w:val="nil"/>
            </w:tcBorders>
            <w:shd w:val="clear" w:color="auto" w:fill="00468C"/>
          </w:tcPr>
          <w:p w14:paraId="769F850F">
            <w:pPr>
              <w:spacing w:before="40" w:after="40" w:line="276" w:lineRule="auto"/>
              <w:ind w:firstLine="0"/>
            </w:pPr>
            <w:r>
              <w:rPr>
                <w:rFonts w:ascii="Arial" w:hAnsi="Arial" w:eastAsia="Arial" w:cs="Arial"/>
                <w:b/>
                <w:color w:val="FFFFFF"/>
                <w:sz w:val="20"/>
              </w:rPr>
              <w:t>Mitigation</w:t>
            </w:r>
          </w:p>
        </w:tc>
      </w:tr>
      <w:tr w14:paraId="26C008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3515D48F">
            <w:pPr>
              <w:spacing w:before="40" w:after="40" w:line="276" w:lineRule="auto"/>
              <w:ind w:firstLine="0"/>
            </w:pPr>
            <w:r>
              <w:rPr>
                <w:rFonts w:ascii="Times New Roman" w:hAnsi="Times New Roman" w:eastAsia="Times New Roman" w:cs="Times New Roman"/>
                <w:b w:val="0"/>
                <w:color w:val="000000"/>
                <w:sz w:val="22"/>
              </w:rPr>
              <w:t>Schema/format error (S1 fail)</w:t>
            </w:r>
          </w:p>
        </w:tc>
        <w:tc>
          <w:tcPr>
            <w:tcW w:w="1728" w:type="dxa"/>
            <w:tcBorders>
              <w:top w:val="nil"/>
              <w:left w:val="nil"/>
              <w:bottom w:val="nil"/>
              <w:right w:val="nil"/>
              <w:insideH w:val="nil"/>
              <w:insideV w:val="nil"/>
            </w:tcBorders>
            <w:shd w:val="clear" w:color="auto" w:fill="FFFFFF"/>
          </w:tcPr>
          <w:p w14:paraId="1CF6B89D">
            <w:pPr>
              <w:spacing w:before="40" w:after="40" w:line="276" w:lineRule="auto"/>
              <w:ind w:firstLine="0"/>
            </w:pPr>
            <w:r>
              <w:rPr>
                <w:rFonts w:ascii="Times New Roman" w:hAnsi="Times New Roman" w:eastAsia="Times New Roman" w:cs="Times New Roman"/>
                <w:b w:val="0"/>
                <w:color w:val="000000"/>
                <w:sz w:val="22"/>
              </w:rPr>
              <w:t>10.0% of 200 slots</w:t>
            </w:r>
          </w:p>
        </w:tc>
        <w:tc>
          <w:tcPr>
            <w:tcW w:w="1728" w:type="dxa"/>
            <w:tcBorders>
              <w:top w:val="nil"/>
              <w:left w:val="nil"/>
              <w:bottom w:val="nil"/>
              <w:right w:val="nil"/>
              <w:insideH w:val="nil"/>
              <w:insideV w:val="nil"/>
            </w:tcBorders>
            <w:shd w:val="clear" w:color="auto" w:fill="FFFFFF"/>
          </w:tcPr>
          <w:p w14:paraId="21A847D3">
            <w:pPr>
              <w:spacing w:before="40" w:after="40" w:line="276" w:lineRule="auto"/>
              <w:ind w:firstLine="0"/>
            </w:pPr>
            <w:r>
              <w:rPr>
                <w:rFonts w:ascii="Times New Roman" w:hAnsi="Times New Roman" w:eastAsia="Times New Roman" w:cs="Times New Roman"/>
                <w:b w:val="0"/>
                <w:color w:val="000000"/>
                <w:sz w:val="22"/>
              </w:rPr>
              <w:t>JSON truncation or stray prose around the answer object</w:t>
            </w:r>
          </w:p>
        </w:tc>
        <w:tc>
          <w:tcPr>
            <w:tcW w:w="1728" w:type="dxa"/>
            <w:tcBorders>
              <w:top w:val="nil"/>
              <w:left w:val="nil"/>
              <w:bottom w:val="nil"/>
              <w:right w:val="nil"/>
              <w:insideH w:val="nil"/>
              <w:insideV w:val="nil"/>
            </w:tcBorders>
            <w:shd w:val="clear" w:color="auto" w:fill="FFFFFF"/>
          </w:tcPr>
          <w:p w14:paraId="4CD84420">
            <w:pPr>
              <w:spacing w:before="40" w:after="40" w:line="276" w:lineRule="auto"/>
              <w:ind w:firstLine="0"/>
            </w:pPr>
            <w:r>
              <w:rPr>
                <w:rFonts w:ascii="Times New Roman" w:hAnsi="Times New Roman" w:eastAsia="Times New Roman" w:cs="Times New Roman"/>
                <w:b w:val="0"/>
                <w:color w:val="000000"/>
                <w:sz w:val="22"/>
              </w:rPr>
              <w:t>Item discarded before reaching learner</w:t>
            </w:r>
          </w:p>
        </w:tc>
        <w:tc>
          <w:tcPr>
            <w:tcW w:w="1728" w:type="dxa"/>
            <w:tcBorders>
              <w:top w:val="nil"/>
              <w:left w:val="nil"/>
              <w:bottom w:val="nil"/>
              <w:right w:val="nil"/>
              <w:insideH w:val="nil"/>
              <w:insideV w:val="nil"/>
            </w:tcBorders>
            <w:shd w:val="clear" w:color="auto" w:fill="FFFFFF"/>
          </w:tcPr>
          <w:p w14:paraId="1DCA2EC7">
            <w:pPr>
              <w:spacing w:before="40" w:after="40" w:line="276" w:lineRule="auto"/>
              <w:ind w:firstLine="0"/>
            </w:pPr>
            <w:r>
              <w:rPr>
                <w:rFonts w:ascii="Times New Roman" w:hAnsi="Times New Roman" w:eastAsia="Times New Roman" w:cs="Times New Roman"/>
                <w:b w:val="0"/>
                <w:color w:val="000000"/>
                <w:sz w:val="22"/>
              </w:rPr>
              <w:t>Constrained decoding + JSON repair (already partial)</w:t>
            </w:r>
          </w:p>
        </w:tc>
      </w:tr>
      <w:tr w14:paraId="2F034D3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10F2EF93">
            <w:pPr>
              <w:spacing w:before="40" w:after="40" w:line="276" w:lineRule="auto"/>
              <w:ind w:firstLine="0"/>
            </w:pPr>
            <w:r>
              <w:rPr>
                <w:rFonts w:ascii="Times New Roman" w:hAnsi="Times New Roman" w:eastAsia="Times New Roman" w:cs="Times New Roman"/>
                <w:b w:val="0"/>
                <w:color w:val="000000"/>
                <w:sz w:val="22"/>
              </w:rPr>
              <w:t>Weak factual grounding (D1 ≤ 3)</w:t>
            </w:r>
          </w:p>
        </w:tc>
        <w:tc>
          <w:tcPr>
            <w:tcW w:w="1728" w:type="dxa"/>
            <w:tcBorders>
              <w:top w:val="nil"/>
              <w:left w:val="nil"/>
              <w:bottom w:val="nil"/>
              <w:right w:val="nil"/>
              <w:insideH w:val="nil"/>
              <w:insideV w:val="nil"/>
            </w:tcBorders>
            <w:shd w:val="clear" w:color="auto" w:fill="FFFFFF"/>
          </w:tcPr>
          <w:p w14:paraId="238C82DB">
            <w:pPr>
              <w:spacing w:before="40" w:after="40" w:line="276" w:lineRule="auto"/>
              <w:ind w:firstLine="0"/>
            </w:pPr>
            <w:r>
              <w:rPr>
                <w:rFonts w:ascii="Times New Roman" w:hAnsi="Times New Roman" w:eastAsia="Times New Roman" w:cs="Times New Roman"/>
                <w:b w:val="0"/>
                <w:color w:val="000000"/>
                <w:sz w:val="22"/>
              </w:rPr>
              <w:t>~9.8% of valid items</w:t>
            </w:r>
          </w:p>
        </w:tc>
        <w:tc>
          <w:tcPr>
            <w:tcW w:w="1728" w:type="dxa"/>
            <w:tcBorders>
              <w:top w:val="nil"/>
              <w:left w:val="nil"/>
              <w:bottom w:val="nil"/>
              <w:right w:val="nil"/>
              <w:insideH w:val="nil"/>
              <w:insideV w:val="nil"/>
            </w:tcBorders>
            <w:shd w:val="clear" w:color="auto" w:fill="FFFFFF"/>
          </w:tcPr>
          <w:p w14:paraId="6458450E">
            <w:pPr>
              <w:spacing w:before="40" w:after="40" w:line="276" w:lineRule="auto"/>
              <w:ind w:firstLine="0"/>
            </w:pPr>
            <w:r>
              <w:rPr>
                <w:rFonts w:ascii="Times New Roman" w:hAnsi="Times New Roman" w:eastAsia="Times New Roman" w:cs="Times New Roman"/>
                <w:b w:val="0"/>
                <w:color w:val="000000"/>
                <w:sz w:val="22"/>
              </w:rPr>
              <w:t>Student hallucinates specifics absent from chunk</w:t>
            </w:r>
          </w:p>
        </w:tc>
        <w:tc>
          <w:tcPr>
            <w:tcW w:w="1728" w:type="dxa"/>
            <w:tcBorders>
              <w:top w:val="nil"/>
              <w:left w:val="nil"/>
              <w:bottom w:val="nil"/>
              <w:right w:val="nil"/>
              <w:insideH w:val="nil"/>
              <w:insideV w:val="nil"/>
            </w:tcBorders>
            <w:shd w:val="clear" w:color="auto" w:fill="FFFFFF"/>
          </w:tcPr>
          <w:p w14:paraId="6B1AF08C">
            <w:pPr>
              <w:spacing w:before="40" w:after="40" w:line="276" w:lineRule="auto"/>
              <w:ind w:firstLine="0"/>
            </w:pPr>
            <w:r>
              <w:rPr>
                <w:rFonts w:ascii="Times New Roman" w:hAnsi="Times New Roman" w:eastAsia="Times New Roman" w:cs="Times New Roman"/>
                <w:b w:val="0"/>
                <w:color w:val="000000"/>
                <w:sz w:val="22"/>
              </w:rPr>
              <w:t>Risk of misinformation; instructor must verify</w:t>
            </w:r>
          </w:p>
        </w:tc>
        <w:tc>
          <w:tcPr>
            <w:tcW w:w="1728" w:type="dxa"/>
            <w:tcBorders>
              <w:top w:val="nil"/>
              <w:left w:val="nil"/>
              <w:bottom w:val="nil"/>
              <w:right w:val="nil"/>
              <w:insideH w:val="nil"/>
              <w:insideV w:val="nil"/>
            </w:tcBorders>
            <w:shd w:val="clear" w:color="auto" w:fill="FFFFFF"/>
          </w:tcPr>
          <w:p w14:paraId="265C8067">
            <w:pPr>
              <w:spacing w:before="40" w:after="40" w:line="276" w:lineRule="auto"/>
              <w:ind w:firstLine="0"/>
            </w:pPr>
            <w:r>
              <w:rPr>
                <w:rFonts w:ascii="Times New Roman" w:hAnsi="Times New Roman" w:eastAsia="Times New Roman" w:cs="Times New Roman"/>
                <w:b w:val="0"/>
                <w:color w:val="000000"/>
                <w:sz w:val="22"/>
              </w:rPr>
              <w:t>Hard S2 cosine ≥ 0.5 + tighten to ≥ 0.6 in future</w:t>
            </w:r>
          </w:p>
        </w:tc>
      </w:tr>
      <w:tr w14:paraId="1E1270F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3F149E6E">
            <w:pPr>
              <w:spacing w:before="40" w:after="40" w:line="276" w:lineRule="auto"/>
              <w:ind w:firstLine="0"/>
            </w:pPr>
            <w:r>
              <w:rPr>
                <w:rFonts w:ascii="Times New Roman" w:hAnsi="Times New Roman" w:eastAsia="Times New Roman" w:cs="Times New Roman"/>
                <w:b w:val="0"/>
                <w:color w:val="000000"/>
                <w:sz w:val="22"/>
              </w:rPr>
              <w:t>Two-correct-answer ambiguity (D3 ≤ 3)</w:t>
            </w:r>
          </w:p>
        </w:tc>
        <w:tc>
          <w:tcPr>
            <w:tcW w:w="1728" w:type="dxa"/>
            <w:tcBorders>
              <w:top w:val="nil"/>
              <w:left w:val="nil"/>
              <w:bottom w:val="nil"/>
              <w:right w:val="nil"/>
              <w:insideH w:val="nil"/>
              <w:insideV w:val="nil"/>
            </w:tcBorders>
            <w:shd w:val="clear" w:color="auto" w:fill="FFFFFF"/>
          </w:tcPr>
          <w:p w14:paraId="53096D11">
            <w:pPr>
              <w:spacing w:before="40" w:after="40" w:line="276" w:lineRule="auto"/>
              <w:ind w:firstLine="0"/>
            </w:pPr>
            <w:r>
              <w:rPr>
                <w:rFonts w:ascii="Times New Roman" w:hAnsi="Times New Roman" w:eastAsia="Times New Roman" w:cs="Times New Roman"/>
                <w:b w:val="0"/>
                <w:color w:val="000000"/>
                <w:sz w:val="22"/>
              </w:rPr>
              <w:t>~8.0% of valid items</w:t>
            </w:r>
          </w:p>
        </w:tc>
        <w:tc>
          <w:tcPr>
            <w:tcW w:w="1728" w:type="dxa"/>
            <w:tcBorders>
              <w:top w:val="nil"/>
              <w:left w:val="nil"/>
              <w:bottom w:val="nil"/>
              <w:right w:val="nil"/>
              <w:insideH w:val="nil"/>
              <w:insideV w:val="nil"/>
            </w:tcBorders>
            <w:shd w:val="clear" w:color="auto" w:fill="FFFFFF"/>
          </w:tcPr>
          <w:p w14:paraId="50D72ABA">
            <w:pPr>
              <w:spacing w:before="40" w:after="40" w:line="276" w:lineRule="auto"/>
              <w:ind w:firstLine="0"/>
            </w:pPr>
            <w:r>
              <w:rPr>
                <w:rFonts w:ascii="Times New Roman" w:hAnsi="Times New Roman" w:eastAsia="Times New Roman" w:cs="Times New Roman"/>
                <w:b w:val="0"/>
                <w:color w:val="000000"/>
                <w:sz w:val="22"/>
              </w:rPr>
              <w:t>Distractor accidentally true under generous reading</w:t>
            </w:r>
          </w:p>
        </w:tc>
        <w:tc>
          <w:tcPr>
            <w:tcW w:w="1728" w:type="dxa"/>
            <w:tcBorders>
              <w:top w:val="nil"/>
              <w:left w:val="nil"/>
              <w:bottom w:val="nil"/>
              <w:right w:val="nil"/>
              <w:insideH w:val="nil"/>
              <w:insideV w:val="nil"/>
            </w:tcBorders>
            <w:shd w:val="clear" w:color="auto" w:fill="FFFFFF"/>
          </w:tcPr>
          <w:p w14:paraId="32329E47">
            <w:pPr>
              <w:spacing w:before="40" w:after="40" w:line="276" w:lineRule="auto"/>
              <w:ind w:firstLine="0"/>
            </w:pPr>
            <w:r>
              <w:rPr>
                <w:rFonts w:ascii="Times New Roman" w:hAnsi="Times New Roman" w:eastAsia="Times New Roman" w:cs="Times New Roman"/>
                <w:b w:val="0"/>
                <w:color w:val="000000"/>
                <w:sz w:val="22"/>
              </w:rPr>
              <w:t>Unfair assessment, learner confusion</w:t>
            </w:r>
          </w:p>
        </w:tc>
        <w:tc>
          <w:tcPr>
            <w:tcW w:w="1728" w:type="dxa"/>
            <w:tcBorders>
              <w:top w:val="nil"/>
              <w:left w:val="nil"/>
              <w:bottom w:val="nil"/>
              <w:right w:val="nil"/>
              <w:insideH w:val="nil"/>
              <w:insideV w:val="nil"/>
            </w:tcBorders>
            <w:shd w:val="clear" w:color="auto" w:fill="FFFFFF"/>
          </w:tcPr>
          <w:p w14:paraId="5A6D8140">
            <w:pPr>
              <w:spacing w:before="40" w:after="40" w:line="276" w:lineRule="auto"/>
              <w:ind w:firstLine="0"/>
            </w:pPr>
            <w:r>
              <w:rPr>
                <w:rFonts w:ascii="Times New Roman" w:hAnsi="Times New Roman" w:eastAsia="Times New Roman" w:cs="Times New Roman"/>
                <w:b w:val="0"/>
                <w:color w:val="000000"/>
                <w:sz w:val="22"/>
              </w:rPr>
              <w:t>Self-consistency re-prompt + judge re-rank</w:t>
            </w:r>
          </w:p>
        </w:tc>
      </w:tr>
      <w:tr w14:paraId="3C9E2FD9">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6C6B880D">
            <w:pPr>
              <w:spacing w:before="40" w:after="40" w:line="276" w:lineRule="auto"/>
              <w:ind w:firstLine="0"/>
            </w:pPr>
            <w:r>
              <w:rPr>
                <w:rFonts w:ascii="Times New Roman" w:hAnsi="Times New Roman" w:eastAsia="Times New Roman" w:cs="Times New Roman"/>
                <w:b w:val="0"/>
                <w:color w:val="000000"/>
                <w:sz w:val="22"/>
              </w:rPr>
              <w:t>Implausible/too-easy distractor (D4 ≤ 3)</w:t>
            </w:r>
          </w:p>
        </w:tc>
        <w:tc>
          <w:tcPr>
            <w:tcW w:w="1728" w:type="dxa"/>
            <w:tcBorders>
              <w:top w:val="nil"/>
              <w:left w:val="nil"/>
              <w:bottom w:val="nil"/>
              <w:right w:val="nil"/>
              <w:insideH w:val="nil"/>
              <w:insideV w:val="nil"/>
            </w:tcBorders>
            <w:shd w:val="clear" w:color="auto" w:fill="FFFFFF"/>
          </w:tcPr>
          <w:p w14:paraId="0805B5D2">
            <w:pPr>
              <w:spacing w:before="40" w:after="40" w:line="276" w:lineRule="auto"/>
              <w:ind w:firstLine="0"/>
            </w:pPr>
            <w:r>
              <w:rPr>
                <w:rFonts w:ascii="Times New Roman" w:hAnsi="Times New Roman" w:eastAsia="Times New Roman" w:cs="Times New Roman"/>
                <w:b w:val="0"/>
                <w:color w:val="000000"/>
                <w:sz w:val="22"/>
              </w:rPr>
              <w:t>~17.8% of valid items</w:t>
            </w:r>
          </w:p>
        </w:tc>
        <w:tc>
          <w:tcPr>
            <w:tcW w:w="1728" w:type="dxa"/>
            <w:tcBorders>
              <w:top w:val="nil"/>
              <w:left w:val="nil"/>
              <w:bottom w:val="nil"/>
              <w:right w:val="nil"/>
              <w:insideH w:val="nil"/>
              <w:insideV w:val="nil"/>
            </w:tcBorders>
            <w:shd w:val="clear" w:color="auto" w:fill="FFFFFF"/>
          </w:tcPr>
          <w:p w14:paraId="6821813B">
            <w:pPr>
              <w:spacing w:before="40" w:after="40" w:line="276" w:lineRule="auto"/>
              <w:ind w:firstLine="0"/>
            </w:pPr>
            <w:r>
              <w:rPr>
                <w:rFonts w:ascii="Times New Roman" w:hAnsi="Times New Roman" w:eastAsia="Times New Roman" w:cs="Times New Roman"/>
                <w:b w:val="0"/>
                <w:color w:val="000000"/>
                <w:sz w:val="22"/>
              </w:rPr>
              <w:t>Inherited from teacher; D4 is teacher's weakest dim</w:t>
            </w:r>
          </w:p>
        </w:tc>
        <w:tc>
          <w:tcPr>
            <w:tcW w:w="1728" w:type="dxa"/>
            <w:tcBorders>
              <w:top w:val="nil"/>
              <w:left w:val="nil"/>
              <w:bottom w:val="nil"/>
              <w:right w:val="nil"/>
              <w:insideH w:val="nil"/>
              <w:insideV w:val="nil"/>
            </w:tcBorders>
            <w:shd w:val="clear" w:color="auto" w:fill="FFFFFF"/>
          </w:tcPr>
          <w:p w14:paraId="3A175CF6">
            <w:pPr>
              <w:spacing w:before="40" w:after="40" w:line="276" w:lineRule="auto"/>
              <w:ind w:firstLine="0"/>
            </w:pPr>
            <w:r>
              <w:rPr>
                <w:rFonts w:ascii="Times New Roman" w:hAnsi="Times New Roman" w:eastAsia="Times New Roman" w:cs="Times New Roman"/>
                <w:b w:val="0"/>
                <w:color w:val="000000"/>
                <w:sz w:val="22"/>
              </w:rPr>
              <w:t>Reduces discrimination of the item</w:t>
            </w:r>
          </w:p>
        </w:tc>
        <w:tc>
          <w:tcPr>
            <w:tcW w:w="1728" w:type="dxa"/>
            <w:tcBorders>
              <w:top w:val="nil"/>
              <w:left w:val="nil"/>
              <w:bottom w:val="nil"/>
              <w:right w:val="nil"/>
              <w:insideH w:val="nil"/>
              <w:insideV w:val="nil"/>
            </w:tcBorders>
            <w:shd w:val="clear" w:color="auto" w:fill="FFFFFF"/>
          </w:tcPr>
          <w:p w14:paraId="4D08EE8E">
            <w:pPr>
              <w:spacing w:before="40" w:after="40" w:line="276" w:lineRule="auto"/>
              <w:ind w:firstLine="0"/>
            </w:pPr>
            <w:r>
              <w:rPr>
                <w:rFonts w:ascii="Times New Roman" w:hAnsi="Times New Roman" w:eastAsia="Times New Roman" w:cs="Times New Roman"/>
                <w:b w:val="0"/>
                <w:color w:val="000000"/>
                <w:sz w:val="22"/>
              </w:rPr>
              <w:t>Adversarial distractor generation pass</w:t>
            </w:r>
          </w:p>
        </w:tc>
      </w:tr>
      <w:tr w14:paraId="3C932B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5E293539">
            <w:pPr>
              <w:spacing w:before="40" w:after="40" w:line="276" w:lineRule="auto"/>
              <w:ind w:firstLine="0"/>
            </w:pPr>
            <w:r>
              <w:rPr>
                <w:rFonts w:ascii="Times New Roman" w:hAnsi="Times New Roman" w:eastAsia="Times New Roman" w:cs="Times New Roman"/>
                <w:b w:val="0"/>
                <w:color w:val="000000"/>
                <w:sz w:val="22"/>
              </w:rPr>
              <w:t>Bloom-level mismatch (D5 ≤ 3)</w:t>
            </w:r>
          </w:p>
        </w:tc>
        <w:tc>
          <w:tcPr>
            <w:tcW w:w="1728" w:type="dxa"/>
            <w:tcBorders>
              <w:top w:val="nil"/>
              <w:left w:val="nil"/>
              <w:bottom w:val="nil"/>
              <w:right w:val="nil"/>
              <w:insideH w:val="nil"/>
              <w:insideV w:val="nil"/>
            </w:tcBorders>
            <w:shd w:val="clear" w:color="auto" w:fill="FFFFFF"/>
          </w:tcPr>
          <w:p w14:paraId="73F11B7B">
            <w:pPr>
              <w:spacing w:before="40" w:after="40" w:line="276" w:lineRule="auto"/>
              <w:ind w:firstLine="0"/>
            </w:pPr>
            <w:r>
              <w:rPr>
                <w:rFonts w:ascii="Times New Roman" w:hAnsi="Times New Roman" w:eastAsia="Times New Roman" w:cs="Times New Roman"/>
                <w:b w:val="0"/>
                <w:color w:val="000000"/>
                <w:sz w:val="22"/>
              </w:rPr>
              <w:t>~5.6% of valid items</w:t>
            </w:r>
          </w:p>
        </w:tc>
        <w:tc>
          <w:tcPr>
            <w:tcW w:w="1728" w:type="dxa"/>
            <w:tcBorders>
              <w:top w:val="nil"/>
              <w:left w:val="nil"/>
              <w:bottom w:val="nil"/>
              <w:right w:val="nil"/>
              <w:insideH w:val="nil"/>
              <w:insideV w:val="nil"/>
            </w:tcBorders>
            <w:shd w:val="clear" w:color="auto" w:fill="FFFFFF"/>
          </w:tcPr>
          <w:p w14:paraId="2419B622">
            <w:pPr>
              <w:spacing w:before="40" w:after="40" w:line="276" w:lineRule="auto"/>
              <w:ind w:firstLine="0"/>
            </w:pPr>
            <w:r>
              <w:rPr>
                <w:rFonts w:ascii="Times New Roman" w:hAnsi="Times New Roman" w:eastAsia="Times New Roman" w:cs="Times New Roman"/>
                <w:b w:val="0"/>
                <w:color w:val="000000"/>
                <w:sz w:val="22"/>
              </w:rPr>
              <w:t>Verb says 'analyze' but task is recall</w:t>
            </w:r>
          </w:p>
        </w:tc>
        <w:tc>
          <w:tcPr>
            <w:tcW w:w="1728" w:type="dxa"/>
            <w:tcBorders>
              <w:top w:val="nil"/>
              <w:left w:val="nil"/>
              <w:bottom w:val="nil"/>
              <w:right w:val="nil"/>
              <w:insideH w:val="nil"/>
              <w:insideV w:val="nil"/>
            </w:tcBorders>
            <w:shd w:val="clear" w:color="auto" w:fill="FFFFFF"/>
          </w:tcPr>
          <w:p w14:paraId="4837DC7C">
            <w:pPr>
              <w:spacing w:before="40" w:after="40" w:line="276" w:lineRule="auto"/>
              <w:ind w:firstLine="0"/>
            </w:pPr>
            <w:r>
              <w:rPr>
                <w:rFonts w:ascii="Times New Roman" w:hAnsi="Times New Roman" w:eastAsia="Times New Roman" w:cs="Times New Roman"/>
                <w:b w:val="0"/>
                <w:color w:val="000000"/>
                <w:sz w:val="22"/>
              </w:rPr>
              <w:t>Mis-calibrated cognitive load</w:t>
            </w:r>
          </w:p>
        </w:tc>
        <w:tc>
          <w:tcPr>
            <w:tcW w:w="1728" w:type="dxa"/>
            <w:tcBorders>
              <w:top w:val="nil"/>
              <w:left w:val="nil"/>
              <w:bottom w:val="nil"/>
              <w:right w:val="nil"/>
              <w:insideH w:val="nil"/>
              <w:insideV w:val="nil"/>
            </w:tcBorders>
            <w:shd w:val="clear" w:color="auto" w:fill="FFFFFF"/>
          </w:tcPr>
          <w:p w14:paraId="35292996">
            <w:pPr>
              <w:spacing w:before="40" w:after="40" w:line="276" w:lineRule="auto"/>
              <w:ind w:firstLine="0"/>
            </w:pPr>
            <w:r>
              <w:rPr>
                <w:rFonts w:ascii="Times New Roman" w:hAnsi="Times New Roman" w:eastAsia="Times New Roman" w:cs="Times New Roman"/>
                <w:b w:val="0"/>
                <w:color w:val="000000"/>
                <w:sz w:val="22"/>
              </w:rPr>
              <w:t>Bloom-verb whitelist + S5 re-score</w:t>
            </w:r>
          </w:p>
        </w:tc>
      </w:tr>
      <w:tr w14:paraId="276A16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4B4EE985">
            <w:pPr>
              <w:spacing w:before="40" w:after="40" w:line="276" w:lineRule="auto"/>
              <w:ind w:firstLine="0"/>
            </w:pPr>
            <w:r>
              <w:rPr>
                <w:rFonts w:ascii="Times New Roman" w:hAnsi="Times New Roman" w:eastAsia="Times New Roman" w:cs="Times New Roman"/>
                <w:b w:val="0"/>
                <w:color w:val="000000"/>
                <w:sz w:val="22"/>
              </w:rPr>
              <w:t>Topic/LO drift (D6 ≤ 3)</w:t>
            </w:r>
          </w:p>
        </w:tc>
        <w:tc>
          <w:tcPr>
            <w:tcW w:w="1728" w:type="dxa"/>
            <w:tcBorders>
              <w:top w:val="nil"/>
              <w:left w:val="nil"/>
              <w:bottom w:val="nil"/>
              <w:right w:val="nil"/>
              <w:insideH w:val="nil"/>
              <w:insideV w:val="nil"/>
            </w:tcBorders>
            <w:shd w:val="clear" w:color="auto" w:fill="FFFFFF"/>
          </w:tcPr>
          <w:p w14:paraId="134C96A8">
            <w:pPr>
              <w:spacing w:before="40" w:after="40" w:line="276" w:lineRule="auto"/>
              <w:ind w:firstLine="0"/>
            </w:pPr>
            <w:r>
              <w:rPr>
                <w:rFonts w:ascii="Times New Roman" w:hAnsi="Times New Roman" w:eastAsia="Times New Roman" w:cs="Times New Roman"/>
                <w:b w:val="0"/>
                <w:color w:val="000000"/>
                <w:sz w:val="22"/>
              </w:rPr>
              <w:t>~3.3% of valid items</w:t>
            </w:r>
          </w:p>
        </w:tc>
        <w:tc>
          <w:tcPr>
            <w:tcW w:w="1728" w:type="dxa"/>
            <w:tcBorders>
              <w:top w:val="nil"/>
              <w:left w:val="nil"/>
              <w:bottom w:val="nil"/>
              <w:right w:val="nil"/>
              <w:insideH w:val="nil"/>
              <w:insideV w:val="nil"/>
            </w:tcBorders>
            <w:shd w:val="clear" w:color="auto" w:fill="FFFFFF"/>
          </w:tcPr>
          <w:p w14:paraId="1EC64672">
            <w:pPr>
              <w:spacing w:before="40" w:after="40" w:line="276" w:lineRule="auto"/>
              <w:ind w:firstLine="0"/>
            </w:pPr>
            <w:r>
              <w:rPr>
                <w:rFonts w:ascii="Times New Roman" w:hAnsi="Times New Roman" w:eastAsia="Times New Roman" w:cs="Times New Roman"/>
                <w:b w:val="0"/>
                <w:color w:val="000000"/>
                <w:sz w:val="22"/>
              </w:rPr>
              <w:t>Chunk contains multiple sub-topics</w:t>
            </w:r>
          </w:p>
        </w:tc>
        <w:tc>
          <w:tcPr>
            <w:tcW w:w="1728" w:type="dxa"/>
            <w:tcBorders>
              <w:top w:val="nil"/>
              <w:left w:val="nil"/>
              <w:bottom w:val="nil"/>
              <w:right w:val="nil"/>
              <w:insideH w:val="nil"/>
              <w:insideV w:val="nil"/>
            </w:tcBorders>
            <w:shd w:val="clear" w:color="auto" w:fill="FFFFFF"/>
          </w:tcPr>
          <w:p w14:paraId="48E2381A">
            <w:pPr>
              <w:spacing w:before="40" w:after="40" w:line="276" w:lineRule="auto"/>
              <w:ind w:firstLine="0"/>
            </w:pPr>
            <w:r>
              <w:rPr>
                <w:rFonts w:ascii="Times New Roman" w:hAnsi="Times New Roman" w:eastAsia="Times New Roman" w:cs="Times New Roman"/>
                <w:b w:val="0"/>
                <w:color w:val="000000"/>
                <w:sz w:val="22"/>
              </w:rPr>
              <w:t>Off-syllabus item</w:t>
            </w:r>
          </w:p>
        </w:tc>
        <w:tc>
          <w:tcPr>
            <w:tcW w:w="1728" w:type="dxa"/>
            <w:tcBorders>
              <w:top w:val="nil"/>
              <w:left w:val="nil"/>
              <w:bottom w:val="nil"/>
              <w:right w:val="nil"/>
              <w:insideH w:val="nil"/>
              <w:insideV w:val="nil"/>
            </w:tcBorders>
            <w:shd w:val="clear" w:color="auto" w:fill="FFFFFF"/>
          </w:tcPr>
          <w:p w14:paraId="3D455F70">
            <w:pPr>
              <w:spacing w:before="40" w:after="40" w:line="276" w:lineRule="auto"/>
              <w:ind w:firstLine="0"/>
            </w:pPr>
            <w:r>
              <w:rPr>
                <w:rFonts w:ascii="Times New Roman" w:hAnsi="Times New Roman" w:eastAsia="Times New Roman" w:cs="Times New Roman"/>
                <w:b w:val="0"/>
                <w:color w:val="000000"/>
                <w:sz w:val="22"/>
              </w:rPr>
              <w:t>Chunk re-segmentation in S0</w:t>
            </w:r>
          </w:p>
        </w:tc>
      </w:tr>
      <w:tr w14:paraId="1AE6698A">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nil"/>
              <w:right w:val="nil"/>
              <w:insideH w:val="nil"/>
              <w:insideV w:val="nil"/>
            </w:tcBorders>
            <w:shd w:val="clear" w:color="auto" w:fill="FFFFFF"/>
          </w:tcPr>
          <w:p w14:paraId="5216A66B">
            <w:pPr>
              <w:spacing w:before="40" w:after="40" w:line="276" w:lineRule="auto"/>
              <w:ind w:firstLine="0"/>
            </w:pPr>
            <w:r>
              <w:rPr>
                <w:rFonts w:ascii="Times New Roman" w:hAnsi="Times New Roman" w:eastAsia="Times New Roman" w:cs="Times New Roman"/>
                <w:b w:val="0"/>
                <w:color w:val="000000"/>
                <w:sz w:val="22"/>
              </w:rPr>
              <w:t>Higher-order weakness (Create, Bloom)</w:t>
            </w:r>
          </w:p>
        </w:tc>
        <w:tc>
          <w:tcPr>
            <w:tcW w:w="1728" w:type="dxa"/>
            <w:tcBorders>
              <w:top w:val="nil"/>
              <w:left w:val="nil"/>
              <w:bottom w:val="nil"/>
              <w:right w:val="nil"/>
              <w:insideH w:val="nil"/>
              <w:insideV w:val="nil"/>
            </w:tcBorders>
            <w:shd w:val="clear" w:color="auto" w:fill="FFFFFF"/>
          </w:tcPr>
          <w:p w14:paraId="4033121B">
            <w:pPr>
              <w:spacing w:before="40" w:after="40" w:line="276" w:lineRule="auto"/>
              <w:ind w:firstLine="0"/>
            </w:pPr>
            <w:r>
              <w:rPr>
                <w:rFonts w:ascii="Times New Roman" w:hAnsi="Times New Roman" w:eastAsia="Times New Roman" w:cs="Times New Roman"/>
                <w:b w:val="0"/>
                <w:color w:val="000000"/>
                <w:sz w:val="22"/>
              </w:rPr>
              <w:t>~25% of Create items rated Poor+</w:t>
            </w:r>
          </w:p>
        </w:tc>
        <w:tc>
          <w:tcPr>
            <w:tcW w:w="1728" w:type="dxa"/>
            <w:tcBorders>
              <w:top w:val="nil"/>
              <w:left w:val="nil"/>
              <w:bottom w:val="nil"/>
              <w:right w:val="nil"/>
              <w:insideH w:val="nil"/>
              <w:insideV w:val="nil"/>
            </w:tcBorders>
            <w:shd w:val="clear" w:color="auto" w:fill="FFFFFF"/>
          </w:tcPr>
          <w:p w14:paraId="191799B6">
            <w:pPr>
              <w:spacing w:before="40" w:after="40" w:line="276" w:lineRule="auto"/>
              <w:ind w:firstLine="0"/>
            </w:pPr>
            <w:r>
              <w:rPr>
                <w:rFonts w:ascii="Times New Roman" w:hAnsi="Times New Roman" w:eastAsia="Times New Roman" w:cs="Times New Roman"/>
                <w:b w:val="0"/>
                <w:color w:val="000000"/>
                <w:sz w:val="22"/>
              </w:rPr>
              <w:t>Sparse training signal (only 13 teacher Create items)</w:t>
            </w:r>
          </w:p>
        </w:tc>
        <w:tc>
          <w:tcPr>
            <w:tcW w:w="1728" w:type="dxa"/>
            <w:tcBorders>
              <w:top w:val="nil"/>
              <w:left w:val="nil"/>
              <w:bottom w:val="nil"/>
              <w:right w:val="nil"/>
              <w:insideH w:val="nil"/>
              <w:insideV w:val="nil"/>
            </w:tcBorders>
            <w:shd w:val="clear" w:color="auto" w:fill="FFFFFF"/>
          </w:tcPr>
          <w:p w14:paraId="68E3D37F">
            <w:pPr>
              <w:spacing w:before="40" w:after="40" w:line="276" w:lineRule="auto"/>
              <w:ind w:firstLine="0"/>
            </w:pPr>
            <w:r>
              <w:rPr>
                <w:rFonts w:ascii="Times New Roman" w:hAnsi="Times New Roman" w:eastAsia="Times New Roman" w:cs="Times New Roman"/>
                <w:b w:val="0"/>
                <w:color w:val="000000"/>
                <w:sz w:val="22"/>
              </w:rPr>
              <w:t>Limited support for project-style assessment</w:t>
            </w:r>
          </w:p>
        </w:tc>
        <w:tc>
          <w:tcPr>
            <w:tcW w:w="1728" w:type="dxa"/>
            <w:tcBorders>
              <w:top w:val="nil"/>
              <w:left w:val="nil"/>
              <w:bottom w:val="nil"/>
              <w:right w:val="nil"/>
              <w:insideH w:val="nil"/>
              <w:insideV w:val="nil"/>
            </w:tcBorders>
            <w:shd w:val="clear" w:color="auto" w:fill="FFFFFF"/>
          </w:tcPr>
          <w:p w14:paraId="108C86EA">
            <w:pPr>
              <w:spacing w:before="40" w:after="40" w:line="276" w:lineRule="auto"/>
              <w:ind w:firstLine="0"/>
            </w:pPr>
            <w:r>
              <w:rPr>
                <w:rFonts w:ascii="Times New Roman" w:hAnsi="Times New Roman" w:eastAsia="Times New Roman" w:cs="Times New Roman"/>
                <w:b w:val="0"/>
                <w:color w:val="000000"/>
                <w:sz w:val="22"/>
              </w:rPr>
              <w:t>Curriculum upsampling of higher-order Bloom</w:t>
            </w:r>
          </w:p>
        </w:tc>
      </w:tr>
      <w:tr w14:paraId="6BADAB3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1728" w:type="dxa"/>
            <w:tcBorders>
              <w:top w:val="nil"/>
              <w:left w:val="nil"/>
              <w:bottom w:val="single" w:color="000000" w:sz="12" w:space="0"/>
              <w:right w:val="nil"/>
              <w:insideH w:val="nil"/>
              <w:insideV w:val="nil"/>
            </w:tcBorders>
            <w:shd w:val="clear" w:color="auto" w:fill="FFFFFF"/>
          </w:tcPr>
          <w:p w14:paraId="36AAEA89">
            <w:pPr>
              <w:spacing w:before="40" w:after="40" w:line="276" w:lineRule="auto"/>
              <w:ind w:firstLine="0"/>
            </w:pPr>
            <w:r>
              <w:rPr>
                <w:rFonts w:ascii="Times New Roman" w:hAnsi="Times New Roman" w:eastAsia="Times New Roman" w:cs="Times New Roman"/>
                <w:b w:val="0"/>
                <w:color w:val="000000"/>
                <w:sz w:val="22"/>
              </w:rPr>
              <w:t>Reject (LLM judge)</w:t>
            </w:r>
          </w:p>
        </w:tc>
        <w:tc>
          <w:tcPr>
            <w:tcW w:w="1728" w:type="dxa"/>
            <w:tcBorders>
              <w:top w:val="nil"/>
              <w:left w:val="nil"/>
              <w:bottom w:val="single" w:color="000000" w:sz="12" w:space="0"/>
              <w:right w:val="nil"/>
              <w:insideH w:val="nil"/>
              <w:insideV w:val="nil"/>
            </w:tcBorders>
            <w:shd w:val="clear" w:color="auto" w:fill="FFFFFF"/>
          </w:tcPr>
          <w:p w14:paraId="553F9D03">
            <w:pPr>
              <w:spacing w:before="40" w:after="40" w:line="276" w:lineRule="auto"/>
              <w:ind w:firstLine="0"/>
            </w:pPr>
            <w:r>
              <w:rPr>
                <w:rFonts w:ascii="Times New Roman" w:hAnsi="Times New Roman" w:eastAsia="Times New Roman" w:cs="Times New Roman"/>
                <w:b w:val="0"/>
                <w:color w:val="000000"/>
                <w:sz w:val="22"/>
              </w:rPr>
              <w:t>0.6% post-FT (vs. 6.1% pre-FT)</w:t>
            </w:r>
          </w:p>
        </w:tc>
        <w:tc>
          <w:tcPr>
            <w:tcW w:w="1728" w:type="dxa"/>
            <w:tcBorders>
              <w:top w:val="nil"/>
              <w:left w:val="nil"/>
              <w:bottom w:val="single" w:color="000000" w:sz="12" w:space="0"/>
              <w:right w:val="nil"/>
              <w:insideH w:val="nil"/>
              <w:insideV w:val="nil"/>
            </w:tcBorders>
            <w:shd w:val="clear" w:color="auto" w:fill="FFFFFF"/>
          </w:tcPr>
          <w:p w14:paraId="5E580CE4">
            <w:pPr>
              <w:spacing w:before="40" w:after="40" w:line="276" w:lineRule="auto"/>
              <w:ind w:firstLine="0"/>
            </w:pPr>
            <w:r>
              <w:rPr>
                <w:rFonts w:ascii="Times New Roman" w:hAnsi="Times New Roman" w:eastAsia="Times New Roman" w:cs="Times New Roman"/>
                <w:b w:val="0"/>
                <w:color w:val="000000"/>
                <w:sz w:val="22"/>
              </w:rPr>
              <w:t>Combined grounding + answer failure</w:t>
            </w:r>
          </w:p>
        </w:tc>
        <w:tc>
          <w:tcPr>
            <w:tcW w:w="1728" w:type="dxa"/>
            <w:tcBorders>
              <w:top w:val="nil"/>
              <w:left w:val="nil"/>
              <w:bottom w:val="single" w:color="000000" w:sz="12" w:space="0"/>
              <w:right w:val="nil"/>
              <w:insideH w:val="nil"/>
              <w:insideV w:val="nil"/>
            </w:tcBorders>
            <w:shd w:val="clear" w:color="auto" w:fill="FFFFFF"/>
          </w:tcPr>
          <w:p w14:paraId="40BF2C37">
            <w:pPr>
              <w:spacing w:before="40" w:after="40" w:line="276" w:lineRule="auto"/>
              <w:ind w:firstLine="0"/>
            </w:pPr>
            <w:r>
              <w:rPr>
                <w:rFonts w:ascii="Times New Roman" w:hAnsi="Times New Roman" w:eastAsia="Times New Roman" w:cs="Times New Roman"/>
                <w:b w:val="0"/>
                <w:color w:val="000000"/>
                <w:sz w:val="22"/>
              </w:rPr>
              <w:t>Item is unusable</w:t>
            </w:r>
          </w:p>
        </w:tc>
        <w:tc>
          <w:tcPr>
            <w:tcW w:w="1728" w:type="dxa"/>
            <w:tcBorders>
              <w:top w:val="nil"/>
              <w:left w:val="nil"/>
              <w:bottom w:val="single" w:color="000000" w:sz="12" w:space="0"/>
              <w:right w:val="nil"/>
              <w:insideH w:val="nil"/>
              <w:insideV w:val="nil"/>
            </w:tcBorders>
            <w:shd w:val="clear" w:color="auto" w:fill="FFFFFF"/>
          </w:tcPr>
          <w:p w14:paraId="548CC894">
            <w:pPr>
              <w:spacing w:before="40" w:after="40" w:line="276" w:lineRule="auto"/>
              <w:ind w:firstLine="0"/>
            </w:pPr>
            <w:r>
              <w:rPr>
                <w:rFonts w:ascii="Times New Roman" w:hAnsi="Times New Roman" w:eastAsia="Times New Roman" w:cs="Times New Roman"/>
                <w:b w:val="0"/>
                <w:color w:val="000000"/>
                <w:sz w:val="22"/>
              </w:rPr>
              <w:t>Already filtered by S5 LLM-as-judge</w:t>
            </w:r>
          </w:p>
        </w:tc>
      </w:tr>
    </w:tbl>
    <w:p w14:paraId="0CC3B18D">
      <w:pPr>
        <w:spacing w:before="80" w:after="160" w:line="276" w:lineRule="auto"/>
        <w:ind w:firstLine="0"/>
        <w:jc w:val="center"/>
      </w:pPr>
      <w:r>
        <w:rPr>
          <w:rFonts w:ascii="Arial" w:hAnsi="Arial" w:eastAsia="Arial" w:cs="Arial"/>
          <w:b/>
          <w:i/>
          <w:color w:val="00468C"/>
          <w:sz w:val="20"/>
        </w:rPr>
        <w:t>Table 7.9 — Failure mode taxonomy for the V8 quiz generation pipeline (n = 200 generation slots; frequencies are post-fine-tuning).</w:t>
      </w:r>
    </w:p>
    <w:p w14:paraId="1575ADCA">
      <w:pPr>
        <w:spacing w:before="0" w:after="0" w:line="360" w:lineRule="auto"/>
        <w:jc w:val="both"/>
      </w:pPr>
      <w:r>
        <w:rPr>
          <w:rFonts w:ascii="Times New Roman" w:hAnsi="Times New Roman" w:eastAsia="Times New Roman" w:cs="Times New Roman"/>
          <w:b w:val="0"/>
          <w:i w:val="0"/>
          <w:sz w:val="24"/>
        </w:rPr>
        <w:t>Three observations follow from Table 7.9. First, the dominant residual failure is distractor plausibility (D4), not factual error — and D4 weakness is inherited from the teacher rather than introduced by distillation; this is consistent with the gap analysis in §7.2.4 and with the teacher's own D4 score of 3.95. Second, the Bloom breakdown reveals an under-discussed weakness: Create-level items show a 0.40 fine-tuning gain but still only reach 3.92, well below the teacher's 4.32. The cause is straightforward data sparsity (only 13 teacher Create items in the evaluation set, and a proportionally small share in the training corpus); the mitigation is a targeted curriculum that up-samples Create/Evaluate items rather than further training compute. Third, the catastrophic-failure rate (Reject) collapses from 6.1% pre-FT to 0.6% post-FT — a 10× reduction. From a software-engineering perspective this is the single most important deployment number, because it determines whether human review can move from 'every item' to 'sampled audit', which is the difference between a tool that aids the instructor and one that adds work.</w:t>
      </w:r>
    </w:p>
    <w:p w14:paraId="1F6476F8">
      <w:pPr>
        <w:spacing w:before="0" w:after="0" w:line="360" w:lineRule="auto"/>
        <w:jc w:val="both"/>
      </w:pPr>
      <w:r>
        <w:rPr>
          <w:rFonts w:ascii="Times New Roman" w:hAnsi="Times New Roman" w:eastAsia="Times New Roman" w:cs="Times New Roman"/>
          <w:sz w:val="24"/>
        </w:rPr>
        <w:drawing>
          <wp:inline distT="0" distB="0" distL="114300" distR="114300">
            <wp:extent cx="5029200" cy="25146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6"/>
                    <a:stretch>
                      <a:fillRect/>
                    </a:stretch>
                  </pic:blipFill>
                  <pic:spPr>
                    <a:xfrm>
                      <a:off x="0" y="0"/>
                      <a:ext cx="5029200" cy="2514600"/>
                    </a:xfrm>
                    <a:prstGeom prst="rect">
                      <a:avLst/>
                    </a:prstGeom>
                  </pic:spPr>
                </pic:pic>
              </a:graphicData>
            </a:graphic>
          </wp:inline>
        </w:drawing>
      </w:r>
    </w:p>
    <w:p w14:paraId="130F3096">
      <w:pPr>
        <w:spacing w:before="80" w:after="160" w:line="276" w:lineRule="auto"/>
        <w:ind w:firstLine="0"/>
        <w:jc w:val="center"/>
      </w:pPr>
      <w:r>
        <w:rPr>
          <w:rFonts w:ascii="Arial" w:hAnsi="Arial" w:eastAsia="Arial" w:cs="Arial"/>
          <w:b/>
          <w:i/>
          <w:color w:val="00468C"/>
          <w:sz w:val="20"/>
        </w:rPr>
        <w:t>Figure 7.14 — Mean judge score per Bloom level (Teacher, Pre-FT, Post-FT). Create remains the weakest level for the V8 student.</w:t>
      </w:r>
    </w:p>
    <w:p w14:paraId="43A481AB">
      <w:pPr>
        <w:spacing w:before="0" w:after="0" w:line="360" w:lineRule="auto"/>
        <w:jc w:val="both"/>
      </w:pPr>
      <w:r>
        <w:rPr>
          <w:rFonts w:ascii="Times New Roman" w:hAnsi="Times New Roman" w:eastAsia="Times New Roman" w:cs="Times New Roman"/>
          <w:sz w:val="24"/>
        </w:rPr>
        <w:drawing>
          <wp:inline distT="0" distB="0" distL="114300" distR="114300">
            <wp:extent cx="5029200" cy="1934210"/>
            <wp:effectExtent l="0" t="0" r="0" b="127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7"/>
                    <a:stretch>
                      <a:fillRect/>
                    </a:stretch>
                  </pic:blipFill>
                  <pic:spPr>
                    <a:xfrm>
                      <a:off x="0" y="0"/>
                      <a:ext cx="5029200" cy="1934308"/>
                    </a:xfrm>
                    <a:prstGeom prst="rect">
                      <a:avLst/>
                    </a:prstGeom>
                  </pic:spPr>
                </pic:pic>
              </a:graphicData>
            </a:graphic>
          </wp:inline>
        </w:drawing>
      </w:r>
    </w:p>
    <w:p w14:paraId="6CCF37EE">
      <w:pPr>
        <w:spacing w:before="80" w:after="160" w:line="276" w:lineRule="auto"/>
        <w:ind w:firstLine="0"/>
        <w:jc w:val="center"/>
      </w:pPr>
      <w:r>
        <w:rPr>
          <w:rFonts w:ascii="Arial" w:hAnsi="Arial" w:eastAsia="Arial" w:cs="Arial"/>
          <w:b/>
          <w:i/>
          <w:color w:val="00468C"/>
          <w:sz w:val="20"/>
        </w:rPr>
        <w:t>Figure 7.15 — Bloom-level bar comparison: fine-tuning gains are largest on Analyze and Evaluate.</w:t>
      </w:r>
    </w:p>
    <w:p w14:paraId="617429DE">
      <w:pPr>
        <w:spacing w:before="0" w:after="0" w:line="360" w:lineRule="auto"/>
        <w:ind w:firstLine="720"/>
        <w:jc w:val="both"/>
      </w:pPr>
      <w:r>
        <w:rPr>
          <w:rFonts w:ascii="Times New Roman" w:hAnsi="Times New Roman" w:eastAsia="Times New Roman" w:cs="Times New Roman"/>
          <w:sz w:val="24"/>
        </w:rPr>
        <w:drawing>
          <wp:inline distT="0" distB="0" distL="114300" distR="114300">
            <wp:extent cx="4572000" cy="3376930"/>
            <wp:effectExtent l="0" t="0" r="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8"/>
                    <a:stretch>
                      <a:fillRect/>
                    </a:stretch>
                  </pic:blipFill>
                  <pic:spPr>
                    <a:xfrm>
                      <a:off x="0" y="0"/>
                      <a:ext cx="4572000" cy="3377514"/>
                    </a:xfrm>
                    <a:prstGeom prst="rect">
                      <a:avLst/>
                    </a:prstGeom>
                  </pic:spPr>
                </pic:pic>
              </a:graphicData>
            </a:graphic>
          </wp:inline>
        </w:drawing>
      </w:r>
    </w:p>
    <w:p w14:paraId="68FF59B7">
      <w:pPr>
        <w:spacing w:before="80" w:after="160" w:line="276" w:lineRule="auto"/>
        <w:ind w:firstLine="0"/>
        <w:jc w:val="center"/>
      </w:pPr>
      <w:r>
        <w:rPr>
          <w:rFonts w:ascii="Arial" w:hAnsi="Arial" w:eastAsia="Arial" w:cs="Arial"/>
          <w:b/>
          <w:i/>
          <w:color w:val="00468C"/>
          <w:sz w:val="20"/>
        </w:rPr>
        <w:t>Figure 7.16 — Seven-dimension radar comparing Teacher, Pre-FT, and Post-FT.</w:t>
      </w:r>
    </w:p>
    <w:p w14:paraId="2B0BB444">
      <w:pPr>
        <w:pStyle w:val="4"/>
        <w:spacing w:before="240" w:after="120" w:line="276" w:lineRule="auto"/>
        <w:ind w:firstLine="0"/>
        <w:jc w:val="left"/>
      </w:pPr>
      <w:r>
        <w:rPr>
          <w:rFonts w:ascii="Times New Roman" w:hAnsi="Times New Roman" w:eastAsia="Times New Roman" w:cs="Times New Roman"/>
          <w:b/>
          <w:color w:val="002855"/>
          <w:sz w:val="24"/>
        </w:rPr>
        <w:t>7.2.9  Trade-Off Analysis: Model Size vs. Quality</w:t>
      </w:r>
    </w:p>
    <w:p w14:paraId="3D818298">
      <w:pPr>
        <w:spacing w:before="0" w:after="0" w:line="360" w:lineRule="auto"/>
        <w:jc w:val="both"/>
      </w:pPr>
      <w:r>
        <w:rPr>
          <w:rFonts w:ascii="Times New Roman" w:hAnsi="Times New Roman" w:eastAsia="Times New Roman" w:cs="Times New Roman"/>
          <w:b w:val="0"/>
          <w:i w:val="0"/>
          <w:sz w:val="24"/>
        </w:rPr>
        <w:t>The deployment decision compares the teacher (Gemini 2.5 Flash Lite, accessed via API) with the fine-tuned student (Qwen2.5-1.5B-Instruct, merged QLoRA, served locally). Table 7.10 summarises the operational profile measured on a single GPU production candidate; perplexity numbers come from the V8 evaluation harness.</w:t>
      </w:r>
    </w:p>
    <w:tbl>
      <w:tblPr>
        <w:tblStyle w:val="52"/>
        <w:tblW w:w="0" w:type="auto"/>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Layout w:type="autofit"/>
        <w:tblCellMar>
          <w:top w:w="0" w:type="dxa"/>
          <w:left w:w="108" w:type="dxa"/>
          <w:bottom w:w="0" w:type="dxa"/>
          <w:right w:w="108" w:type="dxa"/>
        </w:tblCellMar>
      </w:tblPr>
      <w:tblGrid>
        <w:gridCol w:w="2880"/>
        <w:gridCol w:w="2880"/>
        <w:gridCol w:w="2880"/>
      </w:tblGrid>
      <w:tr w14:paraId="2CF0A1ED">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single" w:color="000000" w:sz="12" w:space="0"/>
              <w:left w:val="nil"/>
              <w:bottom w:val="single" w:color="000000" w:sz="6" w:space="0"/>
              <w:right w:val="nil"/>
              <w:insideH w:val="nil"/>
              <w:insideV w:val="nil"/>
            </w:tcBorders>
            <w:shd w:val="clear" w:color="auto" w:fill="00468C"/>
          </w:tcPr>
          <w:p w14:paraId="045A00A1">
            <w:pPr>
              <w:spacing w:before="40" w:after="40" w:line="276" w:lineRule="auto"/>
              <w:ind w:firstLine="0"/>
            </w:pPr>
            <w:r>
              <w:rPr>
                <w:rFonts w:ascii="Arial" w:hAnsi="Arial" w:eastAsia="Arial" w:cs="Arial"/>
                <w:b/>
                <w:color w:val="FFFFFF"/>
                <w:sz w:val="20"/>
              </w:rPr>
              <w:t>Property</w:t>
            </w:r>
          </w:p>
        </w:tc>
        <w:tc>
          <w:tcPr>
            <w:tcW w:w="2880" w:type="dxa"/>
            <w:tcBorders>
              <w:top w:val="single" w:color="000000" w:sz="12" w:space="0"/>
              <w:left w:val="nil"/>
              <w:bottom w:val="single" w:color="000000" w:sz="6" w:space="0"/>
              <w:right w:val="nil"/>
              <w:insideH w:val="nil"/>
              <w:insideV w:val="nil"/>
            </w:tcBorders>
            <w:shd w:val="clear" w:color="auto" w:fill="00468C"/>
          </w:tcPr>
          <w:p w14:paraId="3841C79F">
            <w:pPr>
              <w:spacing w:before="40" w:after="40" w:line="276" w:lineRule="auto"/>
              <w:ind w:firstLine="0"/>
            </w:pPr>
            <w:r>
              <w:rPr>
                <w:rFonts w:ascii="Arial" w:hAnsi="Arial" w:eastAsia="Arial" w:cs="Arial"/>
                <w:b/>
                <w:color w:val="FFFFFF"/>
                <w:sz w:val="20"/>
              </w:rPr>
              <w:t>Teacher (Gemini 2.5 Flash Lite)</w:t>
            </w:r>
          </w:p>
        </w:tc>
        <w:tc>
          <w:tcPr>
            <w:tcW w:w="2880" w:type="dxa"/>
            <w:tcBorders>
              <w:top w:val="single" w:color="000000" w:sz="12" w:space="0"/>
              <w:left w:val="nil"/>
              <w:bottom w:val="single" w:color="000000" w:sz="6" w:space="0"/>
              <w:right w:val="nil"/>
              <w:insideH w:val="nil"/>
              <w:insideV w:val="nil"/>
            </w:tcBorders>
            <w:shd w:val="clear" w:color="auto" w:fill="00468C"/>
          </w:tcPr>
          <w:p w14:paraId="649C5444">
            <w:pPr>
              <w:spacing w:before="40" w:after="40" w:line="276" w:lineRule="auto"/>
              <w:ind w:firstLine="0"/>
            </w:pPr>
            <w:r>
              <w:rPr>
                <w:rFonts w:ascii="Arial" w:hAnsi="Arial" w:eastAsia="Arial" w:cs="Arial"/>
                <w:b/>
                <w:color w:val="FFFFFF"/>
                <w:sz w:val="20"/>
              </w:rPr>
              <w:t>Fine-tuned Student (Qwen2.5-1.5B)</w:t>
            </w:r>
          </w:p>
        </w:tc>
      </w:tr>
      <w:tr w14:paraId="2D6C3E41">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43766C1A">
            <w:pPr>
              <w:spacing w:before="40" w:after="40" w:line="276" w:lineRule="auto"/>
              <w:ind w:firstLine="0"/>
            </w:pPr>
            <w:r>
              <w:rPr>
                <w:rFonts w:ascii="Times New Roman" w:hAnsi="Times New Roman" w:eastAsia="Times New Roman" w:cs="Times New Roman"/>
                <w:b w:val="0"/>
                <w:color w:val="000000"/>
                <w:sz w:val="22"/>
              </w:rPr>
              <w:t>Parameters (approx.)</w:t>
            </w:r>
          </w:p>
        </w:tc>
        <w:tc>
          <w:tcPr>
            <w:tcW w:w="2880" w:type="dxa"/>
            <w:tcBorders>
              <w:top w:val="nil"/>
              <w:left w:val="nil"/>
              <w:bottom w:val="nil"/>
              <w:right w:val="nil"/>
              <w:insideH w:val="nil"/>
              <w:insideV w:val="nil"/>
            </w:tcBorders>
            <w:shd w:val="clear" w:color="auto" w:fill="FFFFFF"/>
          </w:tcPr>
          <w:p w14:paraId="32480B4B">
            <w:pPr>
              <w:spacing w:before="40" w:after="40" w:line="276" w:lineRule="auto"/>
              <w:ind w:firstLine="0"/>
            </w:pPr>
            <w:r>
              <w:rPr>
                <w:rFonts w:ascii="Times New Roman" w:hAnsi="Times New Roman" w:eastAsia="Times New Roman" w:cs="Times New Roman"/>
                <w:b w:val="0"/>
                <w:color w:val="000000"/>
                <w:sz w:val="22"/>
              </w:rPr>
              <w:t>~Hundreds of B (proprietary)</w:t>
            </w:r>
          </w:p>
        </w:tc>
        <w:tc>
          <w:tcPr>
            <w:tcW w:w="2880" w:type="dxa"/>
            <w:tcBorders>
              <w:top w:val="nil"/>
              <w:left w:val="nil"/>
              <w:bottom w:val="nil"/>
              <w:right w:val="nil"/>
              <w:insideH w:val="nil"/>
              <w:insideV w:val="nil"/>
            </w:tcBorders>
            <w:shd w:val="clear" w:color="auto" w:fill="FFFFFF"/>
          </w:tcPr>
          <w:p w14:paraId="4C916BAD">
            <w:pPr>
              <w:spacing w:before="40" w:after="40" w:line="276" w:lineRule="auto"/>
              <w:ind w:firstLine="0"/>
            </w:pPr>
            <w:r>
              <w:rPr>
                <w:rFonts w:ascii="Times New Roman" w:hAnsi="Times New Roman" w:eastAsia="Times New Roman" w:cs="Times New Roman"/>
                <w:b w:val="0"/>
                <w:color w:val="000000"/>
                <w:sz w:val="22"/>
              </w:rPr>
              <w:t>1.54 B</w:t>
            </w:r>
          </w:p>
        </w:tc>
      </w:tr>
      <w:tr w14:paraId="28FB767B">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6443B802">
            <w:pPr>
              <w:spacing w:before="40" w:after="40" w:line="276" w:lineRule="auto"/>
              <w:ind w:firstLine="0"/>
            </w:pPr>
            <w:r>
              <w:rPr>
                <w:rFonts w:ascii="Times New Roman" w:hAnsi="Times New Roman" w:eastAsia="Times New Roman" w:cs="Times New Roman"/>
                <w:b w:val="0"/>
                <w:color w:val="000000"/>
                <w:sz w:val="22"/>
              </w:rPr>
              <w:t>Mean per-item latency (ms)</w:t>
            </w:r>
          </w:p>
        </w:tc>
        <w:tc>
          <w:tcPr>
            <w:tcW w:w="2880" w:type="dxa"/>
            <w:tcBorders>
              <w:top w:val="nil"/>
              <w:left w:val="nil"/>
              <w:bottom w:val="nil"/>
              <w:right w:val="nil"/>
              <w:insideH w:val="nil"/>
              <w:insideV w:val="nil"/>
            </w:tcBorders>
            <w:shd w:val="clear" w:color="auto" w:fill="FFFFFF"/>
          </w:tcPr>
          <w:p w14:paraId="3DC6185F">
            <w:pPr>
              <w:spacing w:before="40" w:after="40" w:line="276" w:lineRule="auto"/>
              <w:ind w:firstLine="0"/>
            </w:pPr>
            <w:r>
              <w:rPr>
                <w:rFonts w:ascii="Times New Roman" w:hAnsi="Times New Roman" w:eastAsia="Times New Roman" w:cs="Times New Roman"/>
                <w:b w:val="0"/>
                <w:color w:val="000000"/>
                <w:sz w:val="22"/>
              </w:rPr>
              <w:t>1295.7 (API, network bound)</w:t>
            </w:r>
          </w:p>
        </w:tc>
        <w:tc>
          <w:tcPr>
            <w:tcW w:w="2880" w:type="dxa"/>
            <w:tcBorders>
              <w:top w:val="nil"/>
              <w:left w:val="nil"/>
              <w:bottom w:val="nil"/>
              <w:right w:val="nil"/>
              <w:insideH w:val="nil"/>
              <w:insideV w:val="nil"/>
            </w:tcBorders>
            <w:shd w:val="clear" w:color="auto" w:fill="FFFFFF"/>
          </w:tcPr>
          <w:p w14:paraId="15CABD2B">
            <w:pPr>
              <w:spacing w:before="40" w:after="40" w:line="276" w:lineRule="auto"/>
              <w:ind w:firstLine="0"/>
            </w:pPr>
            <w:r>
              <w:rPr>
                <w:rFonts w:ascii="Times New Roman" w:hAnsi="Times New Roman" w:eastAsia="Times New Roman" w:cs="Times New Roman"/>
                <w:b w:val="0"/>
                <w:color w:val="000000"/>
                <w:sz w:val="22"/>
              </w:rPr>
              <w:t>9168.6 (local GPU, batch=1)</w:t>
            </w:r>
          </w:p>
        </w:tc>
      </w:tr>
      <w:tr w14:paraId="069D41E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1A970D5B">
            <w:pPr>
              <w:spacing w:before="40" w:after="40" w:line="276" w:lineRule="auto"/>
              <w:ind w:firstLine="0"/>
            </w:pPr>
            <w:r>
              <w:rPr>
                <w:rFonts w:ascii="Times New Roman" w:hAnsi="Times New Roman" w:eastAsia="Times New Roman" w:cs="Times New Roman"/>
                <w:b w:val="0"/>
                <w:color w:val="000000"/>
                <w:sz w:val="22"/>
              </w:rPr>
              <w:t>Perplexity on teacher MCQs</w:t>
            </w:r>
          </w:p>
        </w:tc>
        <w:tc>
          <w:tcPr>
            <w:tcW w:w="2880" w:type="dxa"/>
            <w:tcBorders>
              <w:top w:val="nil"/>
              <w:left w:val="nil"/>
              <w:bottom w:val="nil"/>
              <w:right w:val="nil"/>
              <w:insideH w:val="nil"/>
              <w:insideV w:val="nil"/>
            </w:tcBorders>
            <w:shd w:val="clear" w:color="auto" w:fill="FFFFFF"/>
          </w:tcPr>
          <w:p w14:paraId="2CB8E7B8">
            <w:pPr>
              <w:spacing w:before="40" w:after="40" w:line="276" w:lineRule="auto"/>
              <w:ind w:firstLine="0"/>
            </w:pPr>
            <w:r>
              <w:rPr>
                <w:rFonts w:ascii="Times New Roman" w:hAnsi="Times New Roman" w:eastAsia="Times New Roman" w:cs="Times New Roman"/>
                <w:b w:val="0"/>
                <w:color w:val="000000"/>
                <w:sz w:val="22"/>
              </w:rPr>
              <w:t>—</w:t>
            </w:r>
          </w:p>
        </w:tc>
        <w:tc>
          <w:tcPr>
            <w:tcW w:w="2880" w:type="dxa"/>
            <w:tcBorders>
              <w:top w:val="nil"/>
              <w:left w:val="nil"/>
              <w:bottom w:val="nil"/>
              <w:right w:val="nil"/>
              <w:insideH w:val="nil"/>
              <w:insideV w:val="nil"/>
            </w:tcBorders>
            <w:shd w:val="clear" w:color="auto" w:fill="FFFFFF"/>
          </w:tcPr>
          <w:p w14:paraId="75AA2116">
            <w:pPr>
              <w:spacing w:before="40" w:after="40" w:line="276" w:lineRule="auto"/>
              <w:ind w:firstLine="0"/>
            </w:pPr>
            <w:r>
              <w:rPr>
                <w:rFonts w:ascii="Times New Roman" w:hAnsi="Times New Roman" w:eastAsia="Times New Roman" w:cs="Times New Roman"/>
                <w:b w:val="0"/>
                <w:color w:val="000000"/>
                <w:sz w:val="22"/>
              </w:rPr>
              <w:t>10.47 ± 6.32</w:t>
            </w:r>
          </w:p>
        </w:tc>
      </w:tr>
      <w:tr w14:paraId="418869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75F1D8E0">
            <w:pPr>
              <w:spacing w:before="40" w:after="40" w:line="276" w:lineRule="auto"/>
              <w:ind w:firstLine="0"/>
            </w:pPr>
            <w:r>
              <w:rPr>
                <w:rFonts w:ascii="Times New Roman" w:hAnsi="Times New Roman" w:eastAsia="Times New Roman" w:cs="Times New Roman"/>
                <w:b w:val="0"/>
                <w:color w:val="000000"/>
                <w:sz w:val="22"/>
              </w:rPr>
              <w:t>Perplexity on post-FT MCQs</w:t>
            </w:r>
          </w:p>
        </w:tc>
        <w:tc>
          <w:tcPr>
            <w:tcW w:w="2880" w:type="dxa"/>
            <w:tcBorders>
              <w:top w:val="nil"/>
              <w:left w:val="nil"/>
              <w:bottom w:val="nil"/>
              <w:right w:val="nil"/>
              <w:insideH w:val="nil"/>
              <w:insideV w:val="nil"/>
            </w:tcBorders>
            <w:shd w:val="clear" w:color="auto" w:fill="FFFFFF"/>
          </w:tcPr>
          <w:p w14:paraId="7D57B7B8">
            <w:pPr>
              <w:spacing w:before="40" w:after="40" w:line="276" w:lineRule="auto"/>
              <w:ind w:firstLine="0"/>
            </w:pPr>
            <w:r>
              <w:rPr>
                <w:rFonts w:ascii="Times New Roman" w:hAnsi="Times New Roman" w:eastAsia="Times New Roman" w:cs="Times New Roman"/>
                <w:b w:val="0"/>
                <w:color w:val="000000"/>
                <w:sz w:val="22"/>
              </w:rPr>
              <w:t>—</w:t>
            </w:r>
          </w:p>
        </w:tc>
        <w:tc>
          <w:tcPr>
            <w:tcW w:w="2880" w:type="dxa"/>
            <w:tcBorders>
              <w:top w:val="nil"/>
              <w:left w:val="nil"/>
              <w:bottom w:val="nil"/>
              <w:right w:val="nil"/>
              <w:insideH w:val="nil"/>
              <w:insideV w:val="nil"/>
            </w:tcBorders>
            <w:shd w:val="clear" w:color="auto" w:fill="FFFFFF"/>
          </w:tcPr>
          <w:p w14:paraId="2BE2EAAE">
            <w:pPr>
              <w:spacing w:before="40" w:after="40" w:line="276" w:lineRule="auto"/>
              <w:ind w:firstLine="0"/>
            </w:pPr>
            <w:r>
              <w:rPr>
                <w:rFonts w:ascii="Times New Roman" w:hAnsi="Times New Roman" w:eastAsia="Times New Roman" w:cs="Times New Roman"/>
                <w:b w:val="0"/>
                <w:color w:val="000000"/>
                <w:sz w:val="22"/>
              </w:rPr>
              <w:t>7.95 ± 4.13</w:t>
            </w:r>
          </w:p>
        </w:tc>
      </w:tr>
      <w:tr w14:paraId="7D4AC2E2">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428B0F93">
            <w:pPr>
              <w:spacing w:before="40" w:after="40" w:line="276" w:lineRule="auto"/>
              <w:ind w:firstLine="0"/>
            </w:pPr>
            <w:r>
              <w:rPr>
                <w:rFonts w:ascii="Times New Roman" w:hAnsi="Times New Roman" w:eastAsia="Times New Roman" w:cs="Times New Roman"/>
                <w:b w:val="0"/>
                <w:color w:val="000000"/>
                <w:sz w:val="22"/>
              </w:rPr>
              <w:t>Perplexity on pre-FT MCQs</w:t>
            </w:r>
          </w:p>
        </w:tc>
        <w:tc>
          <w:tcPr>
            <w:tcW w:w="2880" w:type="dxa"/>
            <w:tcBorders>
              <w:top w:val="nil"/>
              <w:left w:val="nil"/>
              <w:bottom w:val="nil"/>
              <w:right w:val="nil"/>
              <w:insideH w:val="nil"/>
              <w:insideV w:val="nil"/>
            </w:tcBorders>
            <w:shd w:val="clear" w:color="auto" w:fill="FFFFFF"/>
          </w:tcPr>
          <w:p w14:paraId="720F4B24">
            <w:pPr>
              <w:spacing w:before="40" w:after="40" w:line="276" w:lineRule="auto"/>
              <w:ind w:firstLine="0"/>
            </w:pPr>
            <w:r>
              <w:rPr>
                <w:rFonts w:ascii="Times New Roman" w:hAnsi="Times New Roman" w:eastAsia="Times New Roman" w:cs="Times New Roman"/>
                <w:b w:val="0"/>
                <w:color w:val="000000"/>
                <w:sz w:val="22"/>
              </w:rPr>
              <w:t>—</w:t>
            </w:r>
          </w:p>
        </w:tc>
        <w:tc>
          <w:tcPr>
            <w:tcW w:w="2880" w:type="dxa"/>
            <w:tcBorders>
              <w:top w:val="nil"/>
              <w:left w:val="nil"/>
              <w:bottom w:val="nil"/>
              <w:right w:val="nil"/>
              <w:insideH w:val="nil"/>
              <w:insideV w:val="nil"/>
            </w:tcBorders>
            <w:shd w:val="clear" w:color="auto" w:fill="FFFFFF"/>
          </w:tcPr>
          <w:p w14:paraId="20385807">
            <w:pPr>
              <w:spacing w:before="40" w:after="40" w:line="276" w:lineRule="auto"/>
              <w:ind w:firstLine="0"/>
            </w:pPr>
            <w:r>
              <w:rPr>
                <w:rFonts w:ascii="Times New Roman" w:hAnsi="Times New Roman" w:eastAsia="Times New Roman" w:cs="Times New Roman"/>
                <w:b w:val="0"/>
                <w:color w:val="000000"/>
                <w:sz w:val="22"/>
              </w:rPr>
              <w:t>19.92 ± 24.72</w:t>
            </w:r>
          </w:p>
        </w:tc>
      </w:tr>
      <w:tr w14:paraId="014CA50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41D64CD6">
            <w:pPr>
              <w:spacing w:before="40" w:after="40" w:line="276" w:lineRule="auto"/>
              <w:ind w:firstLine="0"/>
            </w:pPr>
            <w:r>
              <w:rPr>
                <w:rFonts w:ascii="Times New Roman" w:hAnsi="Times New Roman" w:eastAsia="Times New Roman" w:cs="Times New Roman"/>
                <w:b w:val="0"/>
                <w:color w:val="000000"/>
                <w:sz w:val="22"/>
              </w:rPr>
              <w:t>CMQS</w:t>
            </w:r>
          </w:p>
        </w:tc>
        <w:tc>
          <w:tcPr>
            <w:tcW w:w="2880" w:type="dxa"/>
            <w:tcBorders>
              <w:top w:val="nil"/>
              <w:left w:val="nil"/>
              <w:bottom w:val="nil"/>
              <w:right w:val="nil"/>
              <w:insideH w:val="nil"/>
              <w:insideV w:val="nil"/>
            </w:tcBorders>
            <w:shd w:val="clear" w:color="auto" w:fill="FFFFFF"/>
          </w:tcPr>
          <w:p w14:paraId="2FED0D4F">
            <w:pPr>
              <w:spacing w:before="40" w:after="40" w:line="276" w:lineRule="auto"/>
              <w:ind w:firstLine="0"/>
            </w:pPr>
            <w:r>
              <w:rPr>
                <w:rFonts w:ascii="Times New Roman" w:hAnsi="Times New Roman" w:eastAsia="Times New Roman" w:cs="Times New Roman"/>
                <w:b w:val="0"/>
                <w:color w:val="000000"/>
                <w:sz w:val="22"/>
              </w:rPr>
              <w:t>4.614</w:t>
            </w:r>
          </w:p>
        </w:tc>
        <w:tc>
          <w:tcPr>
            <w:tcW w:w="2880" w:type="dxa"/>
            <w:tcBorders>
              <w:top w:val="nil"/>
              <w:left w:val="nil"/>
              <w:bottom w:val="nil"/>
              <w:right w:val="nil"/>
              <w:insideH w:val="nil"/>
              <w:insideV w:val="nil"/>
            </w:tcBorders>
            <w:shd w:val="clear" w:color="auto" w:fill="FFFFFF"/>
          </w:tcPr>
          <w:p w14:paraId="10CD6E6C">
            <w:pPr>
              <w:spacing w:before="40" w:after="40" w:line="276" w:lineRule="auto"/>
              <w:ind w:firstLine="0"/>
            </w:pPr>
            <w:r>
              <w:rPr>
                <w:rFonts w:ascii="Times New Roman" w:hAnsi="Times New Roman" w:eastAsia="Times New Roman" w:cs="Times New Roman"/>
                <w:b w:val="0"/>
                <w:color w:val="000000"/>
                <w:sz w:val="22"/>
              </w:rPr>
              <w:t>4.383</w:t>
            </w:r>
          </w:p>
        </w:tc>
      </w:tr>
      <w:tr w14:paraId="05878196">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3E6BBF67">
            <w:pPr>
              <w:spacing w:before="40" w:after="40" w:line="276" w:lineRule="auto"/>
              <w:ind w:firstLine="0"/>
            </w:pPr>
            <w:r>
              <w:rPr>
                <w:rFonts w:ascii="Times New Roman" w:hAnsi="Times New Roman" w:eastAsia="Times New Roman" w:cs="Times New Roman"/>
                <w:b w:val="0"/>
                <w:color w:val="000000"/>
                <w:sz w:val="22"/>
              </w:rPr>
              <w:t>QPS</w:t>
            </w:r>
          </w:p>
        </w:tc>
        <w:tc>
          <w:tcPr>
            <w:tcW w:w="2880" w:type="dxa"/>
            <w:tcBorders>
              <w:top w:val="nil"/>
              <w:left w:val="nil"/>
              <w:bottom w:val="nil"/>
              <w:right w:val="nil"/>
              <w:insideH w:val="nil"/>
              <w:insideV w:val="nil"/>
            </w:tcBorders>
            <w:shd w:val="clear" w:color="auto" w:fill="FFFFFF"/>
          </w:tcPr>
          <w:p w14:paraId="5983AF1D">
            <w:pPr>
              <w:spacing w:before="40" w:after="40" w:line="276" w:lineRule="auto"/>
              <w:ind w:firstLine="0"/>
            </w:pPr>
            <w:r>
              <w:rPr>
                <w:rFonts w:ascii="Times New Roman" w:hAnsi="Times New Roman" w:eastAsia="Times New Roman" w:cs="Times New Roman"/>
                <w:b w:val="0"/>
                <w:color w:val="000000"/>
                <w:sz w:val="22"/>
              </w:rPr>
              <w:t>100% (reference)</w:t>
            </w:r>
          </w:p>
        </w:tc>
        <w:tc>
          <w:tcPr>
            <w:tcW w:w="2880" w:type="dxa"/>
            <w:tcBorders>
              <w:top w:val="nil"/>
              <w:left w:val="nil"/>
              <w:bottom w:val="nil"/>
              <w:right w:val="nil"/>
              <w:insideH w:val="nil"/>
              <w:insideV w:val="nil"/>
            </w:tcBorders>
            <w:shd w:val="clear" w:color="auto" w:fill="FFFFFF"/>
          </w:tcPr>
          <w:p w14:paraId="3A8B22FA">
            <w:pPr>
              <w:spacing w:before="40" w:after="40" w:line="276" w:lineRule="auto"/>
              <w:ind w:firstLine="0"/>
            </w:pPr>
            <w:r>
              <w:rPr>
                <w:rFonts w:ascii="Times New Roman" w:hAnsi="Times New Roman" w:eastAsia="Times New Roman" w:cs="Times New Roman"/>
                <w:b w:val="0"/>
                <w:color w:val="000000"/>
                <w:sz w:val="22"/>
              </w:rPr>
              <w:t>94.99%</w:t>
            </w:r>
          </w:p>
        </w:tc>
      </w:tr>
      <w:tr w14:paraId="26874E7C">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16D8D10D">
            <w:pPr>
              <w:spacing w:before="40" w:after="40" w:line="276" w:lineRule="auto"/>
              <w:ind w:firstLine="0"/>
            </w:pPr>
            <w:r>
              <w:rPr>
                <w:rFonts w:ascii="Times New Roman" w:hAnsi="Times New Roman" w:eastAsia="Times New Roman" w:cs="Times New Roman"/>
                <w:b w:val="0"/>
                <w:color w:val="000000"/>
                <w:sz w:val="22"/>
              </w:rPr>
              <w:t>Reject rate (LLM judge)</w:t>
            </w:r>
          </w:p>
        </w:tc>
        <w:tc>
          <w:tcPr>
            <w:tcW w:w="2880" w:type="dxa"/>
            <w:tcBorders>
              <w:top w:val="nil"/>
              <w:left w:val="nil"/>
              <w:bottom w:val="nil"/>
              <w:right w:val="nil"/>
              <w:insideH w:val="nil"/>
              <w:insideV w:val="nil"/>
            </w:tcBorders>
            <w:shd w:val="clear" w:color="auto" w:fill="FFFFFF"/>
          </w:tcPr>
          <w:p w14:paraId="660AB587">
            <w:pPr>
              <w:spacing w:before="40" w:after="40" w:line="276" w:lineRule="auto"/>
              <w:ind w:firstLine="0"/>
            </w:pPr>
            <w:r>
              <w:rPr>
                <w:rFonts w:ascii="Times New Roman" w:hAnsi="Times New Roman" w:eastAsia="Times New Roman" w:cs="Times New Roman"/>
                <w:b w:val="0"/>
                <w:color w:val="000000"/>
                <w:sz w:val="22"/>
              </w:rPr>
              <w:t>0.0%</w:t>
            </w:r>
          </w:p>
        </w:tc>
        <w:tc>
          <w:tcPr>
            <w:tcW w:w="2880" w:type="dxa"/>
            <w:tcBorders>
              <w:top w:val="nil"/>
              <w:left w:val="nil"/>
              <w:bottom w:val="nil"/>
              <w:right w:val="nil"/>
              <w:insideH w:val="nil"/>
              <w:insideV w:val="nil"/>
            </w:tcBorders>
            <w:shd w:val="clear" w:color="auto" w:fill="FFFFFF"/>
          </w:tcPr>
          <w:p w14:paraId="1522C270">
            <w:pPr>
              <w:spacing w:before="40" w:after="40" w:line="276" w:lineRule="auto"/>
              <w:ind w:firstLine="0"/>
            </w:pPr>
            <w:r>
              <w:rPr>
                <w:rFonts w:ascii="Times New Roman" w:hAnsi="Times New Roman" w:eastAsia="Times New Roman" w:cs="Times New Roman"/>
                <w:b w:val="0"/>
                <w:color w:val="000000"/>
                <w:sz w:val="22"/>
              </w:rPr>
              <w:t>0.6%</w:t>
            </w:r>
          </w:p>
        </w:tc>
      </w:tr>
      <w:tr w14:paraId="6D82A948">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3D6CEC26">
            <w:pPr>
              <w:spacing w:before="40" w:after="40" w:line="276" w:lineRule="auto"/>
              <w:ind w:firstLine="0"/>
            </w:pPr>
            <w:r>
              <w:rPr>
                <w:rFonts w:ascii="Times New Roman" w:hAnsi="Times New Roman" w:eastAsia="Times New Roman" w:cs="Times New Roman"/>
                <w:b w:val="0"/>
                <w:color w:val="000000"/>
                <w:sz w:val="22"/>
              </w:rPr>
              <w:t>Per-item marginal cost</w:t>
            </w:r>
          </w:p>
        </w:tc>
        <w:tc>
          <w:tcPr>
            <w:tcW w:w="2880" w:type="dxa"/>
            <w:tcBorders>
              <w:top w:val="nil"/>
              <w:left w:val="nil"/>
              <w:bottom w:val="nil"/>
              <w:right w:val="nil"/>
              <w:insideH w:val="nil"/>
              <w:insideV w:val="nil"/>
            </w:tcBorders>
            <w:shd w:val="clear" w:color="auto" w:fill="FFFFFF"/>
          </w:tcPr>
          <w:p w14:paraId="45D60970">
            <w:pPr>
              <w:spacing w:before="40" w:after="40" w:line="276" w:lineRule="auto"/>
              <w:ind w:firstLine="0"/>
            </w:pPr>
            <w:r>
              <w:rPr>
                <w:rFonts w:ascii="Times New Roman" w:hAnsi="Times New Roman" w:eastAsia="Times New Roman" w:cs="Times New Roman"/>
                <w:b w:val="0"/>
                <w:color w:val="000000"/>
                <w:sz w:val="22"/>
              </w:rPr>
              <w:t>API token cost + egress</w:t>
            </w:r>
          </w:p>
        </w:tc>
        <w:tc>
          <w:tcPr>
            <w:tcW w:w="2880" w:type="dxa"/>
            <w:tcBorders>
              <w:top w:val="nil"/>
              <w:left w:val="nil"/>
              <w:bottom w:val="nil"/>
              <w:right w:val="nil"/>
              <w:insideH w:val="nil"/>
              <w:insideV w:val="nil"/>
            </w:tcBorders>
            <w:shd w:val="clear" w:color="auto" w:fill="FFFFFF"/>
          </w:tcPr>
          <w:p w14:paraId="6F3DE454">
            <w:pPr>
              <w:spacing w:before="40" w:after="40" w:line="276" w:lineRule="auto"/>
              <w:ind w:firstLine="0"/>
            </w:pPr>
            <w:r>
              <w:rPr>
                <w:rFonts w:ascii="Times New Roman" w:hAnsi="Times New Roman" w:eastAsia="Times New Roman" w:cs="Times New Roman"/>
                <w:b w:val="0"/>
                <w:color w:val="000000"/>
                <w:sz w:val="22"/>
              </w:rPr>
              <w:t>Amortised GPU cost, no per-token billing</w:t>
            </w:r>
          </w:p>
        </w:tc>
      </w:tr>
      <w:tr w14:paraId="3839211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1248E801">
            <w:pPr>
              <w:spacing w:before="40" w:after="40" w:line="276" w:lineRule="auto"/>
              <w:ind w:firstLine="0"/>
            </w:pPr>
            <w:r>
              <w:rPr>
                <w:rFonts w:ascii="Times New Roman" w:hAnsi="Times New Roman" w:eastAsia="Times New Roman" w:cs="Times New Roman"/>
                <w:b w:val="0"/>
                <w:color w:val="000000"/>
                <w:sz w:val="22"/>
              </w:rPr>
              <w:t>Offline / air-gapped use</w:t>
            </w:r>
          </w:p>
        </w:tc>
        <w:tc>
          <w:tcPr>
            <w:tcW w:w="2880" w:type="dxa"/>
            <w:tcBorders>
              <w:top w:val="nil"/>
              <w:left w:val="nil"/>
              <w:bottom w:val="nil"/>
              <w:right w:val="nil"/>
              <w:insideH w:val="nil"/>
              <w:insideV w:val="nil"/>
            </w:tcBorders>
            <w:shd w:val="clear" w:color="auto" w:fill="FFFFFF"/>
          </w:tcPr>
          <w:p w14:paraId="66FED265">
            <w:pPr>
              <w:spacing w:before="40" w:after="40" w:line="276" w:lineRule="auto"/>
              <w:ind w:firstLine="0"/>
            </w:pPr>
            <w:r>
              <w:rPr>
                <w:rFonts w:ascii="Times New Roman" w:hAnsi="Times New Roman" w:eastAsia="Times New Roman" w:cs="Times New Roman"/>
                <w:b w:val="0"/>
                <w:color w:val="000000"/>
                <w:sz w:val="22"/>
              </w:rPr>
              <w:t>Not possible</w:t>
            </w:r>
          </w:p>
        </w:tc>
        <w:tc>
          <w:tcPr>
            <w:tcW w:w="2880" w:type="dxa"/>
            <w:tcBorders>
              <w:top w:val="nil"/>
              <w:left w:val="nil"/>
              <w:bottom w:val="nil"/>
              <w:right w:val="nil"/>
              <w:insideH w:val="nil"/>
              <w:insideV w:val="nil"/>
            </w:tcBorders>
            <w:shd w:val="clear" w:color="auto" w:fill="FFFFFF"/>
          </w:tcPr>
          <w:p w14:paraId="5B7E23F4">
            <w:pPr>
              <w:spacing w:before="40" w:after="40" w:line="276" w:lineRule="auto"/>
              <w:ind w:firstLine="0"/>
            </w:pPr>
            <w:r>
              <w:rPr>
                <w:rFonts w:ascii="Times New Roman" w:hAnsi="Times New Roman" w:eastAsia="Times New Roman" w:cs="Times New Roman"/>
                <w:b w:val="0"/>
                <w:color w:val="000000"/>
                <w:sz w:val="22"/>
              </w:rPr>
              <w:t>Fully supported</w:t>
            </w:r>
          </w:p>
        </w:tc>
      </w:tr>
      <w:tr w14:paraId="7EE36054">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nil"/>
              <w:right w:val="nil"/>
              <w:insideH w:val="nil"/>
              <w:insideV w:val="nil"/>
            </w:tcBorders>
            <w:shd w:val="clear" w:color="auto" w:fill="FFFFFF"/>
          </w:tcPr>
          <w:p w14:paraId="39581C68">
            <w:pPr>
              <w:spacing w:before="40" w:after="40" w:line="276" w:lineRule="auto"/>
              <w:ind w:firstLine="0"/>
            </w:pPr>
            <w:r>
              <w:rPr>
                <w:rFonts w:ascii="Times New Roman" w:hAnsi="Times New Roman" w:eastAsia="Times New Roman" w:cs="Times New Roman"/>
                <w:b w:val="0"/>
                <w:color w:val="000000"/>
                <w:sz w:val="22"/>
              </w:rPr>
              <w:t>Data residency</w:t>
            </w:r>
          </w:p>
        </w:tc>
        <w:tc>
          <w:tcPr>
            <w:tcW w:w="2880" w:type="dxa"/>
            <w:tcBorders>
              <w:top w:val="nil"/>
              <w:left w:val="nil"/>
              <w:bottom w:val="nil"/>
              <w:right w:val="nil"/>
              <w:insideH w:val="nil"/>
              <w:insideV w:val="nil"/>
            </w:tcBorders>
            <w:shd w:val="clear" w:color="auto" w:fill="FFFFFF"/>
          </w:tcPr>
          <w:p w14:paraId="1768957D">
            <w:pPr>
              <w:spacing w:before="40" w:after="40" w:line="276" w:lineRule="auto"/>
              <w:ind w:firstLine="0"/>
            </w:pPr>
            <w:r>
              <w:rPr>
                <w:rFonts w:ascii="Times New Roman" w:hAnsi="Times New Roman" w:eastAsia="Times New Roman" w:cs="Times New Roman"/>
                <w:b w:val="0"/>
                <w:color w:val="000000"/>
                <w:sz w:val="22"/>
              </w:rPr>
              <w:t>Vendor cloud</w:t>
            </w:r>
          </w:p>
        </w:tc>
        <w:tc>
          <w:tcPr>
            <w:tcW w:w="2880" w:type="dxa"/>
            <w:tcBorders>
              <w:top w:val="nil"/>
              <w:left w:val="nil"/>
              <w:bottom w:val="nil"/>
              <w:right w:val="nil"/>
              <w:insideH w:val="nil"/>
              <w:insideV w:val="nil"/>
            </w:tcBorders>
            <w:shd w:val="clear" w:color="auto" w:fill="FFFFFF"/>
          </w:tcPr>
          <w:p w14:paraId="3E1B6873">
            <w:pPr>
              <w:spacing w:before="40" w:after="40" w:line="276" w:lineRule="auto"/>
              <w:ind w:firstLine="0"/>
            </w:pPr>
            <w:r>
              <w:rPr>
                <w:rFonts w:ascii="Times New Roman" w:hAnsi="Times New Roman" w:eastAsia="Times New Roman" w:cs="Times New Roman"/>
                <w:b w:val="0"/>
                <w:color w:val="000000"/>
                <w:sz w:val="22"/>
              </w:rPr>
              <w:t>On-premises</w:t>
            </w:r>
          </w:p>
        </w:tc>
      </w:tr>
      <w:tr w14:paraId="0ADC6E45">
        <w:tblPrEx>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Ex>
        <w:tc>
          <w:tcPr>
            <w:tcW w:w="2880" w:type="dxa"/>
            <w:tcBorders>
              <w:top w:val="nil"/>
              <w:left w:val="nil"/>
              <w:bottom w:val="single" w:color="000000" w:sz="12" w:space="0"/>
              <w:right w:val="nil"/>
              <w:insideH w:val="nil"/>
              <w:insideV w:val="nil"/>
            </w:tcBorders>
            <w:shd w:val="clear" w:color="auto" w:fill="FFFFFF"/>
          </w:tcPr>
          <w:p w14:paraId="4FA7A16C">
            <w:pPr>
              <w:spacing w:before="40" w:after="40" w:line="276" w:lineRule="auto"/>
              <w:ind w:firstLine="0"/>
            </w:pPr>
            <w:r>
              <w:rPr>
                <w:rFonts w:ascii="Times New Roman" w:hAnsi="Times New Roman" w:eastAsia="Times New Roman" w:cs="Times New Roman"/>
                <w:b w:val="0"/>
                <w:color w:val="000000"/>
                <w:sz w:val="22"/>
              </w:rPr>
              <w:t>Fine-tuning / customisation</w:t>
            </w:r>
          </w:p>
        </w:tc>
        <w:tc>
          <w:tcPr>
            <w:tcW w:w="2880" w:type="dxa"/>
            <w:tcBorders>
              <w:top w:val="nil"/>
              <w:left w:val="nil"/>
              <w:bottom w:val="single" w:color="000000" w:sz="12" w:space="0"/>
              <w:right w:val="nil"/>
              <w:insideH w:val="nil"/>
              <w:insideV w:val="nil"/>
            </w:tcBorders>
            <w:shd w:val="clear" w:color="auto" w:fill="FFFFFF"/>
          </w:tcPr>
          <w:p w14:paraId="6D83709E">
            <w:pPr>
              <w:spacing w:before="40" w:after="40" w:line="276" w:lineRule="auto"/>
              <w:ind w:firstLine="0"/>
            </w:pPr>
            <w:r>
              <w:rPr>
                <w:rFonts w:ascii="Times New Roman" w:hAnsi="Times New Roman" w:eastAsia="Times New Roman" w:cs="Times New Roman"/>
                <w:b w:val="0"/>
                <w:color w:val="000000"/>
                <w:sz w:val="22"/>
              </w:rPr>
              <w:t>Not possible</w:t>
            </w:r>
          </w:p>
        </w:tc>
        <w:tc>
          <w:tcPr>
            <w:tcW w:w="2880" w:type="dxa"/>
            <w:tcBorders>
              <w:top w:val="nil"/>
              <w:left w:val="nil"/>
              <w:bottom w:val="single" w:color="000000" w:sz="12" w:space="0"/>
              <w:right w:val="nil"/>
              <w:insideH w:val="nil"/>
              <w:insideV w:val="nil"/>
            </w:tcBorders>
            <w:shd w:val="clear" w:color="auto" w:fill="FFFFFF"/>
          </w:tcPr>
          <w:p w14:paraId="23E77C90">
            <w:pPr>
              <w:spacing w:before="40" w:after="40" w:line="276" w:lineRule="auto"/>
              <w:ind w:firstLine="0"/>
            </w:pPr>
            <w:r>
              <w:rPr>
                <w:rFonts w:ascii="Times New Roman" w:hAnsi="Times New Roman" w:eastAsia="Times New Roman" w:cs="Times New Roman"/>
                <w:b w:val="0"/>
                <w:color w:val="000000"/>
                <w:sz w:val="22"/>
              </w:rPr>
              <w:t>QLoRA in hours on a single GPU</w:t>
            </w:r>
          </w:p>
        </w:tc>
      </w:tr>
    </w:tbl>
    <w:p w14:paraId="5DAD0376">
      <w:pPr>
        <w:spacing w:before="80" w:after="160" w:line="276" w:lineRule="auto"/>
        <w:ind w:firstLine="0"/>
        <w:jc w:val="center"/>
      </w:pPr>
      <w:r>
        <w:rPr>
          <w:rFonts w:ascii="Arial" w:hAnsi="Arial" w:eastAsia="Arial" w:cs="Arial"/>
          <w:b/>
          <w:i/>
          <w:color w:val="00468C"/>
          <w:sz w:val="20"/>
        </w:rPr>
        <w:t>Table 7.10 — Deployment trade-off between the teacher (API) and the V8 fine-tuned student.</w:t>
      </w:r>
    </w:p>
    <w:p w14:paraId="099E8288">
      <w:pPr>
        <w:spacing w:before="0" w:after="0" w:line="360" w:lineRule="auto"/>
        <w:ind w:firstLine="720"/>
        <w:jc w:val="both"/>
      </w:pPr>
      <w:r>
        <w:rPr>
          <w:rFonts w:ascii="Times New Roman" w:hAnsi="Times New Roman" w:eastAsia="Times New Roman" w:cs="Times New Roman"/>
          <w:sz w:val="24"/>
        </w:rPr>
        <w:drawing>
          <wp:inline distT="0" distB="0" distL="114300" distR="114300">
            <wp:extent cx="4572000" cy="1913255"/>
            <wp:effectExtent l="0" t="0" r="0" b="698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9"/>
                    <a:stretch>
                      <a:fillRect/>
                    </a:stretch>
                  </pic:blipFill>
                  <pic:spPr>
                    <a:xfrm>
                      <a:off x="0" y="0"/>
                      <a:ext cx="4572000" cy="1913860"/>
                    </a:xfrm>
                    <a:prstGeom prst="rect">
                      <a:avLst/>
                    </a:prstGeom>
                  </pic:spPr>
                </pic:pic>
              </a:graphicData>
            </a:graphic>
          </wp:inline>
        </w:drawing>
      </w:r>
    </w:p>
    <w:p w14:paraId="11DE0CC4">
      <w:pPr>
        <w:spacing w:before="80" w:after="160" w:line="276" w:lineRule="auto"/>
        <w:ind w:firstLine="0"/>
        <w:jc w:val="center"/>
      </w:pPr>
      <w:r>
        <w:rPr>
          <w:rFonts w:ascii="Arial" w:hAnsi="Arial" w:eastAsia="Arial" w:cs="Arial"/>
          <w:b/>
          <w:i/>
          <w:color w:val="00468C"/>
          <w:sz w:val="20"/>
        </w:rPr>
        <w:t>Figure 7.17 — Retention Score (RS) combining quality preservation and latency ratio.</w:t>
      </w:r>
    </w:p>
    <w:p w14:paraId="5B2165DA">
      <w:pPr>
        <w:spacing w:before="0" w:after="0" w:line="360" w:lineRule="auto"/>
        <w:ind w:firstLine="720"/>
        <w:jc w:val="both"/>
      </w:pPr>
      <w:r>
        <w:rPr>
          <w:rFonts w:ascii="Times New Roman" w:hAnsi="Times New Roman" w:eastAsia="Times New Roman" w:cs="Times New Roman"/>
          <w:sz w:val="24"/>
        </w:rPr>
        <w:drawing>
          <wp:inline distT="0" distB="0" distL="114300" distR="114300">
            <wp:extent cx="4572000" cy="2612390"/>
            <wp:effectExtent l="0" t="0" r="0" b="889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0"/>
                    <a:stretch>
                      <a:fillRect/>
                    </a:stretch>
                  </pic:blipFill>
                  <pic:spPr>
                    <a:xfrm>
                      <a:off x="0" y="0"/>
                      <a:ext cx="4572000" cy="2612571"/>
                    </a:xfrm>
                    <a:prstGeom prst="rect">
                      <a:avLst/>
                    </a:prstGeom>
                  </pic:spPr>
                </pic:pic>
              </a:graphicData>
            </a:graphic>
          </wp:inline>
        </w:drawing>
      </w:r>
    </w:p>
    <w:p w14:paraId="58E399EE">
      <w:pPr>
        <w:spacing w:before="80" w:after="160" w:line="276" w:lineRule="auto"/>
        <w:ind w:firstLine="0"/>
        <w:jc w:val="center"/>
      </w:pPr>
      <w:r>
        <w:rPr>
          <w:rFonts w:ascii="Arial" w:hAnsi="Arial" w:eastAsia="Arial" w:cs="Arial"/>
          <w:b/>
          <w:i/>
          <w:color w:val="00468C"/>
          <w:sz w:val="20"/>
        </w:rPr>
        <w:t>Figure 7.18 — Perplexity of the V8 student on three corpora: own pre-FT outputs (19.92), teacher outputs (10.47), and own post-FT outputs (7.95). The post-FT distribution is the most fluent under the model itself, confirming distributional alignment.</w:t>
      </w:r>
    </w:p>
    <w:p w14:paraId="1379EDA1">
      <w:pPr>
        <w:spacing w:before="0" w:after="0" w:line="360" w:lineRule="auto"/>
        <w:jc w:val="both"/>
      </w:pPr>
      <w:r>
        <w:rPr>
          <w:rFonts w:ascii="Times New Roman" w:hAnsi="Times New Roman" w:eastAsia="Times New Roman" w:cs="Times New Roman"/>
          <w:b w:val="0"/>
          <w:i w:val="0"/>
          <w:sz w:val="24"/>
        </w:rPr>
        <w:t>Three trade-offs deserve explicit discussion. (i) Latency. Single-item student latency is higher than the teacher API in the evaluation harness (9.17 s vs. 1.30 s), but this comparison is intentionally pessimistic: it is batch = 1, unquantised inference against a globally-served cloud API. Under realistic batched inference (batch ≥ 4) and 4-bit quantisation the same student model runs at sub-second per-item latency in our staging environment; the published RS = 0.134 therefore represents a worst-case lower bound, not the production figure. (ii) Cost and data sovereignty. The student incurs no per-token billing, runs fully on-premises, and removes the vendor-cloud egress that would otherwise apply to every chunk of student data — a decisive factor for an educational deployment that handles minors' performance data. (iii) Quality. The student preserves 95.0% of CMQS, drops the Reject rate from 6.1% to 0.6%, and matches the teacher on five of seven dimensions to within 0.10 points. The 5% quality residual concentrates entirely in D1/D3, dimensions that the S2/S3 validation pipeline filters at inference time, so end-user-visible quality is closer to teacher quality than the raw QPS implies. On the criterion that ultimately matters — 'can this run in a school's infrastructure, with no per-item API cost, without unacceptable quality loss?' — the trade-off favours the distilled student. The teacher remains the appropriate choice only when the operating environment can absorb API cost and data egress and when latency must be globally low without the engineering work to batch and quantise the student.</w:t>
      </w:r>
    </w:p>
    <w:p w14:paraId="1E82118C">
      <w:pPr>
        <w:pStyle w:val="4"/>
        <w:spacing w:before="240" w:after="120" w:line="276" w:lineRule="auto"/>
        <w:ind w:firstLine="0"/>
        <w:jc w:val="left"/>
      </w:pPr>
      <w:r>
        <w:rPr>
          <w:rFonts w:ascii="Times New Roman" w:hAnsi="Times New Roman" w:eastAsia="Times New Roman" w:cs="Times New Roman"/>
          <w:b/>
          <w:color w:val="002855"/>
          <w:sz w:val="24"/>
        </w:rPr>
        <w:t>7.2.10  Limitations of the Quiz Generation System</w:t>
      </w:r>
    </w:p>
    <w:p w14:paraId="2658AE7A">
      <w:pPr>
        <w:spacing w:before="0" w:after="0" w:line="360" w:lineRule="auto"/>
        <w:jc w:val="both"/>
      </w:pPr>
      <w:r>
        <w:rPr>
          <w:rFonts w:ascii="Times New Roman" w:hAnsi="Times New Roman" w:eastAsia="Times New Roman" w:cs="Times New Roman"/>
          <w:b w:val="0"/>
          <w:i w:val="0"/>
          <w:sz w:val="24"/>
        </w:rPr>
        <w:t>The results above must be read alongside the system's structural limitations.</w:t>
      </w:r>
    </w:p>
    <w:p w14:paraId="0CCF4F67">
      <w:pPr>
        <w:spacing w:before="0" w:after="0" w:line="360" w:lineRule="auto"/>
        <w:jc w:val="both"/>
      </w:pPr>
      <w:r>
        <w:rPr>
          <w:rFonts w:ascii="Times New Roman" w:hAnsi="Times New Roman" w:eastAsia="Times New Roman" w:cs="Times New Roman"/>
          <w:b w:val="0"/>
          <w:i w:val="0"/>
          <w:sz w:val="24"/>
        </w:rPr>
        <w:t>S1–S5 validation pipeline. Each stage filters with thresholds (S1 schema, S2 BGE cosine ≥ 0.5, S3 NLI entailment ≤ 0.78 plus distractor cosine bounds 0.12 ≤ D-Q and ≤ 0.90 D-A, S4 deduplication, S5 LLM-as-judge ≥ 3.5 overall / ≥ 3.0 chunk-grounding). These thresholds are empirically tuned but not formally validated against a gold-labelled reference; a more rigorous evaluation would require an instructor-annotated benchmark, which the current dataset does not provide.</w:t>
      </w:r>
    </w:p>
    <w:p w14:paraId="2D1CFF3B">
      <w:pPr>
        <w:spacing w:before="0" w:after="0" w:line="360" w:lineRule="auto"/>
        <w:jc w:val="both"/>
      </w:pPr>
      <w:r>
        <w:rPr>
          <w:rFonts w:ascii="Times New Roman" w:hAnsi="Times New Roman" w:eastAsia="Times New Roman" w:cs="Times New Roman"/>
          <w:b w:val="0"/>
          <w:i w:val="0"/>
          <w:sz w:val="24"/>
        </w:rPr>
        <w:t>Seven-check rubric and judge. Llama-3.3-70B is itself a model and inherits the biases of its training data, including a known tendency to over-reward fluent-but-shallow answers. The cross-judge sanity check with GPT-OSS-120B mitigates but does not remove this risk, and inter-judge agreement on D4 is the weakest of the seven dimensions, which is precisely the dimension where the system is most fragile.</w:t>
      </w:r>
    </w:p>
    <w:p w14:paraId="0A8186C9">
      <w:pPr>
        <w:spacing w:before="0" w:after="0" w:line="360" w:lineRule="auto"/>
        <w:jc w:val="both"/>
      </w:pPr>
      <w:r>
        <w:rPr>
          <w:rFonts w:ascii="Times New Roman" w:hAnsi="Times New Roman" w:eastAsia="Times New Roman" w:cs="Times New Roman"/>
          <w:b w:val="0"/>
          <w:i w:val="0"/>
          <w:sz w:val="24"/>
        </w:rPr>
        <w:t>Dataset. The training corpus is drawn from a small number of ML textbooks and lecture notes; coverage of higher-order Bloom levels (Create, Evaluate) is sparse, which directly explains the residual Create-level weakness in §7.2.8. Generalisation to other subject domains (humanities, mathematics with symbolic content, languages) has not been measured.</w:t>
      </w:r>
    </w:p>
    <w:p w14:paraId="5194F9F7">
      <w:pPr>
        <w:spacing w:before="0" w:after="0" w:line="360" w:lineRule="auto"/>
        <w:jc w:val="both"/>
      </w:pPr>
      <w:r>
        <w:rPr>
          <w:rFonts w:ascii="Times New Roman" w:hAnsi="Times New Roman" w:eastAsia="Times New Roman" w:cs="Times New Roman"/>
          <w:b w:val="0"/>
          <w:i w:val="0"/>
          <w:sz w:val="24"/>
        </w:rPr>
        <w:t>Fine-tuning. QLoRA at rank 16 is a deliberate efficiency choice (Table 5.10) and not a quality ceiling; full-parameter fine-tuning or a larger student backbone (3B–7B) would almost certainly close part of the residual D1/D3 gap, at the cost of inference and training compute that contradict the on-premises deployment goal. Two epochs were optimal for the current dataset; this need not be true after large dataset expansions and the schedule should be re-tuned in that case.</w:t>
      </w:r>
    </w:p>
    <w:p w14:paraId="3B785F81">
      <w:pPr>
        <w:spacing w:before="0" w:after="0" w:line="360" w:lineRule="auto"/>
        <w:jc w:val="both"/>
      </w:pPr>
      <w:r>
        <w:rPr>
          <w:rFonts w:ascii="Times New Roman" w:hAnsi="Times New Roman" w:eastAsia="Times New Roman" w:cs="Times New Roman"/>
          <w:b w:val="0"/>
          <w:i w:val="0"/>
          <w:sz w:val="24"/>
        </w:rPr>
        <w:t>Evaluation. All numbers in this chapter are computed on a single held-out test slate (n ≈ 200). Statistical tests confirm that the FT gain is significant, but the absolute QPS = 95% is a point estimate; bootstrap confidence intervals reported in Chapter 6 place it in the [93.8%, 96.0%] band. Real classroom evaluation (with actual learners answering the items) was beyond the scope of the project and is the most important missing piece of external validity.</w:t>
      </w:r>
    </w:p>
    <w:p w14:paraId="7BCC653C">
      <w:pPr>
        <w:spacing w:before="0" w:after="0" w:line="360" w:lineRule="auto"/>
        <w:jc w:val="both"/>
      </w:pPr>
      <w:r>
        <w:rPr>
          <w:rFonts w:ascii="Times New Roman" w:hAnsi="Times New Roman" w:eastAsia="Times New Roman" w:cs="Times New Roman"/>
          <w:b w:val="0"/>
          <w:i w:val="0"/>
          <w:sz w:val="24"/>
        </w:rPr>
        <w:t>Generalisation. The system was developed and evaluated end-to-end on English-language, machine-learning content. Although nothing in the architecture is domain-specific, the threshold calibrations in S2/S3 and the prompt templates in S5 were chosen against this domain and will need re-tuning before redeployment elsewhere.</w:t>
      </w:r>
    </w:p>
    <w:p w14:paraId="0EF259C8">
      <w:pPr>
        <w:spacing w:before="0" w:after="0" w:line="360" w:lineRule="auto"/>
        <w:jc w:val="both"/>
      </w:pPr>
      <w:r>
        <w:rPr>
          <w:rFonts w:ascii="Times New Roman" w:hAnsi="Times New Roman" w:eastAsia="Times New Roman" w:cs="Times New Roman"/>
          <w:b w:val="0"/>
          <w:i w:val="0"/>
          <w:sz w:val="24"/>
        </w:rPr>
        <w:t>Closing assessment. Read together, the V8 results show that knowledge distillation from a frontier API teacher into a small, locally-runnable student is a viable production strategy for automated MCQ generation in education: 95% of teacher quality is preserved, the catastrophic-failure rate drops ten-fold, the residual weaknesses are concentrated in two dimensions that the S2/S3 validation pipeline is specifically designed to filter, and the resulting system can be deployed without per-item API cost or external data egress. The remaining gaps — distractor plausibility, higher-order Bloom coverage, and out-of-domain generalisation — are well-characterised and addressable with the future work outlined above, rather than fundamental obstacles to deployment.</w:t>
      </w:r>
    </w:p>
    <w:sectPr>
      <w:pgSz w:w="11906" w:h="16838"/>
      <w:pgMar w:top="1417" w:right="1417" w:bottom="1417" w:left="1984" w:header="850" w:footer="1134"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Cambria">
    <w:panose1 w:val="02040503050406030204"/>
    <w:charset w:val="00"/>
    <w:family w:val="auto"/>
    <w:pitch w:val="default"/>
    <w:sig w:usb0="E00006FF" w:usb1="420024FF" w:usb2="02000000" w:usb3="00000000" w:csb0="2000019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3"/>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FA14CE6"/>
    <w:rsid w:val="2CF810D1"/>
    <w:rsid w:val="3A2556F1"/>
    <w:rsid w:val="5CE01B1B"/>
    <w:rsid w:val="625D6AE0"/>
    <w:rsid w:val="6B177A3F"/>
    <w:rsid w:val="6D95585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unhideWhenUsed="0" w:uiPriority="67" w:semiHidden="0" w:name="Medium Grid 1 Accent 3"/>
    <w:lsdException w:qFormat="1" w:unhideWhenUsed="0" w:uiPriority="68" w:semiHidden="0" w:name="Medium Grid 2 Accent 3"/>
    <w:lsdException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Calibri" w:hAnsi="Calibr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3" Type="http://schemas.openxmlformats.org/officeDocument/2006/relationships/fontTable" Target="fontTable.xml"/><Relationship Id="rId22" Type="http://schemas.openxmlformats.org/officeDocument/2006/relationships/customXml" Target="../customXml/item1.xml"/><Relationship Id="rId21" Type="http://schemas.openxmlformats.org/officeDocument/2006/relationships/numbering" Target="numbering.xml"/><Relationship Id="rId20" Type="http://schemas.openxmlformats.org/officeDocument/2006/relationships/image" Target="media/image15.png"/><Relationship Id="rId2" Type="http://schemas.openxmlformats.org/officeDocument/2006/relationships/settings" Target="settings.xml"/><Relationship Id="rId19" Type="http://schemas.openxmlformats.org/officeDocument/2006/relationships/image" Target="media/image14.png"/><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17</Pages>
  <Words>3972</Words>
  <Characters>22626</Characters>
  <Lines>0</Lines>
  <Paragraphs>0</Paragraphs>
  <TotalTime>47</TotalTime>
  <ScaleCrop>false</ScaleCrop>
  <LinksUpToDate>false</LinksUpToDate>
  <CharactersWithSpaces>26337</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Aya Khaled</cp:lastModifiedBy>
  <dcterms:modified xsi:type="dcterms:W3CDTF">2026-06-09T08:34:38Z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eyJoZGlkIjoiMWQwMDMxN2VhNDVjMzAxMTM0MjEyZjMyNmQyNDk0ZjYiLCJ1c2VySWQiOiIzNzI4NTk5NTg1NjMzIn0=</vt:lpwstr>
  </property>
  <property fmtid="{D5CDD505-2E9C-101B-9397-08002B2CF9AE}" pid="3" name="KSOProductBuildVer">
    <vt:lpwstr>1033-12.1.0.26880</vt:lpwstr>
  </property>
  <property fmtid="{D5CDD505-2E9C-101B-9397-08002B2CF9AE}" pid="4" name="ICV">
    <vt:lpwstr>08E0A75EE9F641B4946CFB36AFDC2988_13</vt:lpwstr>
  </property>
</Properties>
</file>