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POL-10 Compensation and Bonus Policy (RESTRICTED to HR, Finance and Executive)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POL-10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Human Resources and Finance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Restricted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hr, finance, executive</w:t>
            </w:r>
          </w:p>
        </w:tc>
      </w:tr>
    </w:tbl>
    <w:p/>
    <w:p>
      <w:pPr>
        <w:pStyle w:val="Heading2"/>
      </w:pPr>
      <w:r>
        <w:t>1. Salary review</w:t>
      </w:r>
    </w:p>
    <w:p>
      <w:pPr>
        <w:ind w:left="480" w:hanging="480"/>
      </w:pPr>
      <w:r>
        <w:rPr>
          <w:b/>
        </w:rPr>
        <w:t xml:space="preserve">1.1  </w:t>
      </w:r>
      <w:r>
        <w:t>Salary reviews take place once a year in April.</w:t>
      </w:r>
    </w:p>
    <w:p>
      <w:pPr>
        <w:ind w:left="480" w:hanging="480"/>
      </w:pPr>
      <w:r>
        <w:rPr>
          <w:b/>
        </w:rPr>
        <w:t xml:space="preserve">1.2  </w:t>
      </w:r>
      <w:r>
        <w:t>Salary increases are linked to performance rating and position in the salary band.</w:t>
      </w:r>
    </w:p>
    <w:p>
      <w:pPr>
        <w:pStyle w:val="Heading2"/>
      </w:pPr>
      <w:r>
        <w:t>2. Annual bonus</w:t>
      </w:r>
    </w:p>
    <w:p>
      <w:pPr>
        <w:ind w:left="480" w:hanging="480"/>
      </w:pPr>
      <w:r>
        <w:rPr>
          <w:b/>
        </w:rPr>
        <w:t xml:space="preserve">2.1  </w:t>
      </w:r>
      <w:r>
        <w:t>Target bonus is 5 percent of annual basic salary for Grades 1 to 3, 10 percent for Grades 4 to 6 and 15 percent for Grades 7 and 8.</w:t>
      </w:r>
    </w:p>
    <w:p>
      <w:pPr>
        <w:ind w:left="480" w:hanging="480"/>
      </w:pPr>
      <w:r>
        <w:rPr>
          <w:b/>
        </w:rPr>
        <w:t xml:space="preserve">2.2  </w:t>
      </w:r>
      <w:r>
        <w:t>The actual payout ranges from 0 to 150 percent of target, based on company and individual performance.</w:t>
      </w:r>
    </w:p>
    <w:p>
      <w:pPr>
        <w:ind w:left="480" w:hanging="480"/>
      </w:pPr>
      <w:r>
        <w:rPr>
          <w:b/>
        </w:rPr>
        <w:t xml:space="preserve">2.3  </w:t>
      </w:r>
      <w:r>
        <w:t>Bonuses are paid in March of the following year.</w:t>
      </w:r>
    </w:p>
    <w:p>
      <w:pPr>
        <w:ind w:left="480" w:hanging="480"/>
      </w:pPr>
      <w:r>
        <w:rPr>
          <w:b/>
        </w:rPr>
        <w:t xml:space="preserve">2.4  </w:t>
      </w:r>
      <w:r>
        <w:t>An employee must be employed and not serving notice on the payment date, and must have joined on or before 30 September of the performance year, to be eligible.</w:t>
      </w:r>
    </w:p>
    <w:p>
      <w:pPr>
        <w:ind w:left="480" w:hanging="480"/>
      </w:pPr>
      <w:r>
        <w:rPr>
          <w:b/>
        </w:rPr>
        <w:t xml:space="preserve">2.5  </w:t>
      </w:r>
      <w:r>
        <w:t>Employees on a PIP under POL-09 are not eligible.</w:t>
      </w:r>
    </w:p>
    <w:p>
      <w:pPr>
        <w:pStyle w:val="Heading2"/>
      </w:pPr>
      <w:r>
        <w:t>3. Other payments</w:t>
      </w:r>
    </w:p>
    <w:p>
      <w:pPr>
        <w:ind w:left="480" w:hanging="480"/>
      </w:pPr>
      <w:r>
        <w:rPr>
          <w:b/>
        </w:rPr>
        <w:t xml:space="preserve">3.1  </w:t>
      </w:r>
      <w:r>
        <w:t>Employee referral bonus is RM 3,000, paid after the referred hire completes 6 months of service.</w:t>
      </w:r>
    </w:p>
    <w:p>
      <w:pPr>
        <w:ind w:left="480" w:hanging="480"/>
      </w:pPr>
      <w:r>
        <w:rPr>
          <w:b/>
        </w:rPr>
        <w:t xml:space="preserve">3.2  </w:t>
      </w:r>
      <w:r>
        <w:t>Long service award is RM 1,000 at 5 years and RM 2,500 at 10 years of service.</w:t>
      </w:r>
    </w:p>
    <w:p>
      <w:pPr>
        <w:ind w:left="480" w:hanging="480"/>
      </w:pPr>
      <w:r>
        <w:rPr>
          <w:b/>
        </w:rPr>
        <w:t xml:space="preserve">3.3  </w:t>
      </w:r>
      <w:r>
        <w:t>Salary bands for each grade are held by HR and must not be disclosed to employees outside HR, Finance and Executive.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POL-10 v2.0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B02020"/>
        <w:sz w:val="18"/>
      </w:rPr>
      <w:t>Meridian Works Sdn Bhd | RESTRICTED: HR, FINANCE, EXECUTIVE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