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5EF6B">
      <w:pPr>
        <w:pStyle w:val="2"/>
        <w:jc w:val="center"/>
        <w:rPr>
          <w:rFonts w:hint="default" w:ascii="Times New Roman" w:hAnsi="Times New Roman" w:cs="Times New Roman"/>
        </w:rPr>
      </w:pPr>
      <w:bookmarkStart w:id="0" w:name="实验三计算机视觉综合实践"/>
      <w:r>
        <w:rPr>
          <w:rFonts w:hint="default" w:ascii="Times New Roman" w:hAnsi="Times New Roman" w:cs="Times New Roman"/>
        </w:rPr>
        <w:t>实验（</w:t>
      </w:r>
      <w:r>
        <w:rPr>
          <w:rFonts w:hint="eastAsia" w:ascii="Times New Roman" w:hAnsi="Times New Roman" w:cs="Times New Roman"/>
          <w:lang w:val="en-US" w:eastAsia="zh-CN"/>
        </w:rPr>
        <w:t>四</w:t>
      </w:r>
      <w:r>
        <w:rPr>
          <w:rFonts w:hint="default" w:ascii="Times New Roman" w:hAnsi="Times New Roman" w:cs="Times New Roman"/>
        </w:rPr>
        <w:t xml:space="preserve">）3D Gaussian Splatting </w:t>
      </w:r>
    </w:p>
    <w:p w14:paraId="352B07AF">
      <w:pPr>
        <w:pStyle w:val="2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三维场景重建与实时渲染实验</w:t>
      </w:r>
    </w:p>
    <w:p w14:paraId="5731DEC6">
      <w:pPr>
        <w:pStyle w:val="4"/>
        <w:rPr>
          <w:rFonts w:hint="default" w:ascii="Times New Roman" w:hAnsi="Times New Roman" w:cs="Times New Roman"/>
        </w:rPr>
      </w:pPr>
      <w:bookmarkStart w:id="1" w:name="深度学习图像复原dncnn传统图像分割与医学图像分割u-net"/>
    </w:p>
    <w:p w14:paraId="09CD545E">
      <w:pPr>
        <w:pStyle w:val="5"/>
        <w:rPr>
          <w:rFonts w:hint="default" w:ascii="Times New Roman" w:hAnsi="Times New Roman" w:cs="Times New Roman"/>
        </w:rPr>
      </w:pPr>
      <w:bookmarkStart w:id="2" w:name="实验名称"/>
      <w:r>
        <w:rPr>
          <w:rFonts w:hint="default" w:ascii="Times New Roman" w:hAnsi="Times New Roman" w:cs="Times New Roman"/>
        </w:rPr>
        <w:t>1. 实验名称</w:t>
      </w:r>
    </w:p>
    <w:p w14:paraId="485181E7">
      <w:pPr>
        <w:pStyle w:val="25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3D Gaussian Splatting</w:t>
      </w:r>
      <w:r>
        <w:rPr>
          <w:rFonts w:hint="eastAsia" w:ascii="Times New Roman" w:hAnsi="Times New Roman" w:cs="Times New Roman"/>
          <w:lang w:val="en-US" w:eastAsia="zh-CN"/>
        </w:rPr>
        <w:t>(</w:t>
      </w:r>
      <w:r>
        <w:rPr>
          <w:rFonts w:hint="default" w:ascii="Times New Roman" w:hAnsi="Times New Roman" w:cs="Times New Roman"/>
        </w:rPr>
        <w:t>3DGS，三维高斯溅射</w:t>
      </w:r>
      <w:r>
        <w:rPr>
          <w:rFonts w:hint="eastAsia" w:ascii="Times New Roman" w:hAnsi="Times New Roman" w:cs="Times New Roman"/>
          <w:lang w:val="en-US" w:eastAsia="zh-CN"/>
        </w:rPr>
        <w:t>)</w:t>
      </w:r>
      <w:r>
        <w:rPr>
          <w:rFonts w:hint="default" w:ascii="Times New Roman" w:hAnsi="Times New Roman" w:cs="Times New Roman"/>
        </w:rPr>
        <w:t>三维场景重建与实时渲染实验</w:t>
      </w:r>
    </w:p>
    <w:bookmarkEnd w:id="2"/>
    <w:p w14:paraId="4343574B">
      <w:pPr>
        <w:pStyle w:val="5"/>
        <w:rPr>
          <w:rFonts w:hint="default" w:ascii="Times New Roman" w:hAnsi="Times New Roman" w:cs="Times New Roman"/>
        </w:rPr>
      </w:pPr>
      <w:bookmarkStart w:id="3" w:name="实验学时"/>
      <w:r>
        <w:rPr>
          <w:rFonts w:hint="default" w:ascii="Times New Roman" w:hAnsi="Times New Roman" w:cs="Times New Roman"/>
        </w:rPr>
        <w:t>2. 实验学时</w:t>
      </w:r>
    </w:p>
    <w:p w14:paraId="01937256">
      <w:pPr>
        <w:pStyle w:val="25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 学时</w:t>
      </w:r>
    </w:p>
    <w:bookmarkEnd w:id="3"/>
    <w:p w14:paraId="4E3A3E39">
      <w:pPr>
        <w:pStyle w:val="5"/>
        <w:rPr>
          <w:rFonts w:hint="default" w:ascii="Times New Roman" w:hAnsi="Times New Roman" w:cs="Times New Roman"/>
        </w:rPr>
      </w:pPr>
      <w:bookmarkStart w:id="4" w:name="实验目的"/>
      <w:r>
        <w:rPr>
          <w:rFonts w:hint="default" w:ascii="Times New Roman" w:hAnsi="Times New Roman" w:cs="Times New Roman"/>
        </w:rPr>
        <w:t>3. 实验目的</w:t>
      </w:r>
    </w:p>
    <w:bookmarkEnd w:id="4"/>
    <w:p w14:paraId="2BB4F28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845" w:leftChars="0" w:right="0" w:hanging="425" w:firstLineChars="0"/>
        <w:jc w:val="left"/>
        <w:rPr>
          <w:color w:val="000000"/>
          <w:sz w:val="24"/>
          <w:szCs w:val="24"/>
        </w:rPr>
      </w:pPr>
      <w:bookmarkStart w:id="5" w:name="实验环境"/>
      <w:r>
        <w:rPr>
          <w:color w:val="000000"/>
          <w:sz w:val="24"/>
          <w:szCs w:val="24"/>
        </w:rPr>
        <w:t>理解三维高斯溅射的核心技术原理，掌握 3D 高斯场景表示、可微光栅化、交错式密度控制与参数优化的基本思想；</w:t>
      </w:r>
    </w:p>
    <w:p w14:paraId="4246A53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845" w:leftChars="0" w:right="0" w:hanging="425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掌握 3DGS 官方项目的完整环境搭建流程，熟悉 CUDA 工具链、PyTorch 框架、自定义 CUDA 扩展的编译与依赖配置方法；</w:t>
      </w:r>
    </w:p>
    <w:p w14:paraId="6B8C3F9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845" w:leftChars="0" w:right="0" w:hanging="425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掌握多视图三维重建的数据预处理链路，能够独立完成视频分帧、COLMAP 稀疏重建、数据集格式转换的全流程操作；</w:t>
      </w:r>
    </w:p>
    <w:p w14:paraId="6D3786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845" w:leftChars="0" w:right="0" w:hanging="425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掌握 3DGS 模型的训练与推理流程，理解位置、旋转、缩放、不透明度等参数的优化逻辑，分析关键超参数对重建效果的影响；</w:t>
      </w:r>
    </w:p>
    <w:p w14:paraId="5ED5D7F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845" w:leftChars="0" w:right="0" w:hanging="425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掌握重建结果的定量评估与可视化方法，能够计算 PSNR、SSIM 等图像质量指标，使用 SIBR 查看器完成场景的实时交互浏览；</w:t>
      </w:r>
    </w:p>
    <w:p w14:paraId="3FD59EE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845" w:leftChars="0" w:right="0" w:hanging="425" w:firstLineChars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对比 3DGS 与传统 NeRF 类辐射场</w:t>
      </w:r>
      <w:r>
        <w:rPr>
          <w:rFonts w:hint="eastAsia"/>
          <w:color w:val="000000"/>
          <w:sz w:val="24"/>
          <w:szCs w:val="24"/>
          <w:lang w:eastAsia="zh-CN"/>
        </w:rPr>
        <w:t>、HoGS</w:t>
      </w:r>
      <w:r>
        <w:rPr>
          <w:rFonts w:hint="eastAsia"/>
          <w:color w:val="000000"/>
          <w:sz w:val="24"/>
          <w:szCs w:val="24"/>
          <w:lang w:val="en-US" w:eastAsia="zh-CN"/>
        </w:rPr>
        <w:t>等方法</w:t>
      </w:r>
      <w:r>
        <w:rPr>
          <w:color w:val="000000"/>
          <w:sz w:val="24"/>
          <w:szCs w:val="24"/>
        </w:rPr>
        <w:t>在表示形式、训练效率、渲染速度、重建质量上的差异，总结 3DGS 的技术优势、适用场景与局限性。</w:t>
      </w:r>
    </w:p>
    <w:p w14:paraId="487AB8F8">
      <w:pPr>
        <w:pStyle w:val="5"/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实验环境</w:t>
      </w:r>
    </w:p>
    <w:p w14:paraId="021380D2">
      <w:pPr>
        <w:pStyle w:val="6"/>
        <w:bidi w:val="0"/>
        <w:rPr>
          <w:rFonts w:hint="default"/>
          <w:b/>
          <w:bCs w:val="0"/>
        </w:rPr>
      </w:pPr>
      <w:r>
        <w:rPr>
          <w:rFonts w:hint="default"/>
          <w:b/>
          <w:bCs w:val="0"/>
        </w:rPr>
        <w:t>硬件环境</w:t>
      </w:r>
    </w:p>
    <w:p w14:paraId="2DD50A12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NVIDIA 显卡，计算能力（Compute Capability）≥ 7.0</w:t>
      </w:r>
    </w:p>
    <w:p w14:paraId="06BF4905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推荐显存 ≥ 8GB，完整质量训练推荐 24GB VRAM</w:t>
      </w:r>
    </w:p>
    <w:p w14:paraId="54C9B19C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运行 SIBR 可视化查看器需支持 OpenGL 4.5 的 GPU</w:t>
      </w:r>
    </w:p>
    <w:p w14:paraId="60B98F1A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</w:p>
    <w:p w14:paraId="74679BBD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/>
          <w:bCs w:val="0"/>
        </w:rPr>
      </w:pPr>
      <w:r>
        <w:rPr>
          <w:rFonts w:hint="default"/>
          <w:b/>
          <w:bCs w:val="0"/>
        </w:rPr>
        <w:t>软件环境</w:t>
      </w:r>
    </w:p>
    <w:p w14:paraId="0A4D72EC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操作系统：Windows 10/11 或 Ubuntu 22.04</w:t>
      </w:r>
    </w:p>
    <w:p w14:paraId="4CC39542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基础工具：Git、Anaconda（Miniconda）、CUDA Toolkit 11.7</w:t>
      </w:r>
    </w:p>
    <w:p w14:paraId="7618F87B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Windows 编译依赖：</w:t>
      </w:r>
    </w:p>
    <w:p w14:paraId="755B2D2F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Visual Studio 2019，需将C:\Program Files (x86)\Microsoft Visual Studio\2019\Community\VC\Tools\MSVC\14.29.30133\bin\Hostx64\x64加入系统环境变量 Path</w:t>
      </w:r>
    </w:p>
    <w:p w14:paraId="7632DCD8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数据处理工具：COLMAP（三维稀疏重建工具，推荐带 CUDA 版本）、FFmpeg（视频分帧）、ImageMagick（可选，用于图像批量缩放）</w:t>
      </w:r>
    </w:p>
    <w:p w14:paraId="0D402EF6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Python 依赖：Python 3.7、PyTorch 1.13.1+cu117、torchvision、torchaudio、opencv-python、tqdm、plyfile 等</w:t>
      </w:r>
    </w:p>
    <w:p w14:paraId="4A092962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项目自定义扩展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要使用git拉取代码的原因）</w:t>
      </w:r>
      <w:r>
        <w:rPr>
          <w:rFonts w:hint="default"/>
        </w:rPr>
        <w:t>：diff-gaussian-rasterization、simple-knn、fused-ssim</w:t>
      </w:r>
    </w:p>
    <w:p w14:paraId="5FF88BCD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</w:p>
    <w:p w14:paraId="3F6EE542">
      <w:pPr>
        <w:pStyle w:val="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/>
          <w:b/>
          <w:bCs w:val="0"/>
        </w:rPr>
      </w:pPr>
      <w:r>
        <w:rPr>
          <w:rFonts w:hint="default"/>
          <w:b/>
          <w:bCs w:val="0"/>
        </w:rPr>
        <w:t>实验</w:t>
      </w:r>
      <w:r>
        <w:rPr>
          <w:rFonts w:hint="eastAsia"/>
          <w:b/>
          <w:bCs w:val="0"/>
          <w:lang w:val="en-US" w:eastAsia="zh-CN"/>
        </w:rPr>
        <w:t>代码</w:t>
      </w:r>
      <w:r>
        <w:rPr>
          <w:rFonts w:hint="default"/>
          <w:b/>
          <w:bCs w:val="0"/>
        </w:rPr>
        <w:t>目录</w:t>
      </w:r>
    </w:p>
    <w:p w14:paraId="016CFB66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项目根目录为gaussian-splatting/，核心结构如下：</w:t>
      </w:r>
    </w:p>
    <w:p w14:paraId="5856743D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arguments/：训练、渲染的命令行参数定义</w:t>
      </w:r>
    </w:p>
    <w:p w14:paraId="4CB5BF8C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scene/：场景数据加载与高斯模型定义</w:t>
      </w:r>
    </w:p>
    <w:p w14:paraId="0F385A2F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gaussian_renderer/：可微光栅化渲染逻辑</w:t>
      </w:r>
    </w:p>
    <w:p w14:paraId="71326EBE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submodules/：第三方依赖子模块</w:t>
      </w:r>
    </w:p>
    <w:p w14:paraId="7B30ED54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SIBR_viewers/：可视化查看器源码</w:t>
      </w:r>
    </w:p>
    <w:p w14:paraId="39713240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train.py：模型训练入口脚本</w:t>
      </w:r>
    </w:p>
    <w:p w14:paraId="04822FD9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render.py：视角渲染入口脚本</w:t>
      </w:r>
    </w:p>
    <w:p w14:paraId="6B324FD4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metrics.py：质量指标计算脚本</w:t>
      </w:r>
    </w:p>
    <w:p w14:paraId="275A803A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  <w:r>
        <w:rPr>
          <w:rFonts w:hint="default"/>
        </w:rPr>
        <w:t>convert.py：COLMAP 数据集转换脚本</w:t>
      </w:r>
    </w:p>
    <w:p w14:paraId="5A1005C5">
      <w:pPr>
        <w:rPr>
          <w:rFonts w:hint="default"/>
        </w:rPr>
      </w:pPr>
      <w:r>
        <w:rPr>
          <w:rFonts w:hint="default"/>
        </w:rPr>
        <w:br w:type="page"/>
      </w:r>
    </w:p>
    <w:p w14:paraId="62D72B17">
      <w:pPr>
        <w:pStyle w:val="3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/>
        </w:rPr>
      </w:pPr>
    </w:p>
    <w:bookmarkEnd w:id="5"/>
    <w:p w14:paraId="06300C2C">
      <w:pPr>
        <w:pStyle w:val="5"/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</w:rPr>
      </w:pPr>
      <w:bookmarkStart w:id="6" w:name="实验内容与进度安排"/>
      <w:r>
        <w:rPr>
          <w:rFonts w:hint="default" w:ascii="Times New Roman" w:hAnsi="Times New Roman" w:cs="Times New Roman"/>
        </w:rPr>
        <w:t>实验内容与进度安排</w:t>
      </w:r>
      <w:r>
        <w:rPr>
          <w:rFonts w:hint="eastAsia" w:ascii="Times New Roman" w:hAnsi="Times New Roman" w:cs="Times New Roman"/>
          <w:lang w:eastAsia="zh-C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根据自己的硬件条件灵活安排）</w:t>
      </w:r>
    </w:p>
    <w:tbl>
      <w:tblPr>
        <w:tblStyle w:val="1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9"/>
        <w:gridCol w:w="5584"/>
        <w:gridCol w:w="2757"/>
      </w:tblGrid>
      <w:tr w14:paraId="14DCE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7521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B4ABA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实验任务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CE96D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知识点</w:t>
            </w:r>
          </w:p>
        </w:tc>
      </w:tr>
      <w:tr w14:paraId="4688B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136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117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任务一：项目获取与基础环境配置。克隆官方代码仓库，</w:t>
            </w: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配置运行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环境，安装 PyTorch 与基础依赖，编译 CUDA 自定义扩展，验证环境可用性。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B712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Git 子模块管理、环境配置、CUDA 扩展编译、依赖版本匹配</w:t>
            </w:r>
          </w:p>
        </w:tc>
      </w:tr>
      <w:tr w14:paraId="359C5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32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341A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任务二：自定义数据集制作。使用 FFmpeg 完成视频分帧，通过 COLMAP 完成特征提取与稀疏重建，使用 convert.py 转换为 3DGS 兼容的数据集格式。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19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视频帧提取、SIFT 特征匹配、光束法平差、稀疏点云生成、COLMAP 数据格式</w:t>
            </w:r>
          </w:p>
        </w:tc>
      </w:tr>
      <w:tr w14:paraId="145A2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38EC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B3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任务三：3DGS 模型训练与过程观察。运行 train.py 启动训练，监控训练过程中 Loss、PSNR 的变化趋势，观察高斯点数量与密度控制的迭代过程。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764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3D 高斯参数优化、各向异性协方差、密度增删策略、学习率衰减</w:t>
            </w:r>
          </w:p>
        </w:tc>
      </w:tr>
      <w:tr w14:paraId="2CD49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52D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593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任务四：结果渲染、定量评估与可视化。使用 render.py 生成指定视角的渲染图像，通过 metrics.py 计算 PSNR、SSIM 等指标，使用 SIBR 查看器实时交互浏览三维场景。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0930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可微光栅化、图像质量指标、实时渲染、视角合成、三维交互浏览</w:t>
            </w:r>
          </w:p>
        </w:tc>
      </w:tr>
      <w:tr w14:paraId="123FC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6B90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725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任务五：参数对比与算法综合分析。修改关键训练参数完成对比实验，对比 3DGS 与传统辐射场</w:t>
            </w:r>
            <w:r>
              <w:rPr>
                <w:rFonts w:hint="eastAsia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、HOGS等相关</w:t>
            </w: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方法的差异，总结技术特性与适用场景。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5B3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超参数调优、算法对比分析、技术选型判断</w:t>
            </w:r>
          </w:p>
        </w:tc>
      </w:tr>
    </w:tbl>
    <w:p w14:paraId="19B67434">
      <w:pPr>
        <w:pStyle w:val="3"/>
        <w:numPr>
          <w:ilvl w:val="0"/>
          <w:numId w:val="0"/>
        </w:numPr>
        <w:ind w:leftChars="0"/>
        <w:rPr>
          <w:rFonts w:hint="default"/>
        </w:rPr>
      </w:pPr>
    </w:p>
    <w:bookmarkEnd w:id="6"/>
    <w:p w14:paraId="68CA96DF">
      <w:pPr>
        <w:pStyle w:val="5"/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</w:rPr>
      </w:pPr>
      <w:bookmarkStart w:id="7" w:name="实验要求"/>
      <w:r>
        <w:rPr>
          <w:rFonts w:hint="default" w:ascii="Times New Roman" w:hAnsi="Times New Roman" w:cs="Times New Roman"/>
        </w:rPr>
        <w:t>实验要求</w:t>
      </w:r>
    </w:p>
    <w:p w14:paraId="302806CB">
      <w:pPr>
        <w:pStyle w:val="3"/>
        <w:numPr>
          <w:ilvl w:val="1"/>
          <w:numId w:val="2"/>
        </w:numPr>
        <w:tabs>
          <w:tab w:val="clear" w:pos="840"/>
        </w:tabs>
        <w:ind w:left="840" w:leftChars="0" w:hanging="420" w:firstLineChars="0"/>
        <w:rPr>
          <w:rFonts w:hint="default"/>
        </w:rPr>
      </w:pPr>
      <w:r>
        <w:rPr>
          <w:rFonts w:hint="default"/>
        </w:rPr>
        <w:t>正确完成 3DGS 项目的全量环境配置，成功编译所有自定义 CUDA 扩展，验证 PyTorch 的 CUDA 可用性与扩展导入正常；</w:t>
      </w:r>
    </w:p>
    <w:p w14:paraId="7333CEE6">
      <w:pPr>
        <w:pStyle w:val="3"/>
        <w:numPr>
          <w:ilvl w:val="1"/>
          <w:numId w:val="2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至少完成 1 组自定义场景的数据集制作，完整覆盖视频分帧、COLMAP 稀疏重建、格式转换步骤，确认数据集目录结构符合规范；</w:t>
      </w:r>
    </w:p>
    <w:p w14:paraId="5DBFB7C2">
      <w:pPr>
        <w:pStyle w:val="3"/>
        <w:numPr>
          <w:ilvl w:val="1"/>
          <w:numId w:val="2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完整执行一次模型训练，保存训练日志与最终模型文件，记录训练过程中 L1 Loss、PSNR 的变化趋势；</w:t>
      </w:r>
    </w:p>
    <w:p w14:paraId="74670CC3">
      <w:pPr>
        <w:pStyle w:val="3"/>
        <w:numPr>
          <w:ilvl w:val="1"/>
          <w:numId w:val="2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至少修改 2 组训练关键参数（如总迭代次数、密度梯度阈值、初始位置学习率）开展对比实验，分析参数变化对重建质量、训练速度的影响；</w:t>
      </w:r>
    </w:p>
    <w:p w14:paraId="7BE7472A">
      <w:pPr>
        <w:pStyle w:val="3"/>
        <w:numPr>
          <w:ilvl w:val="1"/>
          <w:numId w:val="2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完成测试集视角的渲染与定量评估，记录至少 3 个测试视角的 PSNR、SSIM 指标，结合视觉效果分析高分与低分样本的差异；</w:t>
      </w:r>
    </w:p>
    <w:p w14:paraId="7C1B24D9">
      <w:pPr>
        <w:pStyle w:val="3"/>
        <w:numPr>
          <w:ilvl w:val="1"/>
          <w:numId w:val="2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掌握 SIBR 查看器的基础操作，能够实现视角切换、高斯缩放调节、拓扑视图查看等功能，完成重建场景的实时浏览；</w:t>
      </w:r>
    </w:p>
    <w:p w14:paraId="3BE52CBC">
      <w:pPr>
        <w:pStyle w:val="3"/>
        <w:numPr>
          <w:ilvl w:val="1"/>
          <w:numId w:val="2"/>
        </w:numPr>
        <w:ind w:left="840" w:leftChars="0" w:hanging="420" w:firstLineChars="0"/>
        <w:rPr>
          <w:rFonts w:hint="default"/>
        </w:rPr>
      </w:pPr>
      <w:r>
        <w:rPr>
          <w:rFonts w:hint="default"/>
        </w:rPr>
        <w:t>针对实验中遇到的环境报错、数据异常、训练问题，记录问题现象与解决方法。</w:t>
      </w:r>
    </w:p>
    <w:bookmarkEnd w:id="7"/>
    <w:p w14:paraId="7B85D464">
      <w:pPr>
        <w:pStyle w:val="5"/>
        <w:rPr>
          <w:rFonts w:hint="default" w:ascii="Times New Roman" w:hAnsi="Times New Roman" w:eastAsia="宋体" w:cs="Times New Roman"/>
          <w:lang w:val="en-US" w:eastAsia="zh-CN"/>
        </w:rPr>
      </w:pPr>
      <w:bookmarkStart w:id="8" w:name="运行方式参考"/>
      <w:r>
        <w:rPr>
          <w:rFonts w:hint="default" w:ascii="Times New Roman" w:hAnsi="Times New Roman" w:cs="Times New Roman"/>
        </w:rPr>
        <w:t xml:space="preserve">7. </w:t>
      </w:r>
      <w:r>
        <w:rPr>
          <w:rFonts w:hint="default" w:ascii="Times New Roman" w:hAnsi="Times New Roman" w:cs="Times New Roman"/>
          <w:lang w:val="en-US" w:eastAsia="zh-CN"/>
        </w:rPr>
        <w:t>环境配置与</w:t>
      </w:r>
      <w:r>
        <w:rPr>
          <w:rFonts w:hint="default" w:ascii="Times New Roman" w:hAnsi="Times New Roman" w:cs="Times New Roman"/>
        </w:rPr>
        <w:t>运行方式</w:t>
      </w:r>
      <w:r>
        <w:rPr>
          <w:rFonts w:hint="default" w:ascii="Times New Roman" w:hAnsi="Times New Roman" w:cs="Times New Roman"/>
          <w:lang w:eastAsia="zh-CN"/>
        </w:rPr>
        <w:t>（</w:t>
      </w:r>
      <w:r>
        <w:rPr>
          <w:rFonts w:hint="default" w:ascii="Times New Roman" w:hAnsi="Times New Roman" w:cs="Times New Roman"/>
          <w:lang w:val="en-US" w:eastAsia="zh-CN"/>
        </w:rPr>
        <w:t>仅供参考</w:t>
      </w:r>
      <w:r>
        <w:rPr>
          <w:rFonts w:hint="eastAsia" w:ascii="Times New Roman" w:hAnsi="Times New Roman" w:cs="Times New Roman"/>
          <w:lang w:val="en-US" w:eastAsia="zh-CN"/>
        </w:rPr>
        <w:t>，请根据实验环境灵活处理</w:t>
      </w:r>
      <w:r>
        <w:rPr>
          <w:rFonts w:hint="default" w:ascii="Times New Roman" w:hAnsi="Times New Roman" w:cs="Times New Roman"/>
          <w:lang w:val="en-US" w:eastAsia="zh-CN"/>
        </w:rPr>
        <w:t>）</w:t>
      </w:r>
    </w:p>
    <w:p w14:paraId="0B6FC1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sz w:val="24"/>
        </w:rPr>
      </w:pPr>
    </w:p>
    <w:p w14:paraId="70991469">
      <w:pPr>
        <w:pStyle w:val="6"/>
        <w:bidi w:val="0"/>
        <w:rPr>
          <w:rFonts w:hint="eastAsia" w:cs="宋体"/>
          <w:b/>
          <w:bCs/>
          <w:sz w:val="24"/>
          <w:lang w:val="en-US" w:eastAsia="zh-CN"/>
        </w:rPr>
      </w:pPr>
      <w:r>
        <w:rPr>
          <w:rFonts w:hint="eastAsia" w:cs="宋体"/>
          <w:b/>
          <w:bCs/>
          <w:sz w:val="24"/>
          <w:lang w:val="en-US" w:eastAsia="zh-CN"/>
        </w:rPr>
        <w:t>7.1 前置工具安装</w:t>
      </w:r>
    </w:p>
    <w:p w14:paraId="189593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安装 Git、Anaconda、CUDA Toolkit 11.7，配置对应系统环境变量；</w:t>
      </w:r>
    </w:p>
    <w:p w14:paraId="179E3A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</w:rPr>
        <w:t>Windows 系统安装 Visual Studio 2019，并将 MSVC 的 x64 编译器路径加入系统 Path；</w:t>
      </w:r>
    </w:p>
    <w:p w14:paraId="66F676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color w:val="000000"/>
          <w:sz w:val="24"/>
          <w:szCs w:val="24"/>
        </w:rPr>
        <w:t>安装 COLMAP、FFmpeg，可选安装 ImageMagick。</w:t>
      </w:r>
    </w:p>
    <w:p w14:paraId="16E88E94">
      <w:pPr>
        <w:pStyle w:val="6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7.2 代码拉取</w:t>
      </w:r>
    </w:p>
    <w:p w14:paraId="57A7E56D">
      <w:pPr>
        <w:pStyle w:val="3"/>
        <w:rPr>
          <w:rFonts w:hint="default"/>
          <w:lang w:val="en-US" w:eastAsia="zh-CN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git</w:t>
      </w:r>
      <w:r>
        <w:rPr>
          <w:rFonts w:ascii="宋体" w:hAnsi="宋体" w:eastAsia="宋体" w:cs="宋体"/>
          <w:sz w:val="24"/>
          <w:szCs w:val="24"/>
        </w:rPr>
        <w:t xml:space="preserve"> clone https://github.com/graphdeco-inria/gaussian-splatting </w:t>
      </w:r>
      <w:r>
        <w:rPr>
          <w:rFonts w:ascii="宋体" w:hAnsi="宋体" w:eastAsia="宋体" w:cs="宋体"/>
          <w:color w:val="000000"/>
          <w:sz w:val="24"/>
          <w:szCs w:val="24"/>
        </w:rPr>
        <w:t>--recursive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cd</w:t>
      </w:r>
      <w:r>
        <w:rPr>
          <w:rFonts w:ascii="宋体" w:hAnsi="宋体" w:eastAsia="宋体" w:cs="宋体"/>
          <w:sz w:val="24"/>
          <w:szCs w:val="24"/>
        </w:rPr>
        <w:t xml:space="preserve"> gaussian-splatting</w:t>
      </w:r>
    </w:p>
    <w:p w14:paraId="31CBAA31">
      <w:pPr>
        <w:pStyle w:val="6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7.3 Windows11环境配置，可查看windows11环境配置附件:</w:t>
      </w:r>
    </w:p>
    <w:p w14:paraId="5AAC931C">
      <w:pPr>
        <w:pStyle w:val="3"/>
        <w:rPr>
          <w:rFonts w:hint="default"/>
          <w:lang w:val="en-US" w:eastAsia="zh-CN"/>
        </w:rPr>
      </w:pPr>
    </w:p>
    <w:p w14:paraId="2D7FB5F6">
      <w:pPr>
        <w:pStyle w:val="6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7.4 </w:t>
      </w:r>
      <w:r>
        <w:rPr>
          <w:rFonts w:hint="default"/>
          <w:b/>
          <w:bCs/>
          <w:lang w:val="en-US" w:eastAsia="zh-CN"/>
        </w:rPr>
        <w:t xml:space="preserve">Ubuntu </w:t>
      </w:r>
      <w:r>
        <w:rPr>
          <w:rFonts w:hint="eastAsia"/>
          <w:b/>
          <w:bCs/>
          <w:lang w:val="en-US" w:eastAsia="zh-CN"/>
        </w:rPr>
        <w:t xml:space="preserve">环境配置可查看环境配置附件 </w:t>
      </w:r>
    </w:p>
    <w:p w14:paraId="2B55093B">
      <w:pPr>
        <w:pStyle w:val="3"/>
        <w:rPr>
          <w:rFonts w:hint="default"/>
          <w:lang w:val="en-US" w:eastAsia="zh-CN"/>
        </w:rPr>
      </w:pPr>
    </w:p>
    <w:p w14:paraId="4796ECDD">
      <w:pPr>
        <w:pStyle w:val="3"/>
        <w:ind w:firstLine="720" w:firstLineChars="0"/>
        <w:rPr>
          <w:rFonts w:hint="default" w:cs="宋体"/>
          <w:sz w:val="24"/>
          <w:szCs w:val="24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Colab </w:t>
      </w:r>
      <w:r>
        <w:rPr>
          <w:rFonts w:hint="eastAsia"/>
          <w:b/>
          <w:bCs/>
          <w:lang w:val="en-US" w:eastAsia="zh-CN"/>
        </w:rPr>
        <w:t>运行</w:t>
      </w:r>
      <w:r>
        <w:rPr>
          <w:rFonts w:hint="default"/>
          <w:b/>
          <w:bCs/>
          <w:lang w:val="en-US" w:eastAsia="zh-CN"/>
        </w:rPr>
        <w:t>环境</w:t>
      </w:r>
      <w:r>
        <w:rPr>
          <w:rFonts w:hint="default" w:cs="宋体"/>
          <w:sz w:val="24"/>
          <w:szCs w:val="24"/>
          <w:lang w:val="en-US" w:eastAsia="zh-CN"/>
        </w:rPr>
        <w:t xml:space="preserve">可参考开源 Colab </w:t>
      </w:r>
      <w:r>
        <w:rPr>
          <w:rFonts w:hint="eastAsia" w:cs="宋体"/>
          <w:sz w:val="24"/>
          <w:szCs w:val="24"/>
          <w:lang w:val="en-US" w:eastAsia="zh-CN"/>
        </w:rPr>
        <w:t>代码</w:t>
      </w:r>
      <w:r>
        <w:rPr>
          <w:rFonts w:hint="default" w:cs="宋体"/>
          <w:sz w:val="24"/>
          <w:szCs w:val="24"/>
          <w:lang w:val="en-US" w:eastAsia="zh-CN"/>
        </w:rPr>
        <w:t>：</w:t>
      </w:r>
    </w:p>
    <w:p w14:paraId="656DD48A">
      <w:pPr>
        <w:pStyle w:val="3"/>
        <w:ind w:firstLine="720" w:firstLineChars="0"/>
        <w:rPr>
          <w:rFonts w:hint="default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fldChar w:fldCharType="begin"/>
      </w:r>
      <w:r>
        <w:rPr>
          <w:rFonts w:hint="default" w:cs="宋体"/>
          <w:sz w:val="24"/>
          <w:szCs w:val="24"/>
          <w:lang w:val="en-US" w:eastAsia="zh-CN"/>
        </w:rPr>
        <w:instrText xml:space="preserve"> HYPERLINK "https://github.com/YassGan/3DGaussianSplatting-INRIA-Method-Colab/blob/main/3DGaussianSplatting_INRIA_Method_Colab.ipynb" </w:instrText>
      </w:r>
      <w:r>
        <w:rPr>
          <w:rFonts w:hint="default" w:cs="宋体"/>
          <w:sz w:val="24"/>
          <w:szCs w:val="24"/>
          <w:lang w:val="en-US" w:eastAsia="zh-CN"/>
        </w:rPr>
        <w:fldChar w:fldCharType="separate"/>
      </w:r>
      <w:r>
        <w:rPr>
          <w:rStyle w:val="21"/>
          <w:rFonts w:hint="default" w:cs="宋体"/>
          <w:sz w:val="24"/>
          <w:szCs w:val="24"/>
          <w:lang w:val="en-US" w:eastAsia="zh-CN"/>
        </w:rPr>
        <w:t>https://github.com/YassGan/3DGaussianSplatting-INRIA-Method-Colab/blob/main/3DGaussianSplatting_INRIA_Method_Colab.ipynb</w:t>
      </w:r>
      <w:r>
        <w:rPr>
          <w:rFonts w:hint="default" w:cs="宋体"/>
          <w:sz w:val="24"/>
          <w:szCs w:val="24"/>
          <w:lang w:val="en-US" w:eastAsia="zh-CN"/>
        </w:rPr>
        <w:fldChar w:fldCharType="end"/>
      </w:r>
    </w:p>
    <w:p w14:paraId="5039AEED">
      <w:pPr>
        <w:pStyle w:val="3"/>
        <w:ind w:firstLine="720" w:firstLineChars="0"/>
        <w:rPr>
          <w:rFonts w:hint="default" w:cs="宋体"/>
          <w:sz w:val="24"/>
          <w:szCs w:val="24"/>
          <w:lang w:val="en-US" w:eastAsia="zh-CN"/>
        </w:rPr>
      </w:pPr>
    </w:p>
    <w:p w14:paraId="4FE798F0">
      <w:pPr>
        <w:pStyle w:val="6"/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>7.5</w:t>
      </w:r>
      <w:r>
        <w:rPr>
          <w:rFonts w:ascii="宋体" w:hAnsi="宋体" w:eastAsia="宋体" w:cs="宋体"/>
          <w:b/>
          <w:bCs/>
          <w:sz w:val="24"/>
          <w:szCs w:val="24"/>
        </w:rPr>
        <w:t>自定义数据集制作</w:t>
      </w:r>
    </w:p>
    <w:p w14:paraId="348B2FF3">
      <w:pPr>
        <w:pStyle w:val="3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视频分帧</w:t>
      </w: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将输入视频拆分为图像序列，可根据场景复杂度调整抽帧频率：</w:t>
      </w:r>
    </w:p>
    <w:p w14:paraId="3C8A4EB4">
      <w:pPr>
        <w:pStyle w:val="3"/>
        <w:numPr>
          <w:ilvl w:val="0"/>
          <w:numId w:val="0"/>
        </w:numPr>
        <w:ind w:leftChars="0" w:firstLine="7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# 输出所有帧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54C9879E">
      <w:pPr>
        <w:pStyle w:val="3"/>
        <w:numPr>
          <w:ilvl w:val="0"/>
          <w:numId w:val="0"/>
        </w:numPr>
        <w:ind w:leftChars="0" w:firstLine="7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ffmpeg </w:t>
      </w:r>
      <w:r>
        <w:rPr>
          <w:rFonts w:ascii="宋体" w:hAnsi="宋体" w:eastAsia="宋体" w:cs="宋体"/>
          <w:color w:val="000000"/>
          <w:sz w:val="24"/>
          <w:szCs w:val="24"/>
        </w:rPr>
        <w:t>-i</w:t>
      </w:r>
      <w:r>
        <w:rPr>
          <w:rFonts w:ascii="宋体" w:hAnsi="宋体" w:eastAsia="宋体" w:cs="宋体"/>
          <w:sz w:val="24"/>
          <w:szCs w:val="24"/>
        </w:rPr>
        <w:t xml:space="preserve"> input.mp4 input/%06d.png </w:t>
      </w:r>
    </w:p>
    <w:p w14:paraId="735E944B">
      <w:pPr>
        <w:pStyle w:val="3"/>
        <w:numPr>
          <w:ilvl w:val="0"/>
          <w:numId w:val="0"/>
        </w:numPr>
        <w:ind w:leftChars="0" w:firstLine="7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# 每秒输出1帧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1FA8C418">
      <w:pPr>
        <w:pStyle w:val="3"/>
        <w:numPr>
          <w:ilvl w:val="0"/>
          <w:numId w:val="0"/>
        </w:numPr>
        <w:ind w:leftChars="0" w:firstLine="7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ffmpeg </w:t>
      </w:r>
      <w:r>
        <w:rPr>
          <w:rFonts w:ascii="宋体" w:hAnsi="宋体" w:eastAsia="宋体" w:cs="宋体"/>
          <w:color w:val="000000"/>
          <w:sz w:val="24"/>
          <w:szCs w:val="24"/>
        </w:rPr>
        <w:t>-i</w:t>
      </w:r>
      <w:r>
        <w:rPr>
          <w:rFonts w:ascii="宋体" w:hAnsi="宋体" w:eastAsia="宋体" w:cs="宋体"/>
          <w:sz w:val="24"/>
          <w:szCs w:val="24"/>
        </w:rPr>
        <w:t xml:space="preserve"> input.mp4 </w:t>
      </w:r>
      <w:r>
        <w:rPr>
          <w:rFonts w:ascii="宋体" w:hAnsi="宋体" w:eastAsia="宋体" w:cs="宋体"/>
          <w:color w:val="000000"/>
          <w:sz w:val="24"/>
          <w:szCs w:val="24"/>
        </w:rPr>
        <w:t>-r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1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cs="宋体"/>
          <w:sz w:val="24"/>
          <w:szCs w:val="24"/>
          <w:lang w:val="en-US" w:eastAsia="zh-CN"/>
        </w:rPr>
        <w:t>input</w:t>
      </w:r>
      <w:r>
        <w:rPr>
          <w:rFonts w:ascii="宋体" w:hAnsi="宋体" w:eastAsia="宋体" w:cs="宋体"/>
          <w:sz w:val="24"/>
          <w:szCs w:val="24"/>
        </w:rPr>
        <w:t xml:space="preserve">/%06d.jpg </w:t>
      </w:r>
    </w:p>
    <w:p w14:paraId="06465909">
      <w:pPr>
        <w:pStyle w:val="3"/>
        <w:numPr>
          <w:ilvl w:val="0"/>
          <w:numId w:val="0"/>
        </w:numPr>
        <w:ind w:leftChars="0" w:firstLine="7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# 每2秒输出1帧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555B879C">
      <w:pPr>
        <w:pStyle w:val="3"/>
        <w:numPr>
          <w:ilvl w:val="0"/>
          <w:numId w:val="0"/>
        </w:numPr>
        <w:ind w:leftChars="0" w:firstLine="7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ffmpeg </w:t>
      </w:r>
      <w:r>
        <w:rPr>
          <w:rFonts w:ascii="宋体" w:hAnsi="宋体" w:eastAsia="宋体" w:cs="宋体"/>
          <w:color w:val="000000"/>
          <w:sz w:val="24"/>
          <w:szCs w:val="24"/>
        </w:rPr>
        <w:t>-i</w:t>
      </w:r>
      <w:r>
        <w:rPr>
          <w:rFonts w:ascii="宋体" w:hAnsi="宋体" w:eastAsia="宋体" w:cs="宋体"/>
          <w:sz w:val="24"/>
          <w:szCs w:val="24"/>
        </w:rPr>
        <w:t xml:space="preserve"> input.mp4 </w:t>
      </w:r>
      <w:r>
        <w:rPr>
          <w:rFonts w:ascii="宋体" w:hAnsi="宋体" w:eastAsia="宋体" w:cs="宋体"/>
          <w:color w:val="000000"/>
          <w:sz w:val="24"/>
          <w:szCs w:val="24"/>
        </w:rPr>
        <w:t>-vf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fps=0.5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cs="宋体"/>
          <w:sz w:val="24"/>
          <w:szCs w:val="24"/>
          <w:lang w:val="en-US" w:eastAsia="zh-CN"/>
        </w:rPr>
        <w:t>input</w:t>
      </w:r>
      <w:r>
        <w:rPr>
          <w:rFonts w:ascii="宋体" w:hAnsi="宋体" w:eastAsia="宋体" w:cs="宋体"/>
          <w:sz w:val="24"/>
          <w:szCs w:val="24"/>
        </w:rPr>
        <w:t>/%06d.jpg</w:t>
      </w:r>
    </w:p>
    <w:p w14:paraId="54DBE045">
      <w:pPr>
        <w:pStyle w:val="3"/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分帧后目录结构：</w:t>
      </w:r>
    </w:p>
    <w:p w14:paraId="7CC0F007">
      <w:pPr>
        <w:pStyle w:val="3"/>
        <w:numPr>
          <w:ilvl w:val="0"/>
          <w:numId w:val="0"/>
        </w:numPr>
        <w:ind w:leftChars="0" w:firstLine="7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&lt;location&gt;</w:t>
      </w:r>
    </w:p>
    <w:p w14:paraId="692A479A">
      <w:pPr>
        <w:pStyle w:val="3"/>
        <w:numPr>
          <w:ilvl w:val="0"/>
          <w:numId w:val="0"/>
        </w:numPr>
        <w:ind w:leftChars="0" w:firstLine="7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|---input</w:t>
      </w:r>
    </w:p>
    <w:p w14:paraId="08CD53A8">
      <w:pPr>
        <w:pStyle w:val="3"/>
        <w:numPr>
          <w:ilvl w:val="0"/>
          <w:numId w:val="0"/>
        </w:numPr>
        <w:ind w:leftChars="0" w:firstLine="7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|---&lt;image 0&gt;</w:t>
      </w:r>
    </w:p>
    <w:p w14:paraId="7C0023E9">
      <w:pPr>
        <w:pStyle w:val="3"/>
        <w:numPr>
          <w:ilvl w:val="0"/>
          <w:numId w:val="0"/>
        </w:numPr>
        <w:ind w:leftChars="0" w:firstLine="7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|---&lt;image 1&gt;</w:t>
      </w:r>
    </w:p>
    <w:p w14:paraId="0FD07A11">
      <w:pPr>
        <w:pStyle w:val="3"/>
        <w:numPr>
          <w:ilvl w:val="0"/>
          <w:numId w:val="0"/>
        </w:numPr>
        <w:ind w:leftChars="0" w:firstLine="7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|---...</w:t>
      </w:r>
    </w:p>
    <w:p w14:paraId="38B7735C">
      <w:pPr>
        <w:pStyle w:val="3"/>
        <w:numPr>
          <w:ilvl w:val="0"/>
          <w:numId w:val="0"/>
        </w:numPr>
        <w:ind w:leftChars="0" w:firstLine="7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ab/>
      </w:r>
    </w:p>
    <w:p w14:paraId="4729B31A">
      <w:pPr>
        <w:pStyle w:val="3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COLMAP 数据集转换</w:t>
      </w: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使用项目自带的</w:t>
      </w:r>
      <w:r>
        <w:rPr>
          <w:rStyle w:val="22"/>
          <w:rFonts w:ascii="宋体" w:hAnsi="宋体" w:eastAsia="宋体" w:cs="宋体"/>
          <w:color w:val="000000"/>
          <w:sz w:val="24"/>
          <w:szCs w:val="24"/>
        </w:rPr>
        <w:t>convert.py</w:t>
      </w:r>
      <w:r>
        <w:rPr>
          <w:rFonts w:ascii="宋体" w:hAnsi="宋体" w:eastAsia="宋体" w:cs="宋体"/>
          <w:sz w:val="24"/>
          <w:szCs w:val="24"/>
        </w:rPr>
        <w:t>完成稀疏重建与格式转换，需指定 COLMAP 可执行文件路径：</w:t>
      </w:r>
    </w:p>
    <w:p w14:paraId="04F3CACC">
      <w:pPr>
        <w:pStyle w:val="3"/>
        <w:numPr>
          <w:ilvl w:val="0"/>
          <w:numId w:val="0"/>
        </w:numPr>
        <w:ind w:leftChars="0" w:firstLine="720" w:firstLineChars="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python convert.py </w:t>
      </w:r>
      <w:r>
        <w:rPr>
          <w:rFonts w:ascii="宋体" w:hAnsi="宋体" w:eastAsia="宋体" w:cs="宋体"/>
          <w:color w:val="000000"/>
          <w:sz w:val="24"/>
          <w:szCs w:val="24"/>
        </w:rPr>
        <w:t>-s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&lt;</w:t>
      </w:r>
      <w:r>
        <w:rPr>
          <w:rFonts w:ascii="宋体" w:hAnsi="宋体" w:eastAsia="宋体" w:cs="宋体"/>
          <w:sz w:val="24"/>
          <w:szCs w:val="24"/>
        </w:rPr>
        <w:t>数据集根目录路径</w:t>
      </w:r>
      <w:r>
        <w:rPr>
          <w:rFonts w:ascii="宋体" w:hAnsi="宋体" w:eastAsia="宋体" w:cs="宋体"/>
          <w:color w:val="000000"/>
          <w:sz w:val="24"/>
          <w:szCs w:val="24"/>
        </w:rPr>
        <w:t>&gt;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--colmap_executable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"&lt;COLMAP安装路径&gt;/bin/colmap.exe"</w:t>
      </w:r>
    </w:p>
    <w:p w14:paraId="5D958A1A">
      <w:pPr>
        <w:pStyle w:val="3"/>
        <w:numPr>
          <w:ilvl w:val="0"/>
          <w:numId w:val="0"/>
        </w:numPr>
        <w:ind w:leftChars="0" w:firstLine="7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转换完成后，数据集目录结构如下：</w:t>
      </w:r>
    </w:p>
    <w:p w14:paraId="07FBAC52">
      <w:pPr>
        <w:pStyle w:val="3"/>
        <w:numPr>
          <w:ilvl w:val="0"/>
          <w:numId w:val="0"/>
        </w:numPr>
        <w:ind w:leftChars="0" w:firstLine="720" w:firstLineChars="0"/>
        <w:rPr>
          <w:rFonts w:ascii="宋体" w:hAnsi="宋体" w:eastAsia="宋体" w:cs="宋体"/>
          <w:sz w:val="24"/>
          <w:szCs w:val="24"/>
        </w:rPr>
      </w:pPr>
      <w:bookmarkStart w:id="10" w:name="_GoBack"/>
      <w:r>
        <w:drawing>
          <wp:inline distT="0" distB="0" distL="114300" distR="114300">
            <wp:extent cx="1007110" cy="1144905"/>
            <wp:effectExtent l="0" t="0" r="254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7110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"/>
    </w:p>
    <w:p w14:paraId="50B47026">
      <w:pPr>
        <w:pStyle w:val="6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7.6 模型训练 </w:t>
      </w:r>
    </w:p>
    <w:p w14:paraId="72F6B493">
      <w:pPr>
        <w:pStyle w:val="3"/>
        <w:numPr>
          <w:ilvl w:val="0"/>
          <w:numId w:val="0"/>
        </w:numPr>
        <w:ind w:leftChars="0"/>
        <w:rPr>
          <w:rFonts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python train.py </w:t>
      </w:r>
      <w:r>
        <w:rPr>
          <w:rFonts w:ascii="宋体" w:hAnsi="宋体" w:eastAsia="宋体" w:cs="宋体"/>
          <w:b w:val="0"/>
          <w:bCs w:val="0"/>
          <w:color w:val="000000"/>
          <w:sz w:val="24"/>
          <w:szCs w:val="24"/>
        </w:rPr>
        <w:t>-s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</w:t>
      </w:r>
      <w:r>
        <w:rPr>
          <w:rFonts w:ascii="宋体" w:hAnsi="宋体" w:eastAsia="宋体" w:cs="宋体"/>
          <w:b w:val="0"/>
          <w:bCs w:val="0"/>
          <w:color w:val="000000"/>
          <w:sz w:val="24"/>
          <w:szCs w:val="24"/>
        </w:rPr>
        <w:t>&lt;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数据集根目录路径</w:t>
      </w:r>
      <w:r>
        <w:rPr>
          <w:rFonts w:ascii="宋体" w:hAnsi="宋体" w:eastAsia="宋体" w:cs="宋体"/>
          <w:b w:val="0"/>
          <w:bCs w:val="0"/>
          <w:color w:val="000000"/>
          <w:sz w:val="24"/>
          <w:szCs w:val="24"/>
        </w:rPr>
        <w:t>&gt;</w:t>
      </w:r>
    </w:p>
    <w:p w14:paraId="598749F7">
      <w:pPr>
        <w:pStyle w:val="3"/>
        <w:numPr>
          <w:ilvl w:val="0"/>
          <w:numId w:val="0"/>
        </w:numPr>
        <w:spacing w:before="180" w:after="180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cs="宋体"/>
          <w:b/>
          <w:bCs/>
          <w:sz w:val="24"/>
          <w:szCs w:val="24"/>
          <w:lang w:val="en-US" w:eastAsia="zh-CN"/>
        </w:rPr>
        <w:t xml:space="preserve">7.7 </w:t>
      </w:r>
      <w:r>
        <w:rPr>
          <w:rFonts w:ascii="宋体" w:hAnsi="宋体" w:eastAsia="宋体" w:cs="宋体"/>
          <w:b/>
          <w:bCs/>
          <w:sz w:val="24"/>
          <w:szCs w:val="24"/>
        </w:rPr>
        <w:t>结果评估与可视化</w:t>
      </w:r>
    </w:p>
    <w:p w14:paraId="0CBD115D">
      <w:pPr>
        <w:pStyle w:val="1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20" w:beforeAutospacing="0" w:after="120" w:afterAutospacing="0" w:line="360" w:lineRule="atLeast"/>
        <w:ind w:left="0" w:right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（1）定量指标计算</w:t>
      </w:r>
      <w:r>
        <w:rPr>
          <w:rFonts w:hint="eastAsia" w:cs="宋体"/>
          <w:sz w:val="24"/>
          <w:szCs w:val="24"/>
          <w:lang w:eastAsia="zh-CN"/>
        </w:rPr>
        <w:t>（</w:t>
      </w:r>
      <w:r>
        <w:rPr>
          <w:rFonts w:hint="eastAsia" w:cs="宋体"/>
          <w:sz w:val="24"/>
          <w:szCs w:val="24"/>
          <w:lang w:val="en-US" w:eastAsia="zh-CN"/>
        </w:rPr>
        <w:t>需要在训练时加入</w:t>
      </w:r>
      <w:r>
        <w:rPr>
          <w:rStyle w:val="22"/>
          <w:color w:val="000000"/>
          <w:sz w:val="24"/>
          <w:szCs w:val="24"/>
        </w:rPr>
        <w:t>--eval</w:t>
      </w:r>
      <w:r>
        <w:rPr>
          <w:rStyle w:val="22"/>
          <w:rFonts w:hint="eastAsia"/>
          <w:color w:val="000000"/>
          <w:sz w:val="24"/>
          <w:szCs w:val="24"/>
          <w:lang w:val="en-US" w:eastAsia="zh-CN"/>
        </w:rPr>
        <w:t>指令划分train集 test集)</w:t>
      </w:r>
    </w:p>
    <w:p w14:paraId="14534010">
      <w:pPr>
        <w:pStyle w:val="3"/>
        <w:numPr>
          <w:ilvl w:val="0"/>
          <w:numId w:val="0"/>
        </w:numPr>
        <w:spacing w:before="180" w:after="180"/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# 渲染测试视角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13FA7160">
      <w:pPr>
        <w:pStyle w:val="3"/>
        <w:numPr>
          <w:ilvl w:val="0"/>
          <w:numId w:val="0"/>
        </w:numPr>
        <w:spacing w:before="180" w:after="180"/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python render.py </w:t>
      </w:r>
      <w:r>
        <w:rPr>
          <w:rFonts w:ascii="宋体" w:hAnsi="宋体" w:eastAsia="宋体" w:cs="宋体"/>
          <w:color w:val="000000"/>
          <w:sz w:val="24"/>
          <w:szCs w:val="24"/>
        </w:rPr>
        <w:t>-m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&lt;</w:t>
      </w:r>
      <w:r>
        <w:rPr>
          <w:rFonts w:ascii="宋体" w:hAnsi="宋体" w:eastAsia="宋体" w:cs="宋体"/>
          <w:sz w:val="24"/>
          <w:szCs w:val="24"/>
        </w:rPr>
        <w:t>训练好的模型目录</w:t>
      </w:r>
      <w:r>
        <w:rPr>
          <w:rFonts w:ascii="宋体" w:hAnsi="宋体" w:eastAsia="宋体" w:cs="宋体"/>
          <w:color w:val="000000"/>
          <w:sz w:val="24"/>
          <w:szCs w:val="24"/>
        </w:rPr>
        <w:t>&gt;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0D3043A2">
      <w:pPr>
        <w:pStyle w:val="3"/>
        <w:numPr>
          <w:ilvl w:val="0"/>
          <w:numId w:val="0"/>
        </w:numPr>
        <w:spacing w:before="180" w:after="180"/>
        <w:ind w:leftChars="2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# 计算PSNR、SSIM等指标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26F8E310">
      <w:pPr>
        <w:pStyle w:val="3"/>
        <w:numPr>
          <w:ilvl w:val="0"/>
          <w:numId w:val="0"/>
        </w:numPr>
        <w:spacing w:before="180" w:after="180"/>
        <w:ind w:leftChars="20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python metrics.py </w:t>
      </w:r>
      <w:r>
        <w:rPr>
          <w:rFonts w:ascii="宋体" w:hAnsi="宋体" w:eastAsia="宋体" w:cs="宋体"/>
          <w:color w:val="000000"/>
          <w:sz w:val="24"/>
          <w:szCs w:val="24"/>
        </w:rPr>
        <w:t>-m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color w:val="000000"/>
          <w:sz w:val="24"/>
          <w:szCs w:val="24"/>
        </w:rPr>
        <w:t>&lt;</w:t>
      </w:r>
      <w:r>
        <w:rPr>
          <w:rFonts w:ascii="宋体" w:hAnsi="宋体" w:eastAsia="宋体" w:cs="宋体"/>
          <w:sz w:val="24"/>
          <w:szCs w:val="24"/>
        </w:rPr>
        <w:t>训练好的模型目录</w:t>
      </w:r>
      <w:r>
        <w:rPr>
          <w:rFonts w:ascii="宋体" w:hAnsi="宋体" w:eastAsia="宋体" w:cs="宋体"/>
          <w:color w:val="000000"/>
          <w:sz w:val="24"/>
          <w:szCs w:val="24"/>
        </w:rPr>
        <w:t>&gt;</w:t>
      </w:r>
    </w:p>
    <w:p w14:paraId="75A12804">
      <w:pPr>
        <w:pStyle w:val="3"/>
        <w:numPr>
          <w:ilvl w:val="0"/>
          <w:numId w:val="4"/>
        </w:numPr>
        <w:spacing w:before="180" w:after="1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实时可视化查看</w:t>
      </w:r>
    </w:p>
    <w:p w14:paraId="4EEA504B">
      <w:pPr>
        <w:pStyle w:val="3"/>
        <w:numPr>
          <w:ilvl w:val="0"/>
          <w:numId w:val="5"/>
        </w:numPr>
        <w:spacing w:before="180" w:after="180"/>
        <w:ind w:firstLine="720" w:firstLineChars="0"/>
        <w:rPr>
          <w:rFonts w:hint="eastAsia" w:cs="宋体"/>
          <w:sz w:val="24"/>
          <w:szCs w:val="24"/>
          <w:lang w:val="en-US" w:eastAsia="zh-CN"/>
        </w:rPr>
      </w:pPr>
      <w:r>
        <w:rPr>
          <w:rFonts w:hint="eastAsia" w:cs="宋体"/>
          <w:color w:val="000000"/>
          <w:sz w:val="24"/>
          <w:szCs w:val="24"/>
          <w:lang w:val="en-US" w:eastAsia="zh-CN"/>
        </w:rPr>
        <w:t>可使用{</w:t>
      </w:r>
      <w:r>
        <w:rPr>
          <w:rFonts w:hint="eastAsia" w:cs="宋体"/>
          <w:sz w:val="24"/>
          <w:szCs w:val="24"/>
          <w:lang w:eastAsia="zh-CN"/>
        </w:rPr>
        <w:fldChar w:fldCharType="begin"/>
      </w:r>
      <w:r>
        <w:rPr>
          <w:rFonts w:hint="eastAsia" w:cs="宋体"/>
          <w:sz w:val="24"/>
          <w:szCs w:val="24"/>
          <w:lang w:eastAsia="zh-CN"/>
        </w:rPr>
        <w:instrText xml:space="preserve"> HYPERLINK "https://superspl.at/editor" </w:instrText>
      </w:r>
      <w:r>
        <w:rPr>
          <w:rFonts w:hint="eastAsia" w:cs="宋体"/>
          <w:sz w:val="24"/>
          <w:szCs w:val="24"/>
          <w:lang w:eastAsia="zh-CN"/>
        </w:rPr>
        <w:fldChar w:fldCharType="separate"/>
      </w:r>
      <w:r>
        <w:rPr>
          <w:rStyle w:val="21"/>
          <w:rFonts w:hint="eastAsia" w:cs="宋体"/>
          <w:sz w:val="24"/>
          <w:szCs w:val="24"/>
          <w:lang w:eastAsia="zh-CN"/>
        </w:rPr>
        <w:t>https://superspl.at/editor</w:t>
      </w:r>
      <w:r>
        <w:rPr>
          <w:rFonts w:hint="eastAsia" w:cs="宋体"/>
          <w:sz w:val="24"/>
          <w:szCs w:val="24"/>
          <w:lang w:eastAsia="zh-CN"/>
        </w:rPr>
        <w:fldChar w:fldCharType="end"/>
      </w:r>
      <w:r>
        <w:rPr>
          <w:rFonts w:hint="eastAsia" w:cs="宋体"/>
          <w:sz w:val="24"/>
          <w:szCs w:val="24"/>
          <w:lang w:val="en-US" w:eastAsia="zh-CN"/>
        </w:rPr>
        <w:t>}查看训练结果</w:t>
      </w:r>
    </w:p>
    <w:p w14:paraId="14181FD2">
      <w:pPr>
        <w:pStyle w:val="3"/>
        <w:numPr>
          <w:ilvl w:val="0"/>
          <w:numId w:val="5"/>
        </w:numPr>
        <w:spacing w:before="180" w:after="180"/>
        <w:ind w:firstLine="720" w:firstLineChars="0"/>
        <w:rPr>
          <w:rFonts w:hint="default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SIBR查看</w:t>
      </w:r>
    </w:p>
    <w:bookmarkEnd w:id="8"/>
    <w:p w14:paraId="3B73F347">
      <w:pPr>
        <w:pStyle w:val="5"/>
        <w:rPr>
          <w:rFonts w:hint="default" w:ascii="Times New Roman" w:hAnsi="Times New Roman" w:cs="Times New Roman"/>
        </w:rPr>
      </w:pPr>
      <w:bookmarkStart w:id="9" w:name="实验报告提交要求参考"/>
      <w:r>
        <w:rPr>
          <w:rFonts w:hint="default" w:ascii="Times New Roman" w:hAnsi="Times New Roman" w:cs="Times New Roman"/>
        </w:rPr>
        <w:t>8. 实验报告提交要求（参考）</w:t>
      </w:r>
    </w:p>
    <w:p w14:paraId="13185F4D">
      <w:pPr>
        <w:pStyle w:val="6"/>
        <w:bidi w:val="0"/>
        <w:rPr>
          <w:rFonts w:hint="default"/>
          <w:b/>
          <w:bCs w:val="0"/>
        </w:rPr>
      </w:pPr>
      <w:r>
        <w:rPr>
          <w:rFonts w:hint="default"/>
          <w:b/>
          <w:bCs w:val="0"/>
        </w:rPr>
        <w:t>8.1 实验过程与结果截图</w:t>
      </w:r>
    </w:p>
    <w:p w14:paraId="3E9EA0AE">
      <w:pPr>
        <w:pStyle w:val="25"/>
        <w:ind w:left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环境配置：至少包含环境验证成功截图、扩展安装完成截图；</w:t>
      </w:r>
    </w:p>
    <w:p w14:paraId="3140C3CB">
      <w:pPr>
        <w:pStyle w:val="25"/>
        <w:ind w:left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数据集制作：包含分帧结果、COLMAP 稀疏点云可视化、数据集目录结构截图；</w:t>
      </w:r>
    </w:p>
    <w:p w14:paraId="7E3AA5CB">
      <w:pPr>
        <w:pStyle w:val="25"/>
        <w:ind w:left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训练过程：包含训练终端输出、Loss/PSNR 变化曲线、高斯点数量变化截图；</w:t>
      </w:r>
    </w:p>
    <w:p w14:paraId="6FD5D621">
      <w:pPr>
        <w:pStyle w:val="25"/>
        <w:ind w:left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结果展示：包含至少 3 组视角的渲染图与真实图对比、SIBR 查看器的场景浏览截图。</w:t>
      </w:r>
    </w:p>
    <w:p w14:paraId="68439CD4">
      <w:pPr>
        <w:pStyle w:val="6"/>
        <w:bidi w:val="0"/>
        <w:rPr>
          <w:rFonts w:hint="default"/>
          <w:b/>
          <w:bCs w:val="0"/>
        </w:rPr>
      </w:pPr>
      <w:r>
        <w:rPr>
          <w:rFonts w:hint="default"/>
          <w:b/>
          <w:bCs w:val="0"/>
        </w:rPr>
        <w:t>8.2 结果记录</w:t>
      </w:r>
    </w:p>
    <w:p w14:paraId="740909BB">
      <w:pPr>
        <w:pStyle w:val="25"/>
        <w:ind w:left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训练参数对比表：记录不同参数下的总迭代次数、训练时长、最终 PSNR、高斯点数量，并分析差异原因；</w:t>
      </w:r>
    </w:p>
    <w:p w14:paraId="1FDAD2EE">
      <w:pPr>
        <w:pStyle w:val="25"/>
        <w:ind w:left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测试指标表：记录至少 3 个测试视角的 PSNR、SSIM 数值，结合视觉效果分析指标高低的原因。</w:t>
      </w:r>
    </w:p>
    <w:p w14:paraId="5A066BC8">
      <w:pPr>
        <w:pStyle w:val="6"/>
        <w:bidi w:val="0"/>
        <w:rPr>
          <w:rFonts w:hint="default"/>
          <w:b/>
          <w:bCs w:val="0"/>
        </w:rPr>
      </w:pPr>
      <w:r>
        <w:rPr>
          <w:rFonts w:hint="default"/>
          <w:b/>
          <w:bCs w:val="0"/>
        </w:rPr>
        <w:t>8.3 原理与结果分析</w:t>
      </w:r>
    </w:p>
    <w:p w14:paraId="69FD2789">
      <w:pPr>
        <w:pStyle w:val="25"/>
        <w:ind w:left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简述 3DGS 的核心原理，说明 3D 高斯表示、可微光栅化、密度控制三个核心模块的作用；</w:t>
      </w:r>
    </w:p>
    <w:p w14:paraId="62EAAB97">
      <w:pPr>
        <w:pStyle w:val="25"/>
        <w:ind w:left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每个核心任务给出200 字</w:t>
      </w:r>
      <w:r>
        <w:rPr>
          <w:rFonts w:hint="eastAsia" w:ascii="Times New Roman" w:hAnsi="Times New Roman" w:cs="Times New Roman"/>
          <w:lang w:val="en-US" w:eastAsia="zh-CN"/>
        </w:rPr>
        <w:t>左右</w:t>
      </w:r>
      <w:r>
        <w:rPr>
          <w:rFonts w:hint="default" w:ascii="Times New Roman" w:hAnsi="Times New Roman" w:cs="Times New Roman"/>
        </w:rPr>
        <w:t>的分析，不能仅粘贴截图，需结合原理解释</w:t>
      </w:r>
      <w:r>
        <w:rPr>
          <w:rFonts w:hint="eastAsia" w:ascii="Times New Roman" w:hAnsi="Times New Roman" w:cs="Times New Roman"/>
          <w:lang w:val="en-US" w:eastAsia="zh-CN"/>
        </w:rPr>
        <w:t>简述</w:t>
      </w:r>
      <w:r>
        <w:rPr>
          <w:rFonts w:hint="default" w:ascii="Times New Roman" w:hAnsi="Times New Roman" w:cs="Times New Roman"/>
        </w:rPr>
        <w:t>实验现象；</w:t>
      </w:r>
    </w:p>
    <w:p w14:paraId="397FE1EE">
      <w:pPr>
        <w:pStyle w:val="25"/>
        <w:ind w:leftChars="200"/>
        <w:rPr>
          <w:rFonts w:hint="default" w:ascii="Times New Roman" w:hAnsi="Times New Roman" w:cs="Times New Roman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对比 3DGS 与传统辐射场</w:t>
      </w: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</w:rPr>
        <w:t>、HOGS等相关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方法的差异</w:t>
      </w:r>
      <w:r>
        <w:rPr>
          <w:rFonts w:hint="eastAsia" w:cs="宋体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Times New Roman" w:hAnsi="Times New Roman" w:cs="Times New Roman"/>
        </w:rPr>
        <w:t>在表示形式、训练速度、渲染帧率、显存占用</w:t>
      </w:r>
      <w:r>
        <w:rPr>
          <w:rFonts w:hint="eastAsia" w:ascii="Times New Roman" w:hAnsi="Times New Roman" w:cs="Times New Roman"/>
          <w:lang w:val="en-US" w:eastAsia="zh-CN"/>
        </w:rPr>
        <w:t>等方面</w:t>
      </w:r>
      <w:r>
        <w:rPr>
          <w:rFonts w:hint="default" w:ascii="Times New Roman" w:hAnsi="Times New Roman" w:cs="Times New Roman"/>
        </w:rPr>
        <w:t>上的差异。</w:t>
      </w:r>
    </w:p>
    <w:p w14:paraId="04D1B785">
      <w:pPr>
        <w:pStyle w:val="6"/>
        <w:bidi w:val="0"/>
        <w:rPr>
          <w:rFonts w:hint="default"/>
          <w:b/>
          <w:bCs w:val="0"/>
        </w:rPr>
      </w:pPr>
      <w:r>
        <w:rPr>
          <w:rFonts w:hint="default"/>
          <w:b/>
          <w:bCs w:val="0"/>
        </w:rPr>
        <w:t>8.4 代码与参数修改说明</w:t>
      </w:r>
    </w:p>
    <w:p w14:paraId="3172C675">
      <w:pPr>
        <w:pStyle w:val="25"/>
        <w:ind w:left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若修改了源码参数、数据集路径、训练配置或修复了环境问题，需说明修改位置、修改内容与修改原因。</w:t>
      </w:r>
    </w:p>
    <w:p w14:paraId="6AD44E5C">
      <w:pPr>
        <w:pStyle w:val="6"/>
        <w:bidi w:val="0"/>
        <w:rPr>
          <w:rFonts w:hint="default"/>
          <w:b/>
          <w:bCs w:val="0"/>
        </w:rPr>
      </w:pPr>
      <w:r>
        <w:rPr>
          <w:rFonts w:hint="default"/>
          <w:b/>
          <w:bCs w:val="0"/>
        </w:rPr>
        <w:t>8.5 拓展加分项</w:t>
      </w:r>
    </w:p>
    <w:p w14:paraId="0CC7FB26">
      <w:pPr>
        <w:pStyle w:val="25"/>
        <w:ind w:left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进阶功能：尝试开启深度正则化、曝光补偿、抗锯齿等进阶训练选项，对比开启前后的效果差异；</w:t>
      </w:r>
    </w:p>
    <w:p w14:paraId="7AED60BF">
      <w:pPr>
        <w:pStyle w:val="25"/>
        <w:ind w:left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参数探究：测试不同输入分辨率、不同抽帧密度对重建质量的影响，总结数据采集的最佳实践；</w:t>
      </w:r>
    </w:p>
    <w:p w14:paraId="151110C2">
      <w:pPr>
        <w:pStyle w:val="25"/>
        <w:ind w:left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算法对比：在同一场景下对比 3DGS 与其他三维重建方法的效果，分析各自的优劣场景；</w:t>
      </w:r>
    </w:p>
    <w:p w14:paraId="615CEF81">
      <w:pPr>
        <w:pStyle w:val="25"/>
        <w:ind w:left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功能拓展：实现自定义相机轨迹的漫游视频渲染，或优化小显存显卡的训练配置。</w:t>
      </w:r>
    </w:p>
    <w:p w14:paraId="6ED94E45">
      <w:pPr>
        <w:pStyle w:val="6"/>
        <w:bidi w:val="0"/>
        <w:rPr>
          <w:rFonts w:hint="default"/>
          <w:b/>
          <w:bCs w:val="0"/>
        </w:rPr>
      </w:pPr>
      <w:r>
        <w:rPr>
          <w:rFonts w:hint="default"/>
          <w:b/>
          <w:bCs w:val="0"/>
        </w:rPr>
        <w:t>分析提示</w:t>
      </w:r>
      <w:r>
        <w:rPr>
          <w:rFonts w:hint="eastAsia"/>
          <w:b/>
          <w:bCs w:val="0"/>
          <w:lang w:val="en-US" w:eastAsia="zh-CN"/>
        </w:rPr>
        <w:t>Ex</w:t>
      </w:r>
      <w:r>
        <w:rPr>
          <w:rFonts w:hint="eastAsia"/>
          <w:b/>
          <w:bCs w:val="0"/>
          <w:lang w:eastAsia="zh-CN"/>
        </w:rPr>
        <w:t>（</w:t>
      </w:r>
      <w:r>
        <w:rPr>
          <w:rFonts w:hint="eastAsia"/>
          <w:b/>
          <w:bCs w:val="0"/>
          <w:lang w:val="en-US" w:eastAsia="zh-CN"/>
        </w:rPr>
        <w:t>可自行选择合适角度，不拘泥于固定问题）</w:t>
      </w:r>
      <w:r>
        <w:rPr>
          <w:rFonts w:hint="default"/>
          <w:b/>
          <w:bCs w:val="0"/>
        </w:rPr>
        <w:t>：</w:t>
      </w:r>
    </w:p>
    <w:p w14:paraId="2954FD4B">
      <w:pPr>
        <w:pStyle w:val="26"/>
        <w:numPr>
          <w:ilvl w:val="0"/>
          <w:numId w:val="0"/>
        </w:numPr>
        <w:ind w:left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3DGS 为什么选择 3D 高斯作为场景表示，相比点云、体素、神经辐射场有什么优势？</w:t>
      </w:r>
    </w:p>
    <w:p w14:paraId="437C0972">
      <w:pPr>
        <w:pStyle w:val="26"/>
        <w:numPr>
          <w:ilvl w:val="0"/>
          <w:numId w:val="0"/>
        </w:numPr>
        <w:ind w:left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可微光栅化在 3DGS 的训练闭环中起到什么核心作用？</w:t>
      </w:r>
    </w:p>
    <w:p w14:paraId="3610B1A5">
      <w:pPr>
        <w:pStyle w:val="26"/>
        <w:numPr>
          <w:ilvl w:val="0"/>
          <w:numId w:val="0"/>
        </w:numPr>
        <w:ind w:left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训练过程中的密度控制机制为什么能提升场景的重建精度？</w:t>
      </w:r>
    </w:p>
    <w:p w14:paraId="3413B148">
      <w:pPr>
        <w:pStyle w:val="26"/>
        <w:numPr>
          <w:ilvl w:val="0"/>
          <w:numId w:val="0"/>
        </w:numPr>
        <w:ind w:left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3DGS 能够实现实时渲染的核心原因是什么，相比 NeRF 类方法的效率提升来自哪里？</w:t>
      </w:r>
    </w:p>
    <w:p w14:paraId="5E03B6A3">
      <w:pPr>
        <w:pStyle w:val="26"/>
        <w:numPr>
          <w:ilvl w:val="0"/>
          <w:numId w:val="0"/>
        </w:numPr>
        <w:ind w:left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COLMAP 稀疏重建的质量为什么会直接决定 3DGS 最终的重建效果？</w:t>
      </w:r>
    </w:p>
    <w:p w14:paraId="48F68D03">
      <w:pPr>
        <w:pStyle w:val="26"/>
        <w:numPr>
          <w:ilvl w:val="0"/>
          <w:numId w:val="0"/>
        </w:numPr>
        <w:ind w:left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在前景占比小的场景中，只看 PSNR 指标能否准确反映重建质量？为什么？</w:t>
      </w:r>
    </w:p>
    <w:p w14:paraId="52908ED2">
      <w:pPr>
        <w:pStyle w:val="26"/>
        <w:numPr>
          <w:ilvl w:val="0"/>
          <w:numId w:val="0"/>
        </w:numPr>
        <w:ind w:left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OpenMP 库重复加载冲突的根本原因是什么，除了环境变量还有哪些解决思路？</w:t>
      </w:r>
    </w:p>
    <w:bookmarkEnd w:id="0"/>
    <w:bookmarkEnd w:id="1"/>
    <w:bookmarkEnd w:id="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8D2B50"/>
    <w:multiLevelType w:val="singleLevel"/>
    <w:tmpl w:val="938D2B5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0018CB3"/>
    <w:multiLevelType w:val="multilevel"/>
    <w:tmpl w:val="A0018CB3"/>
    <w:lvl w:ilvl="0" w:tentative="0">
      <w:start w:val="4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D66B8730"/>
    <w:multiLevelType w:val="singleLevel"/>
    <w:tmpl w:val="D66B8730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65084654"/>
    <w:multiLevelType w:val="singleLevel"/>
    <w:tmpl w:val="65084654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7B02B0C7"/>
    <w:multiLevelType w:val="singleLevel"/>
    <w:tmpl w:val="7B02B0C7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933BAA"/>
    <w:rsid w:val="1A006DE5"/>
    <w:rsid w:val="34E27D54"/>
    <w:rsid w:val="3C574020"/>
    <w:rsid w:val="41185F77"/>
    <w:rsid w:val="53543B8C"/>
    <w:rsid w:val="58243C27"/>
    <w:rsid w:val="5BF133FC"/>
    <w:rsid w:val="61652191"/>
    <w:rsid w:val="63041695"/>
    <w:rsid w:val="6734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宋体" w:hAnsi="宋体" w:eastAsia="宋体" w:cs="宋体"/>
      <w:color w:val="000000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000000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="宋体" w:hAnsi="宋体" w:eastAsia="宋体" w:cs="宋体"/>
      <w:b/>
      <w:bCs/>
      <w:color w:val="000000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="宋体" w:hAnsi="宋体" w:eastAsia="宋体" w:cs="宋体"/>
      <w:b/>
      <w:bCs/>
      <w:color w:val="000000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="宋体" w:hAnsi="宋体" w:eastAsia="宋体" w:cs="宋体"/>
      <w:bCs/>
      <w:i/>
      <w:color w:val="000000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="宋体" w:hAnsi="宋体" w:eastAsia="宋体" w:cs="宋体"/>
      <w:iCs/>
      <w:color w:val="000000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="宋体" w:hAnsi="宋体" w:eastAsia="宋体" w:cs="宋体"/>
      <w:color w:val="000000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="宋体" w:hAnsi="宋体" w:eastAsia="宋体" w:cs="宋体"/>
      <w:color w:val="000000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="宋体" w:hAnsi="宋体" w:eastAsia="宋体" w:cs="宋体"/>
      <w:color w:val="000000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="宋体" w:hAnsi="宋体" w:eastAsia="宋体" w:cs="宋体"/>
      <w:color w:val="000000"/>
      <w:sz w:val="24"/>
      <w:szCs w:val="24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4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rFonts w:ascii="宋体" w:hAnsi="宋体" w:eastAsia="宋体" w:cs="宋体"/>
      <w:i/>
      <w:color w:val="000000"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宋体" w:hAnsi="宋体" w:eastAsia="宋体" w:cs="宋体"/>
      <w:color w:val="000000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宋体" w:hAnsi="宋体" w:eastAsia="宋体" w:cs="宋体"/>
      <w:color w:val="000000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宋体" w:hAnsi="宋体" w:eastAsia="宋体" w:cs="宋体"/>
      <w:b/>
      <w:bCs/>
      <w:color w:val="000000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21">
    <w:name w:val="Hyperlink"/>
    <w:basedOn w:val="20"/>
    <w:qFormat/>
    <w:uiPriority w:val="0"/>
    <w:rPr>
      <w:rFonts w:ascii="宋体" w:hAnsi="宋体" w:eastAsia="宋体" w:cs="宋体"/>
      <w:color w:val="000000"/>
    </w:rPr>
  </w:style>
  <w:style w:type="character" w:styleId="22">
    <w:name w:val="HTML Code"/>
    <w:basedOn w:val="20"/>
    <w:qFormat/>
    <w:uiPriority w:val="0"/>
    <w:rPr>
      <w:rFonts w:ascii="Courier New" w:hAnsi="Courier New"/>
      <w:sz w:val="20"/>
    </w:rPr>
  </w:style>
  <w:style w:type="character" w:styleId="23">
    <w:name w:val="footnote reference"/>
    <w:basedOn w:val="24"/>
    <w:qFormat/>
    <w:uiPriority w:val="0"/>
    <w:rPr>
      <w:rFonts w:ascii="宋体" w:hAnsi="宋体" w:eastAsia="宋体" w:cs="宋体"/>
      <w:color w:val="000000"/>
      <w:vertAlign w:val="superscript"/>
    </w:rPr>
  </w:style>
  <w:style w:type="character" w:customStyle="1" w:styleId="24">
    <w:name w:val="Body Text Char"/>
    <w:basedOn w:val="20"/>
    <w:link w:val="3"/>
    <w:qFormat/>
    <w:uiPriority w:val="0"/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="宋体" w:hAnsi="宋体" w:eastAsia="宋体" w:cs="宋体"/>
      <w:color w:val="000000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rFonts w:ascii="宋体" w:hAnsi="宋体" w:eastAsia="宋体" w:cs="宋体"/>
      <w:b/>
      <w:color w:val="000000"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宋体" w:hAnsi="宋体" w:eastAsia="宋体" w:cs="宋体"/>
      <w:color w:val="000000"/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宋体" w:hAnsi="宋体" w:eastAsia="宋体" w:cs="宋体"/>
      <w:b/>
      <w:color w:val="000000"/>
    </w:rPr>
  </w:style>
  <w:style w:type="paragraph" w:customStyle="1" w:styleId="33">
    <w:name w:val="Definition"/>
    <w:basedOn w:val="1"/>
    <w:qFormat/>
    <w:uiPriority w:val="0"/>
  </w:style>
  <w:style w:type="paragraph" w:customStyle="1" w:styleId="34">
    <w:name w:val="Table Caption"/>
    <w:basedOn w:val="12"/>
    <w:qFormat/>
    <w:uiPriority w:val="0"/>
    <w:pPr>
      <w:keepNext/>
    </w:pPr>
  </w:style>
  <w:style w:type="paragraph" w:customStyle="1" w:styleId="35">
    <w:name w:val="Image Caption"/>
    <w:basedOn w:val="12"/>
    <w:qFormat/>
    <w:uiPriority w:val="0"/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4"/>
    <w:link w:val="39"/>
    <w:qFormat/>
    <w:uiPriority w:val="0"/>
    <w:rPr>
      <w:rFonts w:ascii="宋体" w:hAnsi="宋体" w:eastAsia="宋体" w:cs="宋体"/>
      <w:color w:val="000000"/>
      <w:sz w:val="22"/>
    </w:rPr>
  </w:style>
  <w:style w:type="paragraph" w:customStyle="1" w:styleId="39">
    <w:name w:val="Source Code"/>
    <w:basedOn w:val="1"/>
    <w:link w:val="38"/>
    <w:qFormat/>
    <w:uiPriority w:val="0"/>
    <w:pPr>
      <w:wordWrap w:val="0"/>
    </w:pPr>
  </w:style>
  <w:style w:type="character" w:customStyle="1" w:styleId="40">
    <w:name w:val="Section Number"/>
    <w:basedOn w:val="24"/>
    <w:qFormat/>
    <w:uiPriority w:val="0"/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宋体" w:hAnsi="宋体" w:eastAsia="宋体" w:cs="宋体"/>
      <w:b w:val="0"/>
      <w:bCs w:val="0"/>
      <w:color w:val="000000"/>
    </w:rPr>
  </w:style>
  <w:style w:type="character" w:customStyle="1" w:styleId="42">
    <w:name w:val="KeywordTok"/>
    <w:basedOn w:val="38"/>
    <w:qFormat/>
    <w:uiPriority w:val="0"/>
    <w:rPr>
      <w:rFonts w:ascii="宋体" w:hAnsi="宋体" w:eastAsia="宋体" w:cs="宋体"/>
      <w:b/>
      <w:color w:val="000000"/>
    </w:rPr>
  </w:style>
  <w:style w:type="character" w:customStyle="1" w:styleId="43">
    <w:name w:val="DataTypeTok"/>
    <w:basedOn w:val="38"/>
    <w:qFormat/>
    <w:uiPriority w:val="0"/>
    <w:rPr>
      <w:rFonts w:ascii="宋体" w:hAnsi="宋体" w:eastAsia="宋体" w:cs="宋体"/>
      <w:color w:val="000000"/>
    </w:rPr>
  </w:style>
  <w:style w:type="character" w:customStyle="1" w:styleId="44">
    <w:name w:val="DecValTok"/>
    <w:basedOn w:val="38"/>
    <w:qFormat/>
    <w:uiPriority w:val="0"/>
    <w:rPr>
      <w:rFonts w:ascii="宋体" w:hAnsi="宋体" w:eastAsia="宋体" w:cs="宋体"/>
      <w:color w:val="000000"/>
    </w:rPr>
  </w:style>
  <w:style w:type="character" w:customStyle="1" w:styleId="45">
    <w:name w:val="BaseNTok"/>
    <w:basedOn w:val="38"/>
    <w:qFormat/>
    <w:uiPriority w:val="0"/>
    <w:rPr>
      <w:rFonts w:ascii="宋体" w:hAnsi="宋体" w:eastAsia="宋体" w:cs="宋体"/>
      <w:color w:val="000000"/>
    </w:rPr>
  </w:style>
  <w:style w:type="character" w:customStyle="1" w:styleId="46">
    <w:name w:val="FloatTok"/>
    <w:basedOn w:val="38"/>
    <w:qFormat/>
    <w:uiPriority w:val="0"/>
    <w:rPr>
      <w:rFonts w:ascii="宋体" w:hAnsi="宋体" w:eastAsia="宋体" w:cs="宋体"/>
      <w:color w:val="000000"/>
    </w:rPr>
  </w:style>
  <w:style w:type="character" w:customStyle="1" w:styleId="47">
    <w:name w:val="ConstantTok"/>
    <w:basedOn w:val="38"/>
    <w:qFormat/>
    <w:uiPriority w:val="0"/>
    <w:rPr>
      <w:rFonts w:ascii="宋体" w:hAnsi="宋体" w:eastAsia="宋体" w:cs="宋体"/>
      <w:color w:val="000000"/>
    </w:rPr>
  </w:style>
  <w:style w:type="character" w:customStyle="1" w:styleId="48">
    <w:name w:val="CharTok"/>
    <w:basedOn w:val="38"/>
    <w:qFormat/>
    <w:uiPriority w:val="0"/>
    <w:rPr>
      <w:rFonts w:ascii="宋体" w:hAnsi="宋体" w:eastAsia="宋体" w:cs="宋体"/>
      <w:color w:val="000000"/>
    </w:rPr>
  </w:style>
  <w:style w:type="character" w:customStyle="1" w:styleId="49">
    <w:name w:val="SpecialCharTok"/>
    <w:basedOn w:val="38"/>
    <w:qFormat/>
    <w:uiPriority w:val="0"/>
    <w:rPr>
      <w:rFonts w:ascii="宋体" w:hAnsi="宋体" w:eastAsia="宋体" w:cs="宋体"/>
      <w:color w:val="000000"/>
    </w:rPr>
  </w:style>
  <w:style w:type="character" w:customStyle="1" w:styleId="50">
    <w:name w:val="StringTok"/>
    <w:basedOn w:val="38"/>
    <w:qFormat/>
    <w:uiPriority w:val="0"/>
    <w:rPr>
      <w:rFonts w:ascii="宋体" w:hAnsi="宋体" w:eastAsia="宋体" w:cs="宋体"/>
      <w:color w:val="000000"/>
    </w:rPr>
  </w:style>
  <w:style w:type="character" w:customStyle="1" w:styleId="51">
    <w:name w:val="VerbatimStringTok"/>
    <w:basedOn w:val="38"/>
    <w:qFormat/>
    <w:uiPriority w:val="0"/>
    <w:rPr>
      <w:rFonts w:ascii="宋体" w:hAnsi="宋体" w:eastAsia="宋体" w:cs="宋体"/>
      <w:color w:val="000000"/>
    </w:rPr>
  </w:style>
  <w:style w:type="character" w:customStyle="1" w:styleId="52">
    <w:name w:val="SpecialStringTok"/>
    <w:basedOn w:val="38"/>
    <w:qFormat/>
    <w:uiPriority w:val="0"/>
    <w:rPr>
      <w:rFonts w:ascii="宋体" w:hAnsi="宋体" w:eastAsia="宋体" w:cs="宋体"/>
      <w:color w:val="000000"/>
    </w:rPr>
  </w:style>
  <w:style w:type="character" w:customStyle="1" w:styleId="53">
    <w:name w:val="ImportTok"/>
    <w:basedOn w:val="38"/>
    <w:qFormat/>
    <w:uiPriority w:val="0"/>
    <w:rPr>
      <w:rFonts w:ascii="宋体" w:hAnsi="宋体" w:eastAsia="宋体" w:cs="宋体"/>
      <w:b/>
      <w:color w:val="000000"/>
    </w:rPr>
  </w:style>
  <w:style w:type="character" w:customStyle="1" w:styleId="54">
    <w:name w:val="CommentTok"/>
    <w:basedOn w:val="38"/>
    <w:qFormat/>
    <w:uiPriority w:val="0"/>
    <w:rPr>
      <w:rFonts w:ascii="宋体" w:hAnsi="宋体" w:eastAsia="宋体" w:cs="宋体"/>
      <w:i/>
      <w:color w:val="000000"/>
    </w:rPr>
  </w:style>
  <w:style w:type="character" w:customStyle="1" w:styleId="55">
    <w:name w:val="DocumentationTok"/>
    <w:basedOn w:val="38"/>
    <w:qFormat/>
    <w:uiPriority w:val="0"/>
    <w:rPr>
      <w:rFonts w:ascii="宋体" w:hAnsi="宋体" w:eastAsia="宋体" w:cs="宋体"/>
      <w:i/>
      <w:color w:val="000000"/>
    </w:rPr>
  </w:style>
  <w:style w:type="character" w:customStyle="1" w:styleId="56">
    <w:name w:val="AnnotationTok"/>
    <w:basedOn w:val="38"/>
    <w:qFormat/>
    <w:uiPriority w:val="0"/>
    <w:rPr>
      <w:rFonts w:ascii="宋体" w:hAnsi="宋体" w:eastAsia="宋体" w:cs="宋体"/>
      <w:b/>
      <w:i/>
      <w:color w:val="000000"/>
    </w:rPr>
  </w:style>
  <w:style w:type="character" w:customStyle="1" w:styleId="57">
    <w:name w:val="CommentVarTok"/>
    <w:basedOn w:val="38"/>
    <w:uiPriority w:val="0"/>
    <w:rPr>
      <w:rFonts w:ascii="宋体" w:hAnsi="宋体" w:eastAsia="宋体" w:cs="宋体"/>
      <w:b/>
      <w:i/>
      <w:color w:val="000000"/>
    </w:rPr>
  </w:style>
  <w:style w:type="character" w:customStyle="1" w:styleId="58">
    <w:name w:val="OtherTok"/>
    <w:basedOn w:val="38"/>
    <w:qFormat/>
    <w:uiPriority w:val="0"/>
    <w:rPr>
      <w:rFonts w:ascii="宋体" w:hAnsi="宋体" w:eastAsia="宋体" w:cs="宋体"/>
      <w:color w:val="000000"/>
    </w:rPr>
  </w:style>
  <w:style w:type="character" w:customStyle="1" w:styleId="59">
    <w:name w:val="FunctionTok"/>
    <w:basedOn w:val="38"/>
    <w:qFormat/>
    <w:uiPriority w:val="0"/>
    <w:rPr>
      <w:rFonts w:ascii="宋体" w:hAnsi="宋体" w:eastAsia="宋体" w:cs="宋体"/>
      <w:color w:val="000000"/>
    </w:rPr>
  </w:style>
  <w:style w:type="character" w:customStyle="1" w:styleId="60">
    <w:name w:val="VariableTok"/>
    <w:basedOn w:val="38"/>
    <w:uiPriority w:val="0"/>
    <w:rPr>
      <w:rFonts w:ascii="宋体" w:hAnsi="宋体" w:eastAsia="宋体" w:cs="宋体"/>
      <w:color w:val="000000"/>
    </w:rPr>
  </w:style>
  <w:style w:type="character" w:customStyle="1" w:styleId="61">
    <w:name w:val="ControlFlowTok"/>
    <w:basedOn w:val="38"/>
    <w:qFormat/>
    <w:uiPriority w:val="0"/>
    <w:rPr>
      <w:rFonts w:ascii="宋体" w:hAnsi="宋体" w:eastAsia="宋体" w:cs="宋体"/>
      <w:b/>
      <w:color w:val="000000"/>
    </w:rPr>
  </w:style>
  <w:style w:type="character" w:customStyle="1" w:styleId="62">
    <w:name w:val="OperatorTok"/>
    <w:basedOn w:val="38"/>
    <w:qFormat/>
    <w:uiPriority w:val="0"/>
    <w:rPr>
      <w:rFonts w:ascii="宋体" w:hAnsi="宋体" w:eastAsia="宋体" w:cs="宋体"/>
      <w:color w:val="000000"/>
    </w:rPr>
  </w:style>
  <w:style w:type="character" w:customStyle="1" w:styleId="63">
    <w:name w:val="BuiltInTok"/>
    <w:basedOn w:val="38"/>
    <w:qFormat/>
    <w:uiPriority w:val="0"/>
    <w:rPr>
      <w:rFonts w:ascii="宋体" w:hAnsi="宋体" w:eastAsia="宋体" w:cs="宋体"/>
      <w:color w:val="000000"/>
    </w:rPr>
  </w:style>
  <w:style w:type="character" w:customStyle="1" w:styleId="64">
    <w:name w:val="ExtensionTok"/>
    <w:basedOn w:val="38"/>
    <w:qFormat/>
    <w:uiPriority w:val="0"/>
  </w:style>
  <w:style w:type="character" w:customStyle="1" w:styleId="65">
    <w:name w:val="PreprocessorTok"/>
    <w:basedOn w:val="38"/>
    <w:qFormat/>
    <w:uiPriority w:val="0"/>
    <w:rPr>
      <w:rFonts w:ascii="宋体" w:hAnsi="宋体" w:eastAsia="宋体" w:cs="宋体"/>
      <w:color w:val="000000"/>
    </w:rPr>
  </w:style>
  <w:style w:type="character" w:customStyle="1" w:styleId="66">
    <w:name w:val="AttributeTok"/>
    <w:basedOn w:val="38"/>
    <w:qFormat/>
    <w:uiPriority w:val="0"/>
    <w:rPr>
      <w:rFonts w:ascii="宋体" w:hAnsi="宋体" w:eastAsia="宋体" w:cs="宋体"/>
      <w:color w:val="000000"/>
    </w:rPr>
  </w:style>
  <w:style w:type="character" w:customStyle="1" w:styleId="67">
    <w:name w:val="RegionMarkerTok"/>
    <w:basedOn w:val="38"/>
    <w:qFormat/>
    <w:uiPriority w:val="0"/>
  </w:style>
  <w:style w:type="character" w:customStyle="1" w:styleId="68">
    <w:name w:val="InformationTok"/>
    <w:basedOn w:val="38"/>
    <w:qFormat/>
    <w:uiPriority w:val="0"/>
    <w:rPr>
      <w:rFonts w:ascii="宋体" w:hAnsi="宋体" w:eastAsia="宋体" w:cs="宋体"/>
      <w:b/>
      <w:i/>
      <w:color w:val="000000"/>
    </w:rPr>
  </w:style>
  <w:style w:type="character" w:customStyle="1" w:styleId="69">
    <w:name w:val="WarningTok"/>
    <w:basedOn w:val="38"/>
    <w:qFormat/>
    <w:uiPriority w:val="0"/>
    <w:rPr>
      <w:rFonts w:ascii="宋体" w:hAnsi="宋体" w:eastAsia="宋体" w:cs="宋体"/>
      <w:b/>
      <w:i/>
      <w:color w:val="000000"/>
    </w:rPr>
  </w:style>
  <w:style w:type="character" w:customStyle="1" w:styleId="70">
    <w:name w:val="AlertTok"/>
    <w:basedOn w:val="38"/>
    <w:qFormat/>
    <w:uiPriority w:val="0"/>
    <w:rPr>
      <w:rFonts w:ascii="宋体" w:hAnsi="宋体" w:eastAsia="宋体" w:cs="宋体"/>
      <w:b/>
      <w:color w:val="000000"/>
    </w:rPr>
  </w:style>
  <w:style w:type="character" w:customStyle="1" w:styleId="71">
    <w:name w:val="ErrorTok"/>
    <w:basedOn w:val="38"/>
    <w:uiPriority w:val="0"/>
    <w:rPr>
      <w:rFonts w:ascii="宋体" w:hAnsi="宋体" w:eastAsia="宋体" w:cs="宋体"/>
      <w:b/>
      <w:color w:val="000000"/>
    </w:rPr>
  </w:style>
  <w:style w:type="character" w:customStyle="1" w:styleId="72">
    <w:name w:val="NormalTok"/>
    <w:basedOn w:val="3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2757</Words>
  <Characters>4120</Characters>
  <Lines>12</Lines>
  <Paragraphs>8</Paragraphs>
  <TotalTime>161</TotalTime>
  <ScaleCrop>false</ScaleCrop>
  <LinksUpToDate>false</LinksUpToDate>
  <CharactersWithSpaces>4375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2026-06-09T01:27:00Z</dcterms:created>
  <dc:creator>musicrainie</dc:creator>
  <cp:lastModifiedBy>那</cp:lastModifiedBy>
  <dcterms:modified xsi:type="dcterms:W3CDTF">2026-06-23T09:18:16Z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eyJoZGlkIjoiMGZkOWRlODQ5NTE2N2UyZTAyMzc5MGU3NDRiYmU3YTgiLCJ1c2VySWQiOiI0NDM5Mjg2MDIifQ==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CDFF9E784D4B4569AB7FFEEC421978F4_13</vt:lpwstr>
  </property>
</Properties>
</file>