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8DA33">
      <w:pPr>
        <w:pStyle w:val="9"/>
        <w:jc w:val="center"/>
      </w:pPr>
      <w:r>
        <w:drawing>
          <wp:inline distT="0" distB="0" distL="114300" distR="114300">
            <wp:extent cx="2298065" cy="421640"/>
            <wp:effectExtent l="0" t="0" r="698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B23E">
      <w:pPr>
        <w:pStyle w:val="9"/>
        <w:ind w:right="1760" w:firstLine="1785"/>
        <w:jc w:val="center"/>
        <w:rPr>
          <w:rFonts w:ascii="黑体" w:eastAsia="黑体"/>
          <w:b/>
          <w:bCs/>
          <w:spacing w:val="20"/>
          <w:sz w:val="52"/>
          <w:szCs w:val="52"/>
        </w:rPr>
      </w:pPr>
    </w:p>
    <w:p w14:paraId="0BEDB497">
      <w:pPr>
        <w:pStyle w:val="9"/>
        <w:ind w:right="4"/>
        <w:jc w:val="center"/>
        <w:rPr>
          <w:rFonts w:ascii="仿宋_GB2312" w:eastAsia="仿宋_GB2312"/>
          <w:b/>
          <w:bCs/>
          <w:spacing w:val="20"/>
          <w:sz w:val="52"/>
          <w:szCs w:val="84"/>
        </w:rPr>
      </w:pPr>
      <w:r>
        <w:rPr>
          <w:rFonts w:hint="eastAsia" w:ascii="仿宋_GB2312" w:eastAsia="仿宋_GB2312"/>
          <w:b/>
          <w:bCs/>
          <w:spacing w:val="20"/>
          <w:sz w:val="52"/>
          <w:szCs w:val="84"/>
        </w:rPr>
        <w:t>人工智能数学基础实验报告</w:t>
      </w:r>
    </w:p>
    <w:p w14:paraId="3935C3F2">
      <w:pPr>
        <w:pStyle w:val="9"/>
        <w:jc w:val="center"/>
        <w:rPr>
          <w:rFonts w:ascii="宋体" w:hAnsi="宋体"/>
          <w:sz w:val="28"/>
          <w:szCs w:val="28"/>
        </w:rPr>
      </w:pPr>
    </w:p>
    <w:p w14:paraId="5EAAF281">
      <w:pPr>
        <w:pStyle w:val="9"/>
        <w:jc w:val="center"/>
        <w:rPr>
          <w:rFonts w:ascii="宋体" w:hAnsi="宋体"/>
          <w:sz w:val="28"/>
          <w:szCs w:val="28"/>
        </w:rPr>
      </w:pPr>
    </w:p>
    <w:p w14:paraId="5F2625AA">
      <w:pPr>
        <w:pStyle w:val="9"/>
        <w:jc w:val="center"/>
        <w:rPr>
          <w:rFonts w:ascii="宋体" w:hAnsi="宋体"/>
          <w:sz w:val="28"/>
          <w:szCs w:val="28"/>
        </w:rPr>
      </w:pPr>
    </w:p>
    <w:p w14:paraId="557FCCB0">
      <w:pPr>
        <w:pStyle w:val="9"/>
        <w:jc w:val="center"/>
        <w:rPr>
          <w:rFonts w:ascii="宋体" w:hAnsi="宋体"/>
          <w:sz w:val="28"/>
          <w:szCs w:val="28"/>
        </w:rPr>
      </w:pPr>
    </w:p>
    <w:p w14:paraId="22DC654A">
      <w:pPr>
        <w:pStyle w:val="9"/>
        <w:jc w:val="center"/>
        <w:rPr>
          <w:rFonts w:ascii="宋体" w:hAnsi="宋体"/>
          <w:sz w:val="28"/>
          <w:szCs w:val="28"/>
        </w:rPr>
      </w:pPr>
    </w:p>
    <w:p w14:paraId="7C268A31">
      <w:pPr>
        <w:pStyle w:val="9"/>
        <w:jc w:val="center"/>
        <w:rPr>
          <w:rFonts w:ascii="黑体" w:eastAsia="黑体"/>
          <w:sz w:val="30"/>
          <w:szCs w:val="30"/>
        </w:rPr>
      </w:pPr>
    </w:p>
    <w:p w14:paraId="6D90707C">
      <w:pPr>
        <w:pStyle w:val="9"/>
        <w:ind w:right="710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 xml:space="preserve">题       目    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2"/>
          <w:u w:val="single"/>
          <w:lang w:val="en-US" w:eastAsia="zh-CN"/>
        </w:rPr>
        <w:t>PCA，PRCA，SVD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  </w:t>
      </w:r>
    </w:p>
    <w:p w14:paraId="59383A75">
      <w:pPr>
        <w:pStyle w:val="9"/>
        <w:ind w:right="1235"/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 xml:space="preserve">学       院 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计算学部 </w:t>
      </w:r>
      <w:r>
        <w:rPr>
          <w:rFonts w:ascii="黑体" w:eastAsia="黑体"/>
          <w:sz w:val="30"/>
          <w:szCs w:val="30"/>
          <w:u w:val="single"/>
        </w:rPr>
        <w:t xml:space="preserve">       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</w:p>
    <w:p w14:paraId="5D278C9E">
      <w:pPr>
        <w:pStyle w:val="9"/>
        <w:ind w:right="1235"/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专       业</w:t>
      </w:r>
      <w:r>
        <w:rPr>
          <w:rFonts w:hint="eastAsia" w:ascii="黑体" w:eastAsia="黑体"/>
          <w:sz w:val="30"/>
          <w:szCs w:val="30"/>
        </w:rPr>
        <w:tab/>
      </w:r>
      <w:r>
        <w:rPr>
          <w:rFonts w:hint="eastAsia" w:ascii="黑体" w:eastAsia="黑体"/>
          <w:sz w:val="30"/>
          <w:szCs w:val="30"/>
        </w:rPr>
        <w:t xml:space="preserve"> 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人工智能                       </w:t>
      </w:r>
    </w:p>
    <w:p w14:paraId="514A7BBD">
      <w:pPr>
        <w:pStyle w:val="9"/>
        <w:ind w:right="1130"/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 xml:space="preserve">学       号    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2024112257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  </w:t>
      </w:r>
    </w:p>
    <w:p w14:paraId="3179E28B">
      <w:pPr>
        <w:pStyle w:val="9"/>
        <w:ind w:right="1130"/>
        <w:jc w:val="left"/>
        <w:rPr>
          <w:rFonts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 xml:space="preserve">学       生 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李宗睿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</w:t>
      </w:r>
    </w:p>
    <w:p w14:paraId="2BF4C304">
      <w:pPr>
        <w:pStyle w:val="9"/>
        <w:ind w:right="1130"/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 xml:space="preserve">任 课 教 师 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刘绍辉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        </w:t>
      </w:r>
    </w:p>
    <w:p w14:paraId="67EA4618">
      <w:pPr>
        <w:pStyle w:val="9"/>
        <w:ind w:right="1340"/>
        <w:jc w:val="center"/>
        <w:rPr>
          <w:rFonts w:ascii="宋体" w:hAnsi="宋体"/>
          <w:sz w:val="28"/>
          <w:szCs w:val="28"/>
        </w:rPr>
      </w:pPr>
    </w:p>
    <w:p w14:paraId="218FF82A">
      <w:pPr>
        <w:pStyle w:val="9"/>
        <w:ind w:right="1340"/>
        <w:jc w:val="center"/>
        <w:rPr>
          <w:rFonts w:ascii="宋体" w:hAnsi="宋体"/>
          <w:sz w:val="28"/>
          <w:szCs w:val="28"/>
        </w:rPr>
      </w:pPr>
    </w:p>
    <w:p w14:paraId="2B3016E3">
      <w:pPr>
        <w:pStyle w:val="9"/>
        <w:ind w:right="1340"/>
        <w:jc w:val="center"/>
        <w:rPr>
          <w:rFonts w:ascii="宋体" w:hAnsi="宋体"/>
          <w:sz w:val="28"/>
          <w:szCs w:val="28"/>
        </w:rPr>
      </w:pPr>
    </w:p>
    <w:p w14:paraId="6EEABBB5">
      <w:pPr>
        <w:pStyle w:val="9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hint="eastAsia" w:ascii="隶书" w:eastAsia="隶书"/>
          <w:sz w:val="32"/>
          <w:szCs w:val="32"/>
        </w:rPr>
        <w:t>哈尔滨工业大学计算学部</w:t>
      </w:r>
    </w:p>
    <w:p w14:paraId="3E300644">
      <w:pPr>
        <w:pStyle w:val="9"/>
        <w:ind w:right="-25"/>
        <w:jc w:val="center"/>
        <w:rPr>
          <w:rFonts w:ascii="隶书" w:eastAsia="隶书"/>
          <w:sz w:val="32"/>
          <w:szCs w:val="32"/>
        </w:rPr>
      </w:pPr>
      <w:r>
        <w:rPr>
          <w:rFonts w:hint="eastAsia" w:ascii="隶书" w:eastAsia="隶书"/>
          <w:sz w:val="32"/>
          <w:szCs w:val="32"/>
        </w:rPr>
        <w:t>20</w:t>
      </w:r>
      <w:r>
        <w:rPr>
          <w:rFonts w:ascii="隶书" w:eastAsia="隶书"/>
          <w:sz w:val="32"/>
          <w:szCs w:val="32"/>
        </w:rPr>
        <w:t>25.3</w:t>
      </w:r>
    </w:p>
    <w:p w14:paraId="536D2DC0"/>
    <w:p w14:paraId="1E8110CB"/>
    <w:p w14:paraId="586E00C1">
      <w:pPr>
        <w:ind w:left="480"/>
        <w:jc w:val="center"/>
        <w:rPr>
          <w:rFonts w:hint="default" w:ascii="宋体" w:hAnsi="宋体" w:eastAsia="宋体"/>
          <w:b/>
          <w:sz w:val="32"/>
          <w:lang w:val="en-US" w:eastAsia="zh-CN"/>
        </w:rPr>
      </w:pPr>
      <w:r>
        <w:rPr>
          <w:rFonts w:hint="eastAsia" w:ascii="宋体" w:hAnsi="宋体"/>
          <w:b/>
          <w:sz w:val="32"/>
        </w:rPr>
        <w:t>实验</w:t>
      </w:r>
      <w:r>
        <w:rPr>
          <w:rFonts w:hint="eastAsia" w:ascii="宋体" w:hAnsi="宋体"/>
          <w:b/>
          <w:sz w:val="32"/>
          <w:lang w:val="en-US" w:eastAsia="zh-CN"/>
        </w:rPr>
        <w:t>2</w:t>
      </w:r>
      <w:r>
        <w:rPr>
          <w:rFonts w:ascii="宋体" w:hAnsi="宋体"/>
          <w:b/>
          <w:sz w:val="32"/>
        </w:rPr>
        <w:t>:</w:t>
      </w:r>
      <w:r>
        <w:rPr>
          <w:rFonts w:hint="eastAsia" w:ascii="宋体" w:hAnsi="宋体"/>
          <w:b/>
          <w:sz w:val="32"/>
          <w:lang w:val="en-US" w:eastAsia="zh-CN"/>
        </w:rPr>
        <w:t>PCA，PRCA，SVD</w:t>
      </w:r>
    </w:p>
    <w:p w14:paraId="0F1FD11F">
      <w:pPr>
        <w:ind w:left="480"/>
        <w:jc w:val="center"/>
        <w:rPr>
          <w:rFonts w:ascii="宋体" w:hAnsi="宋体"/>
          <w:b/>
          <w:sz w:val="32"/>
        </w:rPr>
      </w:pPr>
    </w:p>
    <w:p w14:paraId="52A6400B">
      <w:pPr>
        <w:rPr>
          <w:rFonts w:ascii="宋体" w:hAnsi="宋体"/>
          <w:b/>
          <w:sz w:val="22"/>
        </w:rPr>
      </w:pPr>
      <w:r>
        <w:rPr>
          <w:rFonts w:hint="eastAsia" w:ascii="宋体" w:hAnsi="宋体"/>
          <w:b/>
          <w:sz w:val="22"/>
        </w:rPr>
        <w:t>注意：请按照大家阅读文献的格式进行撰写，确保文档格式的规范性！不能拷贝粘贴，尤其是图和公式，不允许拷贝粘贴，需要自己编辑！或者用l</w:t>
      </w:r>
      <w:r>
        <w:rPr>
          <w:rFonts w:ascii="宋体" w:hAnsi="宋体"/>
          <w:b/>
          <w:sz w:val="22"/>
        </w:rPr>
        <w:t>atex</w:t>
      </w:r>
      <w:r>
        <w:rPr>
          <w:rFonts w:hint="eastAsia" w:ascii="宋体" w:hAnsi="宋体"/>
          <w:b/>
          <w:sz w:val="22"/>
        </w:rPr>
        <w:t>编辑！</w:t>
      </w:r>
    </w:p>
    <w:p w14:paraId="4EF3BF29">
      <w:pPr>
        <w:ind w:left="480"/>
        <w:rPr>
          <w:rFonts w:ascii="宋体" w:hAnsi="宋体"/>
          <w:b/>
          <w:sz w:val="22"/>
        </w:rPr>
      </w:pPr>
    </w:p>
    <w:p w14:paraId="77F96793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实验内容或者文献情况介绍</w:t>
      </w:r>
    </w:p>
    <w:p w14:paraId="1C11D25A">
      <w:pPr>
        <w:numPr>
          <w:ilvl w:val="0"/>
          <w:numId w:val="0"/>
        </w:numPr>
        <w:ind w:leftChars="0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1.1 实验内容</w:t>
      </w:r>
    </w:p>
    <w:p w14:paraId="14783F2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①</w:t>
      </w:r>
      <w:r>
        <w:rPr>
          <w:rFonts w:hint="eastAsia" w:ascii="宋体" w:hAnsi="宋体"/>
          <w:sz w:val="24"/>
        </w:rPr>
        <w:t>理解PCA，RPCA的核心算法思想，编程实现PCA，RPCA的核心算法，并用</w:t>
      </w:r>
      <w:r>
        <w:rPr>
          <w:rFonts w:hint="eastAsia" w:ascii="宋体" w:hAnsi="宋体"/>
          <w:sz w:val="24"/>
          <w:lang w:val="en-US" w:eastAsia="zh-CN"/>
        </w:rPr>
        <w:tab/>
      </w:r>
      <w:r>
        <w:rPr>
          <w:rFonts w:hint="eastAsia" w:ascii="宋体" w:hAnsi="宋体"/>
          <w:sz w:val="24"/>
        </w:rPr>
        <w:t>人脸识别等视觉任务作为例子，比较原始特征、PCA特征，以及RPCA特征的</w:t>
      </w:r>
      <w:r>
        <w:rPr>
          <w:rFonts w:hint="eastAsia" w:ascii="宋体" w:hAnsi="宋体"/>
          <w:sz w:val="24"/>
          <w:lang w:val="en-US" w:eastAsia="zh-CN"/>
        </w:rPr>
        <w:tab/>
      </w:r>
      <w:r>
        <w:rPr>
          <w:rFonts w:hint="eastAsia" w:ascii="宋体" w:hAnsi="宋体"/>
          <w:sz w:val="24"/>
        </w:rPr>
        <w:t>性能差别；</w:t>
      </w:r>
    </w:p>
    <w:p w14:paraId="4C403933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②</w:t>
      </w:r>
      <w:r>
        <w:rPr>
          <w:rFonts w:hint="eastAsia" w:ascii="宋体" w:hAnsi="宋体"/>
          <w:sz w:val="24"/>
        </w:rPr>
        <w:t>理解PCANet，RPCA等采用神经网络来实现的基本原理，编程实现其算法，并对比原始PCA，RPCA的性能；</w:t>
      </w:r>
    </w:p>
    <w:p w14:paraId="57512A6A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③</w:t>
      </w:r>
      <w:r>
        <w:rPr>
          <w:rFonts w:hint="eastAsia" w:ascii="宋体" w:hAnsi="宋体"/>
          <w:sz w:val="24"/>
        </w:rPr>
        <w:t>理解SVD的基本原理，编程实现SVD在视觉、语言等AI任务中的应用，理解其核心思想；</w:t>
      </w:r>
    </w:p>
    <w:p w14:paraId="27176CAC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④</w:t>
      </w:r>
      <w:r>
        <w:rPr>
          <w:rFonts w:hint="eastAsia" w:ascii="宋体" w:hAnsi="宋体"/>
          <w:sz w:val="24"/>
        </w:rPr>
        <w:t>理解SVD Net的基本原理，熟悉数学方法和神经网络框架之间的内在联系，编程实现SVD Net，并采用视觉或语言任务作为应用案例，讨论SVD和SVD net等的性能比较；</w:t>
      </w:r>
    </w:p>
    <w:p w14:paraId="18E500A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⑤</w:t>
      </w:r>
      <w:r>
        <w:rPr>
          <w:rFonts w:hint="eastAsia" w:ascii="宋体" w:hAnsi="宋体"/>
          <w:sz w:val="24"/>
        </w:rPr>
        <w:t>阅读至少跟PCA，SVD相关的最新论文（建议2025-2026），介绍其最新应用。</w:t>
      </w:r>
    </w:p>
    <w:p w14:paraId="360770E2">
      <w:pPr>
        <w:ind w:left="480"/>
        <w:rPr>
          <w:rFonts w:ascii="宋体" w:hAnsi="宋体"/>
          <w:sz w:val="24"/>
        </w:rPr>
      </w:pPr>
    </w:p>
    <w:p w14:paraId="7855CC64">
      <w:pPr>
        <w:numPr>
          <w:ilvl w:val="0"/>
          <w:numId w:val="0"/>
        </w:numPr>
        <w:ind w:leftChars="0"/>
        <w:rPr>
          <w:rFonts w:hint="default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1.2 相关文献介绍</w:t>
      </w:r>
    </w:p>
    <w:p w14:paraId="568258F4">
      <w:pPr>
        <w:ind w:left="480"/>
        <w:rPr>
          <w:rFonts w:ascii="宋体" w:hAnsi="宋体"/>
          <w:sz w:val="24"/>
        </w:rPr>
      </w:pPr>
    </w:p>
    <w:p w14:paraId="53E09701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算法简介及其实现细节</w:t>
      </w:r>
    </w:p>
    <w:p w14:paraId="6F46FFFD">
      <w:pPr>
        <w:numPr>
          <w:ilvl w:val="0"/>
          <w:numId w:val="0"/>
        </w:numPr>
        <w:ind w:leftChars="0"/>
        <w:rPr>
          <w:rFonts w:hint="eastAsia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2.1 PCA原理介绍</w:t>
      </w:r>
    </w:p>
    <w:p w14:paraId="3629C649">
      <w:pPr>
        <w:numPr>
          <w:ilvl w:val="0"/>
          <w:numId w:val="0"/>
        </w:numPr>
        <w:ind w:firstLine="420" w:firstLineChars="0"/>
        <w:rPr>
          <w:rFonts w:hint="default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sz w:val="24"/>
        </w:rPr>
        <w:t>PCA是无监督、线性、全局的降维算法，核心目标：把高维数据投影到低维空间，保留最大方差信息，解决维数灾难。</w:t>
      </w:r>
    </w:p>
    <w:p w14:paraId="385BF87A">
      <w:pPr>
        <w:pStyle w:val="12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将高维空降中的点集化为矩阵形式M，然后寻找MM^T或者M^TM的特征向量，这些特征向量所形成的矩阵，可以看成高维空间中的刚性旋转。将矩阵应用到数据的时候，对应主特征向量的方向就是数据方差最大的方向PCA可以看作是一个数据挖掘工具，将原始数据在低维空间进行投影，从而获得原始数据在主轴上的信息。</w:t>
      </w:r>
    </w:p>
    <w:p w14:paraId="6721AA33">
      <w:pPr>
        <w:pStyle w:val="12"/>
        <w:ind w:left="0" w:leftChars="0"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具体实现原理如下：</w:t>
      </w:r>
    </w:p>
    <w:p w14:paraId="2F2A08C1">
      <w:pPr>
        <w:pStyle w:val="12"/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/>
          <w:sz w:val="24"/>
          <w:lang w:val="en-US" w:eastAsia="zh-CN"/>
        </w:rPr>
        <w:t>①</w:t>
      </w:r>
      <w:r>
        <w:rPr>
          <w:rFonts w:ascii="宋体" w:hAnsi="宋体" w:eastAsia="宋体" w:cs="宋体"/>
          <w:sz w:val="24"/>
          <w:szCs w:val="24"/>
        </w:rPr>
        <w:t>对各特征去均值、归一化，消除量纲影响</w:t>
      </w:r>
    </w:p>
    <w:p w14:paraId="6997A8C8">
      <w:pPr>
        <w:pStyle w:val="12"/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sz w:val="24"/>
          <w:szCs w:val="24"/>
        </w:rPr>
        <w:t>衡量特征间线性相关程度</w:t>
      </w:r>
    </w:p>
    <w:p w14:paraId="1D569BE0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对协方差矩阵求特征值与特征向量</w:t>
      </w:r>
    </w:p>
    <w:p w14:paraId="3BD98992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按特征值从大到小排序，取前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个特征向量构成投影矩阵</w:t>
      </w:r>
    </w:p>
    <w:p w14:paraId="4023F169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⑤</w:t>
      </w:r>
      <w:r>
        <w:rPr>
          <w:rFonts w:ascii="宋体" w:hAnsi="宋体" w:eastAsia="宋体" w:cs="宋体"/>
          <w:sz w:val="24"/>
          <w:szCs w:val="24"/>
        </w:rPr>
        <w:t>将原数据投影到低维空间</w:t>
      </w:r>
    </w:p>
    <w:p w14:paraId="124D37B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</w:p>
    <w:p w14:paraId="5FA09554">
      <w:pPr>
        <w:numPr>
          <w:ilvl w:val="0"/>
          <w:numId w:val="0"/>
        </w:numPr>
        <w:ind w:leftChars="0"/>
        <w:rPr>
          <w:rFonts w:hint="eastAsia" w:ascii="宋体" w:hAnsi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2.2 RPCA原理介绍</w:t>
      </w:r>
    </w:p>
    <w:p w14:paraId="5279813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PCA对噪声、离群点、遮挡非常敏感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，RPCA，即鲁棒PCA，</w:t>
      </w:r>
      <w:r>
        <w:rPr>
          <w:rFonts w:ascii="宋体" w:hAnsi="宋体" w:eastAsia="宋体" w:cs="宋体"/>
          <w:sz w:val="24"/>
          <w:szCs w:val="24"/>
        </w:rPr>
        <w:t>专门解决 PCA 不抗噪的问题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5B8CD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RPCA主要是</w:t>
      </w:r>
      <w:r>
        <w:rPr>
          <w:rFonts w:ascii="宋体" w:hAnsi="宋体" w:eastAsia="宋体" w:cs="宋体"/>
          <w:sz w:val="24"/>
          <w:szCs w:val="24"/>
        </w:rPr>
        <w:t>把被污染的数据矩阵D，分解为</w:t>
      </w:r>
      <m:oMath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D=L+S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D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观测到的高维数据矩阵（如人脸图像、视频帧、特征矩阵）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低秩矩阵（数据的干净主体结构，真实信号）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S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稀疏矩阵（噪声、遮挡、离群点、坏像素、异常值）</w:t>
      </w:r>
      <w:r>
        <w:rPr>
          <w:rFonts w:hint="eastAsia" w:ascii="宋体" w:hAnsi="宋体" w:cs="宋体"/>
          <w:sz w:val="24"/>
          <w:szCs w:val="24"/>
          <w:lang w:eastAsia="zh-CN"/>
        </w:rPr>
        <w:t>），</w:t>
      </w:r>
    </w:p>
    <w:p w14:paraId="30DA5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即转化为凸优化问题：</w:t>
      </w:r>
    </w:p>
    <w:p w14:paraId="344B6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/>
        <w:rPr>
          <w:i w:val="0"/>
          <w:sz w:val="24"/>
          <w:szCs w:val="24"/>
        </w:rPr>
      </w:pPr>
      <m:oMathPara>
        <m:oMath>
          <m:limLow>
            <m:limLowPr>
              <m:ctrlPr>
                <w:rPr>
                  <w:sz w:val="24"/>
                  <w:szCs w:val="24"/>
                </w:rPr>
              </m:ctrlPr>
            </m:limLowPr>
            <m:e>
              <m:r>
                <m:rPr/>
                <w:rPr>
                  <w:sz w:val="24"/>
                  <w:szCs w:val="24"/>
                </w:rPr>
                <m:t>min</m:t>
              </m:r>
              <m:ctrlPr>
                <w:rPr>
                  <w:sz w:val="24"/>
                  <w:szCs w:val="24"/>
                </w:rPr>
              </m:ctrlPr>
            </m:e>
            <m:lim>
              <m:r>
                <m:rPr/>
                <w:rPr>
                  <w:sz w:val="24"/>
                  <w:szCs w:val="24"/>
                </w:rPr>
                <m:t>L,S</m:t>
              </m:r>
              <m:ctrlPr>
                <w:rPr>
                  <w:sz w:val="24"/>
                  <w:szCs w:val="24"/>
                </w:rPr>
              </m:ctrlPr>
            </m:lim>
          </m:limLow>
          <m:r>
            <m:rPr/>
            <w:rPr>
              <w:sz w:val="24"/>
              <w:szCs w:val="24"/>
            </w:rPr>
            <m:t>∥L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∥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∗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+λ∥S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∥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s.t.</m:t>
          </m:r>
          <m:r>
            <m:rPr/>
            <w:rPr>
              <w:sz w:val="24"/>
              <w:szCs w:val="24"/>
            </w:rPr>
            <m:t>L+S=D</m:t>
          </m:r>
        </m:oMath>
      </m:oMathPara>
    </w:p>
    <w:p w14:paraId="2B65F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sz w:val="24"/>
        </w:rPr>
      </w:pPr>
      <w:r>
        <w:rPr>
          <w:sz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</w:rPr>
          <m:t>∥</m:t>
        </m:r>
        <m:r>
          <m:rPr/>
          <w:rPr>
            <w:rFonts w:ascii="Cambria Math" w:hAnsi="Cambria Math"/>
            <w:sz w:val="24"/>
          </w:rPr>
          <m:t>L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∥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∗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表示L的核范数，即L的奇异值之和，</w:t>
      </w:r>
      <m:oMath>
        <m:r>
          <m:rPr>
            <m:sty m:val="p"/>
          </m:rPr>
          <w:rPr>
            <w:rFonts w:ascii="Cambria Math" w:hAnsi="Cambria Math"/>
            <w:sz w:val="24"/>
          </w:rPr>
          <m:t>∥</m:t>
        </m:r>
        <m:r>
          <m:rPr/>
          <w:rPr>
            <w:rFonts w:ascii="Cambria Math" w:hAnsi="Cambria Math"/>
            <w:sz w:val="24"/>
          </w:rPr>
          <m:t>S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∥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表示S的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范数，即S的所有元素的绝对值之和，</w:t>
      </w:r>
      <m:oMath>
        <m:r>
          <m:rPr/>
          <w:rPr>
            <w:rFonts w:ascii="Cambria Math" w:hAnsi="Cambria Math"/>
            <w:sz w:val="24"/>
          </w:rPr>
          <m:t>λ</m:t>
        </m:r>
      </m:oMath>
      <w:r>
        <w:rPr>
          <w:sz w:val="24"/>
        </w:rPr>
        <w:t>是一个正则化参数。</w:t>
      </w:r>
    </w:p>
    <w:p w14:paraId="5EDBA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此优化问题</w:t>
      </w:r>
      <w:r>
        <w:rPr>
          <w:rFonts w:ascii="宋体" w:hAnsi="宋体" w:eastAsia="宋体" w:cs="宋体"/>
          <w:sz w:val="24"/>
          <w:szCs w:val="24"/>
        </w:rPr>
        <w:t>使用交替方向乘子法（ADMM）求解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46109D41">
      <w:pPr>
        <w:tabs>
          <w:tab w:val="left" w:pos="48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①</w:t>
      </w:r>
      <w:r>
        <w:rPr>
          <w:sz w:val="24"/>
        </w:rPr>
        <w:t>初始化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</w:rPr>
          <m:t>=0</m:t>
        </m:r>
      </m:oMath>
      <w:r>
        <w:rPr>
          <w:sz w:val="24"/>
        </w:rPr>
        <w:t>，其中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是拉格朗日乘子矩阵，</w:t>
      </w:r>
      <m:oMath>
        <m:r>
          <m:rPr/>
          <w:rPr>
            <w:rFonts w:ascii="Cambria Math" w:hAnsi="Cambria Math"/>
            <w:sz w:val="24"/>
          </w:rPr>
          <m:t>μ</m:t>
        </m:r>
        <m:r>
          <m:rPr>
            <m:sty m:val="p"/>
          </m:rPr>
          <w:rPr>
            <w:rFonts w:ascii="Cambria Math" w:hAnsi="Cambria Math"/>
            <w:sz w:val="24"/>
          </w:rPr>
          <m:t>&gt;0</m:t>
        </m:r>
      </m:oMath>
      <w:r>
        <w:rPr>
          <w:sz w:val="24"/>
        </w:rPr>
        <w:t>是惩罚参数。</w:t>
      </w:r>
    </w:p>
    <w:p w14:paraId="066DB0A4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②</w:t>
      </w:r>
      <w:r>
        <w:rPr>
          <w:sz w:val="24"/>
        </w:rPr>
        <w:t>迭代更新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，直到收敛或达到最大迭代次数。更新规则如下：</w:t>
      </w:r>
    </w:p>
    <w:p w14:paraId="391E37E1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 固定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，更新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：</w:t>
      </w:r>
    </w:p>
    <w:p w14:paraId="57528456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m:oMath>
        <m:r>
          <m:rPr>
            <m:sty m:val="p"/>
          </m:rPr>
          <w:rPr>
            <w:rFonts w:ascii="Times New Roman" w:hAnsi="Times New Roman"/>
            <w:sz w:val="24"/>
          </w:rPr>
          <m:t xml:space="preserve">                                                   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Times New Roman" w:hAnsi="Times New Roman" w:eastAsia="MS Mincho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</w:rPr>
                </m:ctrlPr>
              </m:den>
            </m:f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(D−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  <w:sz w:val="24"/>
              </w:rPr>
              <m:t>μ</m:t>
            </m:r>
            <m:ctrlPr>
              <w:rPr>
                <w:rFonts w:ascii="Cambria Math" w:hAnsi="Cambria Math"/>
                <w:sz w:val="24"/>
              </w:rPr>
            </m:ctrlPr>
          </m:den>
        </m:f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)</m:t>
        </m:r>
      </m:oMath>
      <w:r>
        <w:rPr>
          <w:sz w:val="24"/>
        </w:rPr>
        <w:t>，</w:t>
      </w:r>
    </w:p>
    <w:p w14:paraId="13ABA9AB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sz w:val="24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Times New Roman" w:hAnsi="Times New Roman" w:eastAsia="MS Mincho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</w:rPr>
                </m:ctrlPr>
              </m:den>
            </m:f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表示奇异值阈值函数，即对输入矩阵进行奇异值分解，然后将奇异值减去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  <w:sz w:val="24"/>
              </w:rPr>
              <m:t>μ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sz w:val="24"/>
        </w:rPr>
        <w:t>并截断为非负值，再重构输出矩阵。</w:t>
      </w:r>
    </w:p>
    <w:p w14:paraId="3B98B11B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2)</w:t>
      </w:r>
      <w:r>
        <w:rPr>
          <w:rFonts w:hint="eastAsia"/>
          <w:sz w:val="24"/>
        </w:rPr>
        <w:t>固定</w:t>
      </w:r>
      <m:oMath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</m:oMath>
      <w:r>
        <w:rPr>
          <w:rFonts w:hint="eastAsia"/>
          <w:sz w:val="24"/>
        </w:rPr>
        <w:t>，更新</w:t>
      </w:r>
      <m:oMath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</m:oMath>
      <w:r>
        <w:rPr>
          <w:rFonts w:hint="eastAsia"/>
          <w:sz w:val="24"/>
        </w:rPr>
        <w:t>：</w:t>
      </w:r>
    </w:p>
    <w:p w14:paraId="6BCF242F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m:oMath>
        <m:r>
          <m:rPr>
            <m:sty m:val="p"/>
          </m:rPr>
          <w:rPr>
            <w:rFonts w:ascii="Times New Roman" w:hAnsi="Times New Roman"/>
            <w:sz w:val="24"/>
          </w:rPr>
          <m:t xml:space="preserve">                                               </m:t>
        </m:r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Times New Roman" w:hAnsi="Times New Roman" w:eastAsia="MS Mincho"/>
                <w:sz w:val="24"/>
              </w:rPr>
              <m:t>S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λ</m:t>
                </m: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den>
            </m:f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(D−</m:t>
        </m:r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  <w:sz w:val="24"/>
              </w:rPr>
              <m:t>1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  <w:sz w:val="24"/>
              </w:rPr>
              <m:t>μ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den>
        </m:f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k−1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)</m:t>
        </m:r>
      </m:oMath>
      <w:r>
        <w:rPr>
          <w:rFonts w:hint="eastAsia"/>
          <w:sz w:val="24"/>
        </w:rPr>
        <w:t>，</w:t>
      </w:r>
    </w:p>
    <w:p w14:paraId="04AC14F1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Times New Roman" w:hAnsi="Times New Roman" w:eastAsia="MS Mincho"/>
                <w:sz w:val="24"/>
              </w:rPr>
              <m:t>S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λ</m:t>
                </m: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</w:rPr>
                  <m:t>μ</m:t>
                </m:r>
                <m:ctrlPr>
                  <w:rPr>
                    <w:rFonts w:ascii="Cambria Math" w:hAnsi="Cambria Math"/>
                    <w:sz w:val="24"/>
                    <w:lang w:eastAsia="en-US"/>
                  </w:rPr>
                </m:ctrlPr>
              </m:den>
            </m:f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</m:oMath>
      <w:r>
        <w:rPr>
          <w:rFonts w:hint="eastAsia"/>
          <w:sz w:val="24"/>
        </w:rPr>
        <w:t>表示软阈值函数，即对输入矩阵的每个元素减去</w:t>
      </w:r>
      <m:oMath>
        <m:f>
          <m:fPr>
            <m:ctrlPr>
              <w:rPr>
                <w:rFonts w:ascii="Cambria Math" w:hAnsi="Cambria Math"/>
                <w:sz w:val="24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/>
                <w:sz w:val="24"/>
              </w:rPr>
              <m:t>λ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num>
          <m:den>
            <m:r>
              <m:rPr>
                <m:sty m:val="p"/>
              </m:rPr>
              <w:rPr>
                <w:rFonts w:ascii="Times New Roman" w:hAnsi="Times New Roman"/>
                <w:sz w:val="24"/>
              </w:rPr>
              <m:t>μ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den>
        </m:f>
      </m:oMath>
      <w:r>
        <w:rPr>
          <w:rFonts w:hint="eastAsia"/>
          <w:sz w:val="24"/>
        </w:rPr>
        <w:t>并截断为非负值或加上并截断为非正值。</w:t>
      </w:r>
    </w:p>
    <w:p w14:paraId="58AC0A63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3)</w:t>
      </w:r>
      <w:r>
        <w:rPr>
          <w:rFonts w:hint="eastAsia"/>
          <w:sz w:val="24"/>
        </w:rPr>
        <w:t>固定</w:t>
      </w:r>
      <m:oMath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L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  <m:r>
          <m:rPr>
            <m:sty m:val="p"/>
          </m:rPr>
          <w:rPr>
            <w:rFonts w:ascii="Times New Roman" w:hAnsi="Times New Roman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S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</m:oMath>
      <w:r>
        <w:rPr>
          <w:rFonts w:hint="eastAsia"/>
          <w:sz w:val="24"/>
        </w:rPr>
        <w:t>，更新</w:t>
      </w:r>
      <m:oMath>
        <m:sSub>
          <m:sSubPr>
            <m:ctrlPr>
              <w:rPr>
                <w:rFonts w:ascii="Cambria Math" w:hAnsi="Cambria Math"/>
                <w:sz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Y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/>
                <w:sz w:val="24"/>
              </w:rPr>
              <m:t>k</m:t>
            </m:r>
            <m:ctrlPr>
              <w:rPr>
                <w:rFonts w:ascii="Cambria Math" w:hAnsi="Cambria Math"/>
                <w:sz w:val="24"/>
                <w:lang w:eastAsia="en-US"/>
              </w:rPr>
            </m:ctrlPr>
          </m:sub>
        </m:sSub>
      </m:oMath>
      <w:r>
        <w:rPr>
          <w:rFonts w:hint="eastAsia"/>
          <w:sz w:val="24"/>
        </w:rPr>
        <w:t>：</w:t>
      </w:r>
    </w:p>
    <w:p w14:paraId="5B175194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k−1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  <w:sz w:val="24"/>
            </w:rPr>
            <m:t>+μ(D−</m:t>
          </m:r>
          <m:sSub>
            <m:sSubP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L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  <w:sz w:val="24"/>
            </w:rPr>
            <m:t>−</m:t>
          </m:r>
          <m:sSub>
            <m:sSubP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  <w:lang w:eastAsia="en-US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  <w:sz w:val="24"/>
            </w:rPr>
            <m:t>)</m:t>
          </m:r>
        </m:oMath>
      </m:oMathPara>
    </w:p>
    <w:p w14:paraId="44B86DAD">
      <w:pPr>
        <w:tabs>
          <w:tab w:val="left" w:pos="48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③</w:t>
      </w:r>
      <w:r>
        <w:rPr>
          <w:sz w:val="24"/>
        </w:rPr>
        <w:t>输出最终的</w:t>
      </w:r>
      <m:oMath>
        <m:r>
          <m:rPr>
            <m:sty m:val="p"/>
          </m:rPr>
          <w:rPr>
            <w:rFonts w:ascii="Times New Roman" w:hAnsi="Times New Roman"/>
            <w:sz w:val="24"/>
          </w:rPr>
          <m:t>L,S</m:t>
        </m:r>
      </m:oMath>
      <w:r>
        <w:rPr>
          <w:sz w:val="24"/>
        </w:rPr>
        <w:t>作为RPCA的结果。</w:t>
      </w:r>
    </w:p>
    <w:p w14:paraId="0D45A099">
      <w:pPr>
        <w:tabs>
          <w:tab w:val="left" w:pos="480"/>
        </w:tabs>
        <w:spacing w:line="300" w:lineRule="auto"/>
        <w:rPr>
          <w:rFonts w:hint="eastAsia"/>
          <w:sz w:val="24"/>
          <w:lang w:val="en-US" w:eastAsia="zh-CN"/>
        </w:rPr>
      </w:pPr>
    </w:p>
    <w:p w14:paraId="633EAEAB">
      <w:pPr>
        <w:tabs>
          <w:tab w:val="left" w:pos="480"/>
        </w:tabs>
        <w:spacing w:line="30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2.3 SVD介绍</w:t>
      </w:r>
    </w:p>
    <w:p w14:paraId="15473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rFonts w:hint="eastAsia"/>
          <w:sz w:val="24"/>
          <w:lang w:val="en-US" w:eastAsia="zh-CN"/>
        </w:rPr>
      </w:pPr>
      <w:r>
        <w:rPr>
          <w:sz w:val="24"/>
        </w:rPr>
        <w:t>奇异值分解（Singular Value Decomposition，SVD）是适用于任意矩阵的矩阵分解方法，不限制矩阵为方阵、对称或正定，是线性代数中最通用、最稳定的分解技术。它能将复杂矩阵拆解为三个结构简单的矩阵，实现数据的降维、压缩、去噪、特征提取，也是PCA的最优数值实现方式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  <w:lang w:val="en-US" w:eastAsia="zh-CN"/>
        </w:rPr>
        <w:t>其数学定义为：</w:t>
      </w:r>
    </w:p>
    <w:p w14:paraId="2F7C699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设矩阵</w:t>
      </w:r>
      <m:oMath>
        <m:r>
          <m:rPr>
            <m:sty m:val="p"/>
          </m:rPr>
          <w:rPr>
            <w:rFonts w:ascii="Times New Roman" w:hAnsi="Times New Roman"/>
            <w:sz w:val="24"/>
          </w:rPr>
          <m:t>A∈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Times New Roman" w:hAnsi="Times New Roman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  <w:sz w:val="24"/>
              </w:rPr>
              <m:t>m×n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为任意实数矩阵，则一定存在分解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：</w:t>
      </w:r>
    </w:p>
    <w:p w14:paraId="5749340E">
      <w:pPr>
        <w:tabs>
          <w:tab w:val="left" w:pos="480"/>
        </w:tabs>
        <w:spacing w:line="300" w:lineRule="auto"/>
        <w:ind w:firstLine="480" w:firstLineChars="200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A=UΣ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</m:oMath>
      </m:oMathPara>
    </w:p>
    <w:p w14:paraId="7767B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sz w:val="24"/>
        </w:rPr>
      </w:pPr>
      <w:r>
        <w:rPr>
          <w:sz w:val="24"/>
          <w:lang w:val="en-US" w:eastAsia="zh-CN"/>
        </w:rPr>
        <w:t>其中：</w:t>
      </w:r>
    </w:p>
    <w:p w14:paraId="7CC58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sz w:val="24"/>
        </w:rPr>
      </w:pPr>
      <w:r>
        <w:rPr>
          <w:sz w:val="24"/>
        </w:rPr>
        <w:t>U</w:t>
      </w:r>
      <w:r>
        <w:rPr>
          <w:rFonts w:hint="eastAsia"/>
          <w:sz w:val="24"/>
          <w:lang w:val="en-US" w:eastAsia="zh-CN"/>
        </w:rPr>
        <w:t xml:space="preserve"> </w:t>
      </w:r>
      <m:oMath>
        <m:r>
          <m:rPr>
            <m:sty m:val="p"/>
          </m:rPr>
          <w:rPr>
            <w:rFonts w:ascii="Times New Roman" w:hAnsi="Times New Roman"/>
            <w:sz w:val="24"/>
          </w:rPr>
          <m:t>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Times New Roman" w:hAnsi="Times New Roman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  <w:sz w:val="24"/>
              </w:rPr>
              <m:t>m×</m:t>
            </m:r>
            <m:r>
              <m:rPr>
                <m:sty m:val="p"/>
              </m:rPr>
              <w:rPr>
                <w:rFonts w:hint="default"/>
                <w:sz w:val="24"/>
                <w:lang w:val="en-US" w:eastAsia="zh-CN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ascii="Times New Roman" w:hAnsi="Times New Roman"/>
          <w:sz w:val="24"/>
        </w:rPr>
        <w:t>：</w:t>
      </w:r>
      <w:r>
        <w:rPr>
          <w:sz w:val="24"/>
        </w:rPr>
        <w:t>左奇异矩阵，正交矩阵（</w:t>
      </w:r>
      <m:oMath>
        <m:sSup>
          <m:sSupPr/>
          <m:e>
            <m:r>
              <m:rPr/>
              <m:t>U</m:t>
            </m:r>
          </m:e>
          <m:sup>
            <m:r>
              <m:rPr/>
              <m:t>T</m:t>
            </m:r>
          </m:sup>
        </m:sSup>
        <m:r>
          <m:rPr/>
          <m:t>U=I</m:t>
        </m:r>
      </m:oMath>
      <w:r>
        <w:rPr>
          <w:sz w:val="24"/>
        </w:rPr>
        <w:t>），列向量为</w:t>
      </w:r>
      <m:oMath>
        <m:r>
          <m:rPr/>
          <w:rPr>
            <w:rFonts w:ascii="Cambria Math" w:hAnsi="Cambria Math" w:eastAsia="Cambria Math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Cambria Math" w:cs="Cambria Math"/>
              </w:rPr>
              <m:t>A</m:t>
            </m:r>
          </m:e>
          <m:sup>
            <m:r>
              <m:rPr/>
              <w:rPr>
                <w:rFonts w:ascii="Cambria Math" w:hAnsi="Cambria Math" w:eastAsia="Cambria Math" w:cs="Cambria Math"/>
              </w:rPr>
              <m:t>T</m:t>
            </m:r>
          </m:sup>
        </m:sSup>
      </m:oMath>
      <w:r>
        <w:rPr>
          <w:sz w:val="24"/>
        </w:rPr>
        <w:t>的单位正交特征向量。</w:t>
      </w:r>
    </w:p>
    <w:p w14:paraId="00CF8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sz w:val="24"/>
        </w:rPr>
      </w:pPr>
      <w:r>
        <w:rPr>
          <w:sz w:val="24"/>
        </w:rPr>
        <w:t>Σ</w:t>
      </w:r>
      <w:r>
        <w:rPr>
          <w:rFonts w:hint="eastAsia"/>
          <w:sz w:val="24"/>
          <w:lang w:val="en-US" w:eastAsia="zh-CN"/>
        </w:rPr>
        <w:t xml:space="preserve"> </w:t>
      </w:r>
      <m:oMath>
        <m:r>
          <m:rPr>
            <m:sty m:val="p"/>
          </m:rPr>
          <w:rPr>
            <w:rFonts w:ascii="Times New Roman" w:hAnsi="Times New Roman"/>
            <w:sz w:val="24"/>
          </w:rPr>
          <m:t>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Times New Roman" w:hAnsi="Times New Roman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  <w:sz w:val="24"/>
              </w:rPr>
              <m:t>m×n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sz w:val="24"/>
        </w:rPr>
        <w:t>：奇异值矩阵，对角矩阵，对角元素 σ1≥σ2≥⋯≥σk≥0称为奇异值。</w:t>
      </w:r>
    </w:p>
    <w:p w14:paraId="6C18A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sz w:val="24"/>
        </w:rPr>
      </w:pP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>
            <m:sty m:val="p"/>
          </m:rPr>
          <w:rPr>
            <w:rFonts w:ascii="Times New Roman" w:hAnsi="Times New Roman"/>
            <w:sz w:val="24"/>
          </w:rPr>
          <m:t>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Times New Roman" w:hAnsi="Times New Roman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/>
                <w:sz w:val="24"/>
                <w:lang w:val="en-US" w:eastAsia="zh-CN"/>
              </w:rPr>
              <m:t>n</m:t>
            </m:r>
            <m:r>
              <m:rPr>
                <m:sty m:val="p"/>
              </m:rPr>
              <w:rPr>
                <w:rFonts w:ascii="Times New Roman" w:hAnsi="Times New Roman"/>
                <w:sz w:val="24"/>
              </w:rPr>
              <m:t>×n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sz w:val="24"/>
        </w:rPr>
        <w:t>：右奇异矩阵，正交矩阵（</w:t>
      </w:r>
      <m:oMath>
        <m:sSup>
          <m:sSupPr/>
          <m:e>
            <m:r>
              <m:rPr/>
              <w:rPr>
                <w:rFonts w:hint="default"/>
                <w:lang w:val="en-US" w:eastAsia="zh-CN"/>
              </w:rPr>
              <m:t>V</m:t>
            </m:r>
          </m:e>
          <m:sup>
            <m:r>
              <m:rPr/>
              <m:t>T</m:t>
            </m:r>
          </m:sup>
        </m:sSup>
        <m:r>
          <m:rPr/>
          <w:rPr>
            <w:rFonts w:hint="default"/>
            <w:lang w:val="en-US" w:eastAsia="zh-CN"/>
          </w:rPr>
          <m:t>V</m:t>
        </m:r>
        <m:r>
          <m:rPr/>
          <m:t>=I</m:t>
        </m:r>
      </m:oMath>
      <w:r>
        <w:rPr>
          <w:sz w:val="24"/>
        </w:rPr>
        <w:t>），列向量为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</w:rPr>
              <m:t>A</m:t>
            </m:r>
          </m:e>
          <m:sup>
            <m:r>
              <m:rPr/>
              <w:rPr>
                <w:rFonts w:ascii="Cambria Math" w:hAnsi="Cambria Math" w:eastAsia="Cambria Math" w:cs="Cambria Math"/>
              </w:rPr>
              <m:t>T</m:t>
            </m:r>
          </m:sup>
        </m:sSup>
        <m:r>
          <m:rPr/>
          <w:rPr>
            <w:rFonts w:ascii="Cambria Math" w:hAnsi="Cambria Math" w:eastAsia="Cambria Math" w:cs="Cambria Math"/>
          </w:rPr>
          <m:t>A</m:t>
        </m:r>
      </m:oMath>
      <w:r>
        <w:rPr>
          <w:sz w:val="24"/>
        </w:rPr>
        <w:t>的单位正交特征向量。</w:t>
      </w:r>
    </w:p>
    <w:p w14:paraId="616A2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其可实现</w:t>
      </w:r>
      <w:r>
        <w:rPr>
          <w:sz w:val="24"/>
        </w:rPr>
        <w:t>数据降维</w:t>
      </w:r>
      <w:r>
        <w:rPr>
          <w:rFonts w:hint="eastAsia"/>
          <w:sz w:val="24"/>
          <w:lang w:eastAsia="zh-CN"/>
        </w:rPr>
        <w:t>（</w:t>
      </w:r>
      <w:r>
        <w:rPr>
          <w:sz w:val="24"/>
        </w:rPr>
        <w:t>用少量主成分表示高维数据，减少冗余与计算量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val="en-US" w:eastAsia="zh-CN"/>
        </w:rPr>
        <w:t>与</w:t>
      </w:r>
      <w:r>
        <w:rPr>
          <w:sz w:val="24"/>
        </w:rPr>
        <w:t>去噪与压缩</w:t>
      </w:r>
      <w:r>
        <w:rPr>
          <w:rFonts w:hint="eastAsia"/>
          <w:sz w:val="24"/>
          <w:lang w:eastAsia="zh-CN"/>
        </w:rPr>
        <w:t>（</w:t>
      </w:r>
      <w:r>
        <w:rPr>
          <w:sz w:val="24"/>
        </w:rPr>
        <w:t>大奇异值对应主体信息，小奇异值对应噪声与细节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  <w:lang w:val="en-US" w:eastAsia="zh-CN"/>
        </w:rPr>
        <w:t>等。</w:t>
      </w:r>
    </w:p>
    <w:p w14:paraId="0D39C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firstLine="420" w:firstLineChars="0"/>
        <w:rPr>
          <w:rFonts w:hint="default" w:eastAsia="宋体"/>
          <w:sz w:val="24"/>
          <w:lang w:val="en-US" w:eastAsia="zh-CN"/>
        </w:rPr>
      </w:pPr>
    </w:p>
    <w:p w14:paraId="4BF1E2C1">
      <w:pPr>
        <w:rPr>
          <w:rFonts w:ascii="宋体" w:hAnsi="宋体"/>
          <w:sz w:val="24"/>
        </w:rPr>
      </w:pPr>
    </w:p>
    <w:p w14:paraId="1994DFA8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实验设置及结果分析（包括</w:t>
      </w:r>
      <w:r>
        <w:rPr>
          <w:rFonts w:ascii="宋体" w:hAnsi="宋体"/>
          <w:b/>
          <w:sz w:val="24"/>
        </w:rPr>
        <w:t>实验数据集</w:t>
      </w:r>
      <w:r>
        <w:rPr>
          <w:rFonts w:hint="eastAsia" w:ascii="宋体" w:hAnsi="宋体"/>
          <w:b/>
          <w:sz w:val="24"/>
        </w:rPr>
        <w:t>）</w:t>
      </w:r>
    </w:p>
    <w:p w14:paraId="7F54E5D4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 PCA与PRCA实现</w:t>
      </w:r>
    </w:p>
    <w:p w14:paraId="13F6549E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3.1.1 数据加载与预处理</w:t>
      </w:r>
    </w:p>
    <w:p w14:paraId="7701DFE3">
      <w:pPr>
        <w:ind w:left="480"/>
      </w:pPr>
      <w:r>
        <w:drawing>
          <wp:inline distT="0" distB="0" distL="114300" distR="114300">
            <wp:extent cx="4547235" cy="1247140"/>
            <wp:effectExtent l="0" t="0" r="571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F0BA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获取经典人脸数据集fetch_olivetti_faces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并划分为训练集与测试集（比例为80%与20%）。</w:t>
      </w:r>
    </w:p>
    <w:p w14:paraId="1EBEB5FD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669925"/>
            <wp:effectExtent l="0" t="0" r="63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103A">
      <w:pPr>
        <w:ind w:left="48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对图片数据（训练集与测试集）添加椒盐噪声（即黑点与白点），涉及参数noise_ratio为添加噪声的比例（此处表示添加20%的噪声）</w:t>
      </w:r>
    </w:p>
    <w:p w14:paraId="3199BCCE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3.1.2 PCA实现</w:t>
      </w:r>
    </w:p>
    <w:p w14:paraId="29E9EB0B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PCA 通过正交变换将高维数据映射到低维，保留最大方差的方向；</w:t>
      </w:r>
    </w:p>
    <w:p w14:paraId="32FA42EA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代码实现步骤：中心化→协方差矩阵→特征值分解→选前 k 个特征向量→降维；</w:t>
      </w:r>
    </w:p>
    <w:p w14:paraId="75DCAEEB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关键属性：components_（主成分）、explained_variance_（各主成分方差）</w:t>
      </w:r>
    </w:p>
    <w:p w14:paraId="1AC11DFE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A9B9232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3.1.3 PRCA实现</w:t>
      </w:r>
    </w:p>
    <w:p w14:paraId="57A82FF2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RPCA 核心思想：PCA 对噪声敏感，RPCA 将数据分解为低秩矩阵 L（人脸的核心特征，天然低秩）和稀疏矩阵 S（椒盐噪声，稀疏）；</w:t>
      </w:r>
    </w:p>
    <w:p w14:paraId="516E3253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求解方法：ADMM（交替方向乘子法），通过迭代更新 L（奇异值阈值）、S（L1 软阈值）、对偶变量 Y；</w:t>
      </w:r>
    </w:p>
    <w:p w14:paraId="3E850F81">
      <w:pPr>
        <w:ind w:left="48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关键输出：L_（去噪后的低秩数据）、S_（分离的噪声）。</w:t>
      </w:r>
    </w:p>
    <w:p w14:paraId="1E0D2212">
      <w:pPr>
        <w:ind w:left="480"/>
      </w:pPr>
      <w:r>
        <w:drawing>
          <wp:inline distT="0" distB="0" distL="114300" distR="114300">
            <wp:extent cx="5263515" cy="4455160"/>
            <wp:effectExtent l="0" t="0" r="381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897B">
      <w:pPr>
        <w:ind w:left="480"/>
      </w:pPr>
    </w:p>
    <w:p w14:paraId="4C07F99C">
      <w:pPr>
        <w:ind w:left="480"/>
      </w:pPr>
    </w:p>
    <w:p w14:paraId="7EB9EDAD">
      <w:pPr>
        <w:ind w:left="480"/>
      </w:pPr>
    </w:p>
    <w:p w14:paraId="69F90FA4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3.1.4 分类对比</w:t>
      </w:r>
    </w:p>
    <w:p w14:paraId="3CF357A4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此处采用knn紧邻分类器，参数设为1（简单直观，减少超参数影响），分类后分别比较</w:t>
      </w:r>
      <w:r>
        <w:rPr>
          <w:rFonts w:ascii="宋体" w:hAnsi="宋体" w:eastAsia="宋体" w:cs="宋体"/>
          <w:sz w:val="24"/>
          <w:szCs w:val="24"/>
        </w:rPr>
        <w:t>含椒盐噪声的原始特征准确率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PCA 特征准确率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RPCA 低秩特征准确率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最终运行结果如下：</w:t>
      </w:r>
    </w:p>
    <w:p w14:paraId="4EC9C090">
      <w:r>
        <w:drawing>
          <wp:inline distT="0" distB="0" distL="114300" distR="114300">
            <wp:extent cx="2617470" cy="2282190"/>
            <wp:effectExtent l="0" t="0" r="1905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6563">
      <w:r>
        <w:drawing>
          <wp:inline distT="0" distB="0" distL="114300" distR="114300">
            <wp:extent cx="5273675" cy="4130040"/>
            <wp:effectExtent l="0" t="0" r="317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580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111250"/>
            <wp:effectExtent l="0" t="0" r="0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6CDE"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AEBDC02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3.2 PCAnet与LRPCA</w:t>
      </w:r>
    </w:p>
    <w:p w14:paraId="68A5B2AB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此部分沿用类似于之前的噪声数据生成方法用于实验</w:t>
      </w:r>
    </w:p>
    <w:p w14:paraId="05BCEED5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3.2.1 PCAnet实现</w:t>
      </w:r>
    </w:p>
    <w:p w14:paraId="6DC25EA0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PCANet是一种无监督特征提取方法，核心是用 PCA 学习卷积滤波器，再通过特征量化、分块直方图生成最终特征。</w:t>
      </w:r>
    </w:p>
    <w:p w14:paraId="14A57E20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主要包括三个核心方法：</w:t>
      </w:r>
    </w:p>
    <w:p w14:paraId="5C117F9A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①_extract_patches：从图像中提取固定大小的局部补丁，中心化后用于 PCA；</w:t>
      </w:r>
    </w:p>
    <w:p w14:paraId="51F7A87A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99055" cy="1617345"/>
            <wp:effectExtent l="0" t="0" r="1270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EC6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②fit：</w:t>
      </w:r>
    </w:p>
    <w:p w14:paraId="0B453611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第一层：对噪声图像的局部补丁做 PCA，取前 L1 个特征向量作为卷积滤波器；用滤波器卷积图像生成第一层特征图；</w:t>
      </w:r>
    </w:p>
    <w:p w14:paraId="0896DB8E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42335" cy="1379855"/>
            <wp:effectExtent l="0" t="0" r="5715" b="127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DF24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第二层：对第一层特征图的局部补丁再做 PCA，取前 L2 个特征向量作为第二层滤波器；</w:t>
      </w:r>
    </w:p>
    <w:p w14:paraId="39E20EC4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81425" cy="2111375"/>
            <wp:effectExtent l="0" t="0" r="0" b="317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45C5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③transform：</w:t>
      </w:r>
    </w:p>
    <w:p w14:paraId="11B42124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用两层滤波器依次卷积图像，生成第二层特征图；</w:t>
      </w:r>
    </w:p>
    <w:p w14:paraId="727DF6E6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58285" cy="2433955"/>
            <wp:effectExtent l="0" t="0" r="8890" b="444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2C3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391DE92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对特征图二值化、按位拼接为整数图；</w:t>
      </w:r>
    </w:p>
    <w:p w14:paraId="3DB23FD3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对整数图分块计算直方图，拼接所有直方图作为最终特征。</w:t>
      </w:r>
    </w:p>
    <w:p w14:paraId="7337E44B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3420745"/>
            <wp:effectExtent l="0" t="0" r="3810" b="825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CB24"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3.2.2 基于Pytorch的LRPCA实现</w:t>
      </w:r>
    </w:p>
    <w:p w14:paraId="42E33AB3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此处对先前的RPCA做了“可学习”改进（基于PyTorch 实现）：</w:t>
      </w:r>
    </w:p>
    <w:p w14:paraId="0C15438A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核心设计：</w:t>
      </w:r>
    </w:p>
    <w:p w14:paraId="04821C4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可学习参数：eta（更新步长）、zeta_decay（噪声阈值衰减系数），通过 sigmoid 约束在 (0,1) 区间；</w:t>
      </w:r>
    </w:p>
    <w:p w14:paraId="152455B6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504825"/>
            <wp:effectExtent l="0" t="0" r="635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F25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具体步骤如下：</w:t>
      </w:r>
    </w:p>
    <w:p w14:paraId="112D7723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①初始化：将噪声图像转置后，初始化稀疏矩阵 S（基于噪声阈值 zeta）、低秩因子 L/R（通过 SVD 截断到指定秩 r）</w:t>
      </w:r>
    </w:p>
    <w:p w14:paraId="688188D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68725" cy="2236470"/>
            <wp:effectExtent l="0" t="0" r="3175" b="190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3DF3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②迭代更新：</w:t>
      </w:r>
    </w:p>
    <w:p w14:paraId="5D487590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更新 S：基于当前阈值 zeta，将残差矩阵中绝对值小于 zeta 的元素置 0（保留稀疏噪声）；</w:t>
      </w:r>
    </w:p>
    <w:p w14:paraId="55715232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062990"/>
            <wp:effectExtent l="0" t="0" r="2540" b="381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E4C7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更新 L/R：通过闭式解迭代优化低秩因子，最小化重建误差；</w:t>
      </w:r>
    </w:p>
    <w:p w14:paraId="58CA3C80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621790"/>
            <wp:effectExtent l="0" t="0" r="4445" b="698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AD3C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③早停：当相对误差变化小于阈值时停止迭代；</w:t>
      </w:r>
    </w:p>
    <w:p w14:paraId="4272F31B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821055"/>
            <wp:effectExtent l="0" t="0" r="3810" b="762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3073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输出：重建低秩矩阵 L（去噪图像）、稀疏矩阵 S（分离的噪声），裁剪到 [0,1] 符合图像特性；</w:t>
      </w:r>
    </w:p>
    <w:p w14:paraId="077FC79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端到端训练：优化可学习参数（eta/zeta_decay），让 LRPCA 自适应学习最优分解策略；</w:t>
      </w:r>
    </w:p>
    <w:p w14:paraId="70761A8B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分类：将 LRPCA 重建的低秩特征输入 KNN，对比 PCANet 的分类准确率。</w:t>
      </w:r>
    </w:p>
    <w:p w14:paraId="5C3EE072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最终运行结果如下：</w:t>
      </w:r>
    </w:p>
    <w:p w14:paraId="2C0AED7A">
      <w:r>
        <w:drawing>
          <wp:inline distT="0" distB="0" distL="114300" distR="114300">
            <wp:extent cx="4512945" cy="3210560"/>
            <wp:effectExtent l="0" t="0" r="1905" b="889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D7CB">
      <w:r>
        <w:drawing>
          <wp:inline distT="0" distB="0" distL="114300" distR="114300">
            <wp:extent cx="3632835" cy="1868170"/>
            <wp:effectExtent l="0" t="0" r="5715" b="825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E6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PCAnet两层滤波器如下：</w:t>
      </w:r>
    </w:p>
    <w:p w14:paraId="02321848">
      <w:r>
        <w:drawing>
          <wp:inline distT="0" distB="0" distL="114300" distR="114300">
            <wp:extent cx="5245100" cy="2981325"/>
            <wp:effectExtent l="0" t="0" r="3175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B36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07360"/>
            <wp:effectExtent l="0" t="0" r="3810" b="254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249D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CF0A9D0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3.3 SVD实现</w:t>
      </w:r>
    </w:p>
    <w:p w14:paraId="115AFF7B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此处直接使用np库中的svd函数将原图像矩阵分解为左奇异矩阵，奇异值，右奇异矩阵。</w:t>
      </w:r>
    </w:p>
    <w:p w14:paraId="59382421">
      <w:pPr>
        <w:ind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09770" cy="341630"/>
            <wp:effectExtent l="0" t="0" r="5080" b="12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4AD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</w:t>
      </w:r>
      <w:r>
        <w:rPr>
          <w:rFonts w:hint="default" w:ascii="宋体" w:hAnsi="宋体" w:cs="宋体"/>
          <w:sz w:val="24"/>
          <w:szCs w:val="24"/>
          <w:lang w:val="en-US" w:eastAsia="zh-CN"/>
        </w:rPr>
        <w:t>不同 k 值下重建图像并计算压缩比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251ACF07">
      <w:pPr>
        <w:ind w:firstLine="420" w:firstLineChars="0"/>
      </w:pPr>
      <w:r>
        <w:drawing>
          <wp:inline distT="0" distB="0" distL="114300" distR="114300">
            <wp:extent cx="5266055" cy="1422400"/>
            <wp:effectExtent l="0" t="0" r="1270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1AA9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最终得到不同压缩比的重建结果如下：</w:t>
      </w:r>
    </w:p>
    <w:p w14:paraId="69B046BA">
      <w:pPr>
        <w:ind w:firstLine="420" w:firstLineChars="0"/>
      </w:pPr>
      <w:r>
        <w:drawing>
          <wp:inline distT="0" distB="0" distL="114300" distR="114300">
            <wp:extent cx="4929505" cy="2952115"/>
            <wp:effectExtent l="0" t="0" r="444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CEB5">
      <w:pPr>
        <w:ind w:firstLine="420" w:firstLineChars="0"/>
      </w:pPr>
      <w:r>
        <w:drawing>
          <wp:inline distT="0" distB="0" distL="114300" distR="114300">
            <wp:extent cx="3546475" cy="2827020"/>
            <wp:effectExtent l="0" t="0" r="6350" b="190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5160">
      <w:pPr>
        <w:ind w:firstLine="420" w:firstLineChars="0"/>
      </w:pPr>
    </w:p>
    <w:p w14:paraId="7A489E78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3.4 SVDnet实现</w:t>
      </w:r>
    </w:p>
    <w:p w14:paraId="126F75E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此处采用</w:t>
      </w:r>
      <w:r>
        <w:rPr>
          <w:rFonts w:ascii="宋体" w:hAnsi="宋体" w:eastAsia="宋体" w:cs="宋体"/>
          <w:sz w:val="24"/>
          <w:szCs w:val="24"/>
        </w:rPr>
        <w:t>CIFAR-10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，对该数据集归一化并用40%数据加速训练。</w:t>
      </w:r>
    </w:p>
    <w:p w14:paraId="4D0154C7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3.4.1 BaselineCNN搭建（对照实验）</w:t>
      </w:r>
    </w:p>
    <w:p w14:paraId="7EE7A34A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采用两层卷积 + 批归一化 + 池化，包含两层全连接层，没有任何正交约束。</w:t>
      </w:r>
    </w:p>
    <w:p w14:paraId="1A5E966A">
      <w:pPr>
        <w:ind w:firstLine="420" w:firstLineChars="0"/>
      </w:pPr>
      <w:r>
        <w:drawing>
          <wp:inline distT="0" distB="0" distL="114300" distR="114300">
            <wp:extent cx="4218940" cy="2736215"/>
            <wp:effectExtent l="0" t="0" r="635" b="698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5377"/>
    <w:p w14:paraId="4D723D71">
      <w:pPr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3.4.2 SVDnet搭建</w:t>
      </w:r>
    </w:p>
    <w:p w14:paraId="26444603">
      <w:pPr>
        <w:ind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SVDnet主要将CNN中间全连接层改成eigen特征层，</w:t>
      </w:r>
      <w:r>
        <w:rPr>
          <w:rFonts w:ascii="宋体" w:hAnsi="宋体" w:eastAsia="宋体" w:cs="宋体"/>
          <w:sz w:val="24"/>
          <w:szCs w:val="24"/>
        </w:rPr>
        <w:t>对 eigen 层权重做SVD 正交化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021A6647">
      <w:pPr>
        <w:ind w:firstLine="420" w:firstLineChars="0"/>
      </w:pPr>
      <w:r>
        <w:drawing>
          <wp:inline distT="0" distB="0" distL="114300" distR="114300">
            <wp:extent cx="2823210" cy="1115695"/>
            <wp:effectExtent l="0" t="0" r="5715" b="825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3671">
      <w:pPr>
        <w:ind w:firstLine="420" w:firstLineChars="0"/>
      </w:pPr>
    </w:p>
    <w:p w14:paraId="22BD684B">
      <w:pPr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3.4.3 训练方法</w:t>
      </w:r>
    </w:p>
    <w:p w14:paraId="6B294A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①CNN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使用Adam优化器，交叉熵损失函数，共训练12轮（3个阶段，每阶段4轮），每2轮输出一次测试准确率，记录训练过程中的测试准确率变化。</w:t>
      </w:r>
    </w:p>
    <w:p w14:paraId="66A1885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②SVDnet主要分为三个阶段进行训练：</w:t>
      </w:r>
    </w:p>
    <w:p w14:paraId="2EE019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阶段0：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冻结eigen层，仅训练其他参数，训练4轮，记录每轮测试准确率和正交性指标。</w:t>
      </w:r>
    </w:p>
    <w:p w14:paraId="1C2ED2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SVD正交化：提取eigen层权重，进行奇异值分解，将正交化后的权重重新赋值给eigen层，计算正交化后的正交性指标。</w:t>
      </w:r>
    </w:p>
    <w:p w14:paraId="1DEC7E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阶段1（约束训练）：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继续冻结eigen层，学习率减半（5e-4），训练4轮，维持正交性的同时微调模型参数。</w:t>
      </w:r>
    </w:p>
    <w:p w14:paraId="564A76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阶段2（放松训练）：放开所有参数训练，学习率调整为2e-4，训练4轮，在保持高正交性的基础上提升模型精度，记录每轮测试准确率和正交性指标。</w:t>
      </w:r>
    </w:p>
    <w:p w14:paraId="62E0E54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最终运行结果如下：</w:t>
      </w:r>
    </w:p>
    <w:p w14:paraId="2351954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099435" cy="4410075"/>
            <wp:effectExtent l="0" t="0" r="5715" b="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6D6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513705" cy="3157855"/>
            <wp:effectExtent l="0" t="0" r="1270" b="444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0A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由于使用轻薄本，参数设计存在些微限制导致结论可能存在偏差，请谅解</w:t>
      </w:r>
      <w:r>
        <w:rPr>
          <w:rFonts w:hint="eastAsia"/>
          <w:lang w:eastAsia="zh-CN"/>
        </w:rPr>
        <w:t>）</w:t>
      </w:r>
    </w:p>
    <w:p w14:paraId="3BEB0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2CE867"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DF6FAA2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结论</w:t>
      </w:r>
    </w:p>
    <w:p w14:paraId="11413BC0">
      <w:p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本实验围绕PCA、RPCA、SVD及其神经网络扩展方法（PCANet、LRPCA、SVDNet），以 Olivetti 人脸数据集与 CIFAR</w:t>
      </w:r>
      <w:r>
        <w:rPr>
          <w:rFonts w:hint="eastAsia" w:ascii="宋体" w:hAnsi="宋体" w:cs="宋体"/>
          <w:sz w:val="24"/>
          <w:szCs w:val="24"/>
          <w:lang w:val="en-US" w:eastAsia="zh-CN"/>
        </w:rPr>
        <w:noBreakHyphen/>
      </w:r>
      <w:r>
        <w:rPr>
          <w:rFonts w:hint="eastAsia" w:ascii="宋体" w:hAnsi="宋体" w:cs="宋体"/>
          <w:sz w:val="24"/>
          <w:szCs w:val="24"/>
          <w:lang w:val="en-US" w:eastAsia="zh-CN"/>
        </w:rPr>
        <w:t>10 数据集为载体，完成算法实现，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并研读最新前沿论文，形成如下结论： </w:t>
      </w:r>
    </w:p>
    <w:p w14:paraId="40BA40E3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（1）PCA受椒盐噪声干扰严重，降维后分类准确率由0.8250大幅降至0.4750，而RPCA通过低秩与稀疏分解有效分离噪声，展现出了对于椒盐噪声显著的鲁棒性优势，准确率达到0.8625，可视化结果进一步证实 RPCA 重建图像成功恢复了人脸结构，稀疏分量准确捕捉了离散噪点。 </w:t>
      </w:r>
    </w:p>
    <w:p w14:paraId="4D6933B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（2）PCANet 在强噪声干扰下特征提取能力显著下降，性能出现明显退化；可学习 LRPCA 则展现出良好的去噪效果。PCANet 直接基于含噪图像学习 PCA 卷积滤波器，其二值化编码方式对噪声较为敏感，最终仅取得0.4000的分类准确率。可学习 LRPCA 借助监督训练实现迭代参数的自适应优化，分类准确率提升至0.7875，尽管略低于传统 RPCA，但其端到端可训练的架构，为深度网络场景下的鲁棒特征学习提供了切实可行的技术路径。</w:t>
      </w:r>
    </w:p>
    <w:p w14:paraId="4A2FF5A0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（3）SVD 图像压缩实验直观验证了奇异值的能量高度集中特性。Olivetti 人脸数据的实验结果表明，仅取前20个奇异值即可保留图像的主要结构信息；在秩 k=20 时可实现约1.6倍压缩比，重建效果与原图高度接近。同时，奇异值衰减曲线呈现快速指数下降趋势，为频域图像压缩标准提供了坚实的理论依据。</w:t>
      </w:r>
    </w:p>
    <w:p w14:paraId="7EA0BD7F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（4）（由于轻薄本性能限制引起的参数限制，此处结论与理想略有差异）在 CIFAR-10 数据集上，采用SVD正交化特征层的SVDNet模型测试准确率为65.68%，低于普通基线CNN的 69.01%。SVD 正交化操作成功执行，但受限于权重矩阵规模与正交性评价指标，模型特征层正交性提升不显著。移除特征层非线性激活函数后，模型表达能力下降，是导致 SVDNet 精度降低的主要原因。在轻量级 CNN 结构与小规模训练数据条件下，SVD正交约束未带来性能增益。</w:t>
      </w:r>
    </w:p>
    <w:p w14:paraId="26F9D35F">
      <w:pPr>
        <w:pStyle w:val="12"/>
        <w:ind w:left="0" w:leftChars="0" w:firstLine="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  <w:lang w:eastAsia="zh-CN"/>
        </w:rPr>
        <w:t>）</w:t>
      </w:r>
      <w:r>
        <w:rPr>
          <w:rFonts w:hint="eastAsia" w:ascii="宋体" w:hAnsi="宋体"/>
          <w:sz w:val="24"/>
          <w:lang w:val="en-US" w:eastAsia="zh-CN"/>
        </w:rPr>
        <w:t>相关论文有介绍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加速去中心化 PCA（ADePM）—— 面向多节点分布式网络（无中心服务器），仅通过邻居通信计算全局协方差矩阵的前k主成分，首次实现可证明加速收敛，通信成本与非加速方法相当，适合联邦学习、隐私计算、分布式传感网等场景。</w:t>
      </w:r>
    </w:p>
    <w:p w14:paraId="529DA6D3">
      <w:pPr>
        <w:pStyle w:val="12"/>
        <w:ind w:left="0" w:leftChars="0" w:firstLine="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8BA3771">
      <w:pPr>
        <w:pStyle w:val="12"/>
        <w:ind w:left="0" w:leftChars="0" w:firstLine="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（学生在此实验期间一直准备一个十分重要的比赛，所以成品效果可能不高，还请</w:t>
      </w:r>
      <w:bookmarkStart w:id="0" w:name="_GoBack"/>
      <w:bookmarkEnd w:id="0"/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老师谅解）</w:t>
      </w:r>
    </w:p>
    <w:p w14:paraId="592EB808">
      <w:pPr>
        <w:ind w:left="480"/>
        <w:rPr>
          <w:rFonts w:ascii="宋体" w:hAnsi="宋体"/>
          <w:sz w:val="24"/>
        </w:rPr>
      </w:pPr>
    </w:p>
    <w:p w14:paraId="7056E08C">
      <w:pPr>
        <w:numPr>
          <w:ilvl w:val="0"/>
          <w:numId w:val="1"/>
        </w:num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参考文献</w:t>
      </w:r>
    </w:p>
    <w:p w14:paraId="2FFC8AF0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"https://github.com/topics/principal-component-analysis-pca"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Fonts w:hint="eastAsia"/>
          <w:b w:val="0"/>
          <w:bCs w:val="0"/>
          <w:lang w:val="en-US" w:eastAsia="zh-CN"/>
        </w:rPr>
        <w:t>https://github.com/topics/principal-component-analysis-pca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069108FB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https://github.com/dlaptev/RobustPCA </w:t>
      </w:r>
    </w:p>
    <w:p w14:paraId="48B93B41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Zhengxia Zou and Zhenwei Shi,  Ship Detection in Spaceborne Optical Image With SVD Networks， IEEE TRANSACTIONSONGEOSCIENCEANDREMOTESENSING, 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VOL.54,NO.10,OCTOBER2016</w:t>
      </w:r>
    </w:p>
    <w:p w14:paraId="1FD4BEB5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Yifan Sun, Liang Zheng, Weijian Deng, Shengjin Wang. SVDNet for Pedestrian Retrieval,ICCV 2017</w:t>
      </w:r>
    </w:p>
    <w:p w14:paraId="73F09405"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Aguié P, Even M, Massoulié L. Improved Analysis of the Accelerated Noisy Power Method with Applications to Decentralized PCA[J/OL]. arXiv preprint arXiv:2602.03682, 2026.</w:t>
      </w:r>
    </w:p>
    <w:p w14:paraId="1A7A3097">
      <w:pPr>
        <w:widowControl w:val="0"/>
        <w:numPr>
          <w:numId w:val="0"/>
        </w:numPr>
        <w:jc w:val="both"/>
        <w:rPr>
          <w:rFonts w:hint="eastAsia" w:ascii="宋体" w:hAnsi="宋体"/>
          <w:b/>
          <w:sz w:val="24"/>
          <w:lang w:val="en-US" w:eastAsia="zh-CN"/>
        </w:rPr>
      </w:pPr>
    </w:p>
    <w:p w14:paraId="2FBEC0BB">
      <w:pPr>
        <w:numPr>
          <w:numId w:val="0"/>
        </w:numPr>
        <w:ind w:leftChars="0"/>
        <w:rPr>
          <w:rFonts w:hint="default" w:ascii="宋体" w:hAnsi="宋体" w:eastAsia="宋体"/>
          <w:b/>
          <w:sz w:val="24"/>
          <w:lang w:val="en-US" w:eastAsia="zh-CN"/>
        </w:rPr>
      </w:pPr>
    </w:p>
    <w:p w14:paraId="4FF14C4D">
      <w:pPr>
        <w:ind w:left="480"/>
        <w:rPr>
          <w:rFonts w:ascii="宋体" w:hAnsi="宋体"/>
          <w:sz w:val="24"/>
        </w:rPr>
      </w:pPr>
    </w:p>
    <w:p w14:paraId="7709001C">
      <w:pPr>
        <w:ind w:left="480"/>
        <w:rPr>
          <w:rFonts w:ascii="宋体" w:hAnsi="宋体"/>
          <w:b/>
          <w:bCs/>
          <w:color w:val="FF0000"/>
          <w:sz w:val="24"/>
        </w:rPr>
      </w:pPr>
      <w:r>
        <w:rPr>
          <w:rFonts w:hint="eastAsia" w:ascii="宋体" w:hAnsi="宋体"/>
          <w:b/>
          <w:bCs/>
          <w:color w:val="FF0000"/>
          <w:sz w:val="24"/>
        </w:rPr>
        <w:t>（请将报告和源代码打包发给助教存档-教务处检查）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04AAC"/>
    <w:multiLevelType w:val="multilevel"/>
    <w:tmpl w:val="54A04AAC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4ECC7CB"/>
    <w:multiLevelType w:val="singleLevel"/>
    <w:tmpl w:val="54ECC7CB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7D6"/>
    <w:rsid w:val="00052045"/>
    <w:rsid w:val="000817D6"/>
    <w:rsid w:val="000850B2"/>
    <w:rsid w:val="000D035C"/>
    <w:rsid w:val="000E243B"/>
    <w:rsid w:val="00145DB0"/>
    <w:rsid w:val="0015688F"/>
    <w:rsid w:val="0017589A"/>
    <w:rsid w:val="001A7E1B"/>
    <w:rsid w:val="001F10FF"/>
    <w:rsid w:val="00204995"/>
    <w:rsid w:val="0026041F"/>
    <w:rsid w:val="00264B7B"/>
    <w:rsid w:val="002E66DB"/>
    <w:rsid w:val="002E6AD8"/>
    <w:rsid w:val="002E6FF2"/>
    <w:rsid w:val="003104E4"/>
    <w:rsid w:val="003E4AEE"/>
    <w:rsid w:val="00411023"/>
    <w:rsid w:val="004159F3"/>
    <w:rsid w:val="00416146"/>
    <w:rsid w:val="0044678D"/>
    <w:rsid w:val="00453C26"/>
    <w:rsid w:val="004A499E"/>
    <w:rsid w:val="00506CCE"/>
    <w:rsid w:val="00511D60"/>
    <w:rsid w:val="00517FF1"/>
    <w:rsid w:val="005E4293"/>
    <w:rsid w:val="005F4939"/>
    <w:rsid w:val="0061448B"/>
    <w:rsid w:val="0062794C"/>
    <w:rsid w:val="006D4D53"/>
    <w:rsid w:val="0070185A"/>
    <w:rsid w:val="007140A3"/>
    <w:rsid w:val="00716A72"/>
    <w:rsid w:val="00744820"/>
    <w:rsid w:val="0078061E"/>
    <w:rsid w:val="007B1F67"/>
    <w:rsid w:val="007F4C24"/>
    <w:rsid w:val="008024F3"/>
    <w:rsid w:val="00821C10"/>
    <w:rsid w:val="008221D1"/>
    <w:rsid w:val="008303A6"/>
    <w:rsid w:val="00842951"/>
    <w:rsid w:val="0085468B"/>
    <w:rsid w:val="0085773E"/>
    <w:rsid w:val="00862A90"/>
    <w:rsid w:val="008B1ED5"/>
    <w:rsid w:val="008E3B06"/>
    <w:rsid w:val="00923484"/>
    <w:rsid w:val="00941E77"/>
    <w:rsid w:val="009B24DA"/>
    <w:rsid w:val="009F4638"/>
    <w:rsid w:val="00A1297A"/>
    <w:rsid w:val="00A21004"/>
    <w:rsid w:val="00A9171C"/>
    <w:rsid w:val="00AE3E6E"/>
    <w:rsid w:val="00B0589F"/>
    <w:rsid w:val="00B12405"/>
    <w:rsid w:val="00B552CE"/>
    <w:rsid w:val="00B76EA8"/>
    <w:rsid w:val="00BA1B60"/>
    <w:rsid w:val="00BC1842"/>
    <w:rsid w:val="00BE23B1"/>
    <w:rsid w:val="00BF787F"/>
    <w:rsid w:val="00C704E5"/>
    <w:rsid w:val="00C720B1"/>
    <w:rsid w:val="00C85692"/>
    <w:rsid w:val="00CC4193"/>
    <w:rsid w:val="00CD312F"/>
    <w:rsid w:val="00CD3B76"/>
    <w:rsid w:val="00CD61A3"/>
    <w:rsid w:val="00CE6BB0"/>
    <w:rsid w:val="00D0207E"/>
    <w:rsid w:val="00D31C76"/>
    <w:rsid w:val="00D70A82"/>
    <w:rsid w:val="00D90A4C"/>
    <w:rsid w:val="00E02F68"/>
    <w:rsid w:val="00E54FD5"/>
    <w:rsid w:val="00E841C8"/>
    <w:rsid w:val="00E91820"/>
    <w:rsid w:val="00E918E6"/>
    <w:rsid w:val="00EA2EFB"/>
    <w:rsid w:val="00EC0902"/>
    <w:rsid w:val="00EC42E9"/>
    <w:rsid w:val="00EF150C"/>
    <w:rsid w:val="00EF3CFE"/>
    <w:rsid w:val="00F031CE"/>
    <w:rsid w:val="00F1020E"/>
    <w:rsid w:val="00F40FB1"/>
    <w:rsid w:val="00FC593E"/>
    <w:rsid w:val="02E62FD5"/>
    <w:rsid w:val="077130AA"/>
    <w:rsid w:val="07856220"/>
    <w:rsid w:val="07C02047"/>
    <w:rsid w:val="090C71B7"/>
    <w:rsid w:val="0A773085"/>
    <w:rsid w:val="0ADC5661"/>
    <w:rsid w:val="0C2B79D4"/>
    <w:rsid w:val="0CE70F08"/>
    <w:rsid w:val="0E2C134F"/>
    <w:rsid w:val="0EC75A69"/>
    <w:rsid w:val="0FE1702F"/>
    <w:rsid w:val="13E56991"/>
    <w:rsid w:val="14696968"/>
    <w:rsid w:val="19E16AEF"/>
    <w:rsid w:val="1A7A6085"/>
    <w:rsid w:val="1D735111"/>
    <w:rsid w:val="2012191F"/>
    <w:rsid w:val="2068689C"/>
    <w:rsid w:val="227A0ED4"/>
    <w:rsid w:val="24265D52"/>
    <w:rsid w:val="25065971"/>
    <w:rsid w:val="251253E7"/>
    <w:rsid w:val="29184EA3"/>
    <w:rsid w:val="29E66104"/>
    <w:rsid w:val="2AB72193"/>
    <w:rsid w:val="2B36415E"/>
    <w:rsid w:val="2D0F40E5"/>
    <w:rsid w:val="2DAB5F3C"/>
    <w:rsid w:val="33B65276"/>
    <w:rsid w:val="33F716CB"/>
    <w:rsid w:val="39EF34C5"/>
    <w:rsid w:val="3BE96E3F"/>
    <w:rsid w:val="3C571E1A"/>
    <w:rsid w:val="3EAD617A"/>
    <w:rsid w:val="3F887EB7"/>
    <w:rsid w:val="406A2CAD"/>
    <w:rsid w:val="471C6E39"/>
    <w:rsid w:val="4A302BA5"/>
    <w:rsid w:val="4A6D0E1C"/>
    <w:rsid w:val="4F6F62E8"/>
    <w:rsid w:val="519F7A70"/>
    <w:rsid w:val="55A40461"/>
    <w:rsid w:val="55F11F28"/>
    <w:rsid w:val="58633B93"/>
    <w:rsid w:val="5CF42D8C"/>
    <w:rsid w:val="5F4C7FF7"/>
    <w:rsid w:val="60A242F2"/>
    <w:rsid w:val="61C5788E"/>
    <w:rsid w:val="675400AC"/>
    <w:rsid w:val="688D6550"/>
    <w:rsid w:val="68E258BF"/>
    <w:rsid w:val="6ABC68F8"/>
    <w:rsid w:val="7DE71EDA"/>
    <w:rsid w:val="7E2D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9">
    <w:name w:val="0"/>
    <w:basedOn w:val="1"/>
    <w:qFormat/>
    <w:uiPriority w:val="0"/>
    <w:pPr>
      <w:widowControl/>
    </w:pPr>
    <w:rPr>
      <w:kern w:val="0"/>
      <w:szCs w:val="21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HIT</Company>
  <Pages>15</Pages>
  <Words>2626</Words>
  <Characters>3199</Characters>
  <Lines>3</Lines>
  <Paragraphs>1</Paragraphs>
  <TotalTime>0</TotalTime>
  <ScaleCrop>false</ScaleCrop>
  <LinksUpToDate>false</LinksUpToDate>
  <CharactersWithSpaces>3638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2015-04-18T00:16:00Z</dcterms:created>
  <dc:creator>微软用户</dc:creator>
  <cp:lastModifiedBy>WPS_1726226331</cp:lastModifiedBy>
  <dcterms:modified xsi:type="dcterms:W3CDTF">2026-04-19T13:50:02Z</dcterms:modified>
  <dc:title> 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F305A0BA284A45E8B546C4C77D66B369_13</vt:lpwstr>
  </property>
  <property fmtid="{D5CDD505-2E9C-101B-9397-08002B2CF9AE}" pid="4" name="KSOTemplateDocerSaveRecord">
    <vt:lpwstr>eyJoZGlkIjoiMzEwNTM5NzYwMDRjMzkwZTVkZjY2ODkwMGIxNGU0OTUiLCJ1c2VySWQiOiIxNjM1NjI0MDYzIn0=</vt:lpwstr>
  </property>
</Properties>
</file>