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Campus Universitaire, B.P. 242, 14000 Kenitra, Morocco</w:t>
      </w:r>
    </w:p>
    <w:p>
      <w:pPr>
        <w:pStyle w:val="BodyText"/>
      </w:pPr>
      <w:r>
        <w:rPr>
          <w:vertAlign w:val="superscript"/>
        </w:rPr>
        <w:t xml:space="preserve">b</w:t>
      </w:r>
      <w:r>
        <w:t xml:space="preserve">Laboratory of Advanced Systems Engineering, National School of Applied Engineering, Ibn Tofail University, Campus Universitaire, B.P. 241, 14000 Kenitra, Morocco</w:t>
      </w:r>
    </w:p>
    <w:p>
      <w:pPr>
        <w:pStyle w:val="BodyText"/>
      </w:pPr>
      <w:r>
        <w:rPr>
          <w:vertAlign w:val="superscript"/>
        </w:rPr>
        <w:t xml:space="preserve">*</w:t>
      </w:r>
      <w:r>
        <w:t xml:space="preserve">Corresponding author: youssef.natij@uit.ac.ma</w:t>
      </w:r>
    </w:p>
    <w:p>
      <w:pPr>
        <w:pStyle w:val="BodyText"/>
      </w:pPr>
      <w:r>
        <w:t xml:space="preserve">E-mail addresses: youssef.natij@uit.ac.ma (Y. Natij), hajar.elkarch@uit.ac.ma (H. El Karch), abdelkader.mezouari1@uit.ac.ma (A. Mezouari)</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Four-farm emulation on the devices: 5.4</w:t>
      </w:r>
      <m:oMath>
        <m:r>
          <m:rPr>
            <m:sty m:val="p"/>
          </m:rPr>
          <m:t>×</m:t>
        </m:r>
      </m:oMath>
      <w:r>
        <w:t xml:space="preserve"> </w:t>
      </w:r>
      <w:r>
        <w:t xml:space="preserve">less uplink, 8</w:t>
      </w:r>
      <m:oMath>
        <m:r>
          <m:rPr>
            <m:sty m:val="p"/>
          </m:rPr>
          <m:t>×</m:t>
        </m:r>
      </m:oMath>
      <w:r>
        <w:t xml:space="preserve"> </w:t>
      </w:r>
      <w:r>
        <w:t xml:space="preserve">with a distilled edge</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 three-backbone foundation-model ensemble only when its two most probable classes are closer than a validation-calibrated threshold. The rule escalates 18.6 % of test images and retains 94.6 % of always-cloud accuracy,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deploy the system on a Raspberry Pi 5 and an end-of-life 4 GB Jetson Nano, porting the ensemble to framework-free, chunk-by-chunk TensorRT inference. In an emulated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same edge model, at no cost on the device, raises the measured saving to 8.0</w:t>
      </w:r>
      <m:oMath>
        <m:r>
          <m:rPr>
            <m:sty m:val="p"/>
          </m:rPr>
          <m:t>×</m:t>
        </m:r>
      </m:oMath>
      <w:r>
        <w:t xml:space="preserve"> </w:t>
      </w:r>
      <w:r>
        <w:t xml:space="preserve">and cuts device energy per diagnosis by a third. Selective escalation thus brings foundation-model accuracy to rural links on commodity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1</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2</w:t>
        </w:r>
      </w:hyperlink>
      <w:r>
        <w:t xml:space="preserve">–</w:t>
      </w:r>
      <w:hyperlink w:anchor="ref-ferentinos2018deep">
        <w:r>
          <w:rPr>
            <w:rStyle w:val="Hyperlink"/>
          </w:rPr>
          <w:t xml:space="preserve">4</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6</w:t>
        </w:r>
      </w:hyperlink>
      <w:r>
        <w:t xml:space="preserve">–</w:t>
      </w:r>
      <w:hyperlink w:anchor="ref-wu2023fromlaboratoryto">
        <w:r>
          <w:rPr>
            <w:rStyle w:val="Hyperlink"/>
          </w:rPr>
          <w:t xml:space="preserve">9</w:t>
        </w:r>
      </w:hyperlink>
      <w:r>
        <w:t xml:space="preserve">]</w:t>
      </w:r>
      <w:r>
        <w:t xml:space="preserve">. The PlantWild benchmark</w:t>
      </w:r>
      <w:r>
        <w:t xml:space="preserve"> </w:t>
      </w:r>
      <w:r>
        <w:t xml:space="preserve">[</w:t>
      </w:r>
      <w:hyperlink w:anchor="ref-wei2024plantwild">
        <w:r>
          <w:rPr>
            <w:rStyle w:val="Hyperlink"/>
          </w:rPr>
          <w:t xml:space="preserve">10</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11</w:t>
        </w:r>
      </w:hyperlink>
      <w:r>
        <w:t xml:space="preserve">–</w:t>
      </w:r>
      <w:hyperlink w:anchor="ref-radford2021clip">
        <w:r>
          <w:rPr>
            <w:rStyle w:val="Hyperlink"/>
          </w:rPr>
          <w:t xml:space="preserve">13</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6backbone">
        <w:r>
          <w:rPr>
            <w:rStyle w:val="Hyperlink"/>
          </w:rPr>
          <w:t xml:space="preserve">14</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15</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16</w:t>
        </w:r>
      </w:hyperlink>
      <w:r>
        <w:t xml:space="preserve">,</w:t>
      </w:r>
      <w:hyperlink w:anchor="ref-ogrady2019edge">
        <w:r>
          <w:rPr>
            <w:rStyle w:val="Hyperlink"/>
          </w:rPr>
          <w:t xml:space="preserve">17</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18</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19</w:t>
        </w:r>
      </w:hyperlink>
      <w:r>
        <w:t xml:space="preserve">]</w:t>
      </w:r>
      <w:r>
        <w:t xml:space="preserve">, the reject option</w:t>
      </w:r>
      <w:r>
        <w:t xml:space="preserve"> </w:t>
      </w:r>
      <w:r>
        <w:t xml:space="preserve">[</w:t>
      </w:r>
      <w:hyperlink w:anchor="ref-chow1970reject">
        <w:r>
          <w:rPr>
            <w:rStyle w:val="Hyperlink"/>
          </w:rPr>
          <w:t xml:space="preserve">20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21</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20.3 %), and distilling the ensemble into the same edge model — once, before deployment, with no change on the device — raises the uplink saving measured on the devices from 5.4- to 8.0-fold, and from 5.4- to 7.0-fold at equal accuracy,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play back a seven-day capture schedule on the real devices, yielding measured per-image latency, per-farm upload volume, cloud load and device energy, for the original and the distilled edge model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3</w:t>
        </w:r>
      </w:hyperlink>
      <w:r>
        <w:t xml:space="preserve">,</w:t>
      </w:r>
      <w:hyperlink w:anchor="ref-ferentinos2018deep">
        <w:r>
          <w:rPr>
            <w:rStyle w:val="Hyperlink"/>
          </w:rPr>
          <w:t xml:space="preserve">4</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6</w:t>
        </w:r>
      </w:hyperlink>
      <w:r>
        <w:t xml:space="preserve">–</w:t>
      </w:r>
      <w:hyperlink w:anchor="ref-ahmad2023toward">
        <w:r>
          <w:rPr>
            <w:rStyle w:val="Hyperlink"/>
          </w:rPr>
          <w:t xml:space="preserve">8</w:t>
        </w:r>
      </w:hyperlink>
      <w:r>
        <w:t xml:space="preserve">]</w:t>
      </w:r>
      <w:r>
        <w:t xml:space="preserve">. Field-oriented datasets such as PlantDoc</w:t>
      </w:r>
      <w:r>
        <w:t xml:space="preserve"> </w:t>
      </w:r>
      <w:r>
        <w:t xml:space="preserve">[</w:t>
      </w:r>
      <w:hyperlink w:anchor="ref-singh2020plantdoc">
        <w:r>
          <w:rPr>
            <w:rStyle w:val="Hyperlink"/>
          </w:rPr>
          <w:t xml:space="preserve">22</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10</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23</w:t>
        </w:r>
      </w:hyperlink>
      <w:r>
        <w:t xml:space="preserve">]</w:t>
      </w:r>
      <w:r>
        <w:t xml:space="preserve">. Recent work combines foundation backbones</w:t>
      </w:r>
      <w:r>
        <w:t xml:space="preserve"> </w:t>
      </w:r>
      <w:r>
        <w:t xml:space="preserve">[</w:t>
      </w:r>
      <w:hyperlink w:anchor="ref-jiang2025plantcafo">
        <w:r>
          <w:rPr>
            <w:rStyle w:val="Hyperlink"/>
          </w:rPr>
          <w:t xml:space="preserve">24</w:t>
        </w:r>
      </w:hyperlink>
      <w:r>
        <w:t xml:space="preserve">,</w:t>
      </w:r>
      <w:hyperlink w:anchor="ref-salman2025plantdisease">
        <w:r>
          <w:rPr>
            <w:rStyle w:val="Hyperlink"/>
          </w:rPr>
          <w:t xml:space="preserve">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26</w:t>
        </w:r>
      </w:hyperlink>
      <w:r>
        <w:t xml:space="preserve">]</w:t>
      </w:r>
      <w:r>
        <w:t xml:space="preserve">. Our cloud model is the three-backbone QualityGate fusion of El Karch et al. </w:t>
      </w:r>
      <w:r>
        <w:t xml:space="preserve">[</w:t>
      </w:r>
      <w:hyperlink w:anchor="ref-elkarch2026backbone">
        <w:r>
          <w:rPr>
            <w:rStyle w:val="Hyperlink"/>
          </w:rPr>
          <w:t xml:space="preserve">14</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27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21</w:t>
        </w:r>
      </w:hyperlink>
      <w:r>
        <w:t xml:space="preserve">,</w:t>
      </w:r>
      <w:hyperlink w:anchor="ref-teerapittayanon2017ddnn">
        <w:r>
          <w:rPr>
            <w:rStyle w:val="Hyperlink"/>
          </w:rPr>
          <w:t xml:space="preserve">28</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29</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20</w:t>
        </w:r>
      </w:hyperlink>
      <w:r>
        <w:t xml:space="preserve">,</w:t>
      </w:r>
      <w:hyperlink w:anchor="ref-geifman2017selective">
        <w:r>
          <w:rPr>
            <w:rStyle w:val="Hyperlink"/>
          </w:rPr>
          <w:t xml:space="preserve">30</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31</w:t>
        </w:r>
      </w:hyperlink>
      <w:r>
        <w:t xml:space="preserve">]</w:t>
      </w:r>
      <w:r>
        <w:t xml:space="preserve">, although modern networks are miscalibrated</w:t>
      </w:r>
      <w:r>
        <w:t xml:space="preserve"> </w:t>
      </w:r>
      <w:r>
        <w:t xml:space="preserve">[</w:t>
      </w:r>
      <w:hyperlink w:anchor="ref-guo2017calibration">
        <w:r>
          <w:rPr>
            <w:rStyle w:val="Hyperlink"/>
          </w:rPr>
          <w:t xml:space="preserve">32</w:t>
        </w:r>
      </w:hyperlink>
      <w:r>
        <w:t xml:space="preserve">]</w:t>
      </w:r>
      <w:r>
        <w:t xml:space="preserve">. Learned deferral policies have been proposed for cascades</w:t>
      </w:r>
      <w:r>
        <w:t xml:space="preserve"> </w:t>
      </w:r>
      <w:r>
        <w:t xml:space="preserve">[</w:t>
      </w:r>
      <w:hyperlink w:anchor="ref-wang2018idk">
        <w:r>
          <w:rPr>
            <w:rStyle w:val="Hyperlink"/>
          </w:rPr>
          <w:t xml:space="preserve">33</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34</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2</w:t>
        </w:r>
      </w:hyperlink>
      <w:r>
        <w:t xml:space="preserve">]</w:t>
      </w:r>
      <w:r>
        <w:t xml:space="preserve"> </w:t>
      </w:r>
      <w:r>
        <w:t xml:space="preserve">and of smart farming</w:t>
      </w:r>
      <w:r>
        <w:t xml:space="preserve"> </w:t>
      </w:r>
      <w:r>
        <w:t xml:space="preserve">[</w:t>
      </w:r>
      <w:hyperlink w:anchor="ref-wolfert2017bigdata">
        <w:r>
          <w:rPr>
            <w:rStyle w:val="Hyperlink"/>
          </w:rPr>
          <w:t xml:space="preserve">16</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17</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10</w:t>
        </w:r>
      </w:hyperlink>
      <w:r>
        <w:t xml:space="preserve">]</w:t>
      </w:r>
      <w:r>
        <w:t xml:space="preserve">: 18 542 field photographs of 89 classes spanning healthy and diseased leaves of more than thirty plant species. We follow the official split procedure of Wei et al. </w:t>
      </w:r>
      <w:r>
        <w:t xml:space="preserve">[</w:t>
      </w:r>
      <w:hyperlink w:anchor="ref-wei2024mvpdr">
        <w:r>
          <w:rPr>
            <w:rStyle w:val="Hyperlink"/>
          </w:rPr>
          <w:t xml:space="preserve">23</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 El Karch et al. </w:t>
      </w:r>
      <w:r>
        <w:t xml:space="preserve">[</w:t>
      </w:r>
      <w:hyperlink w:anchor="ref-elkarch2026backbone">
        <w:r>
          <w:rPr>
            <w:rStyle w:val="Hyperlink"/>
          </w:rPr>
          <w:t xml:space="preserve">14</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11</w:t>
        </w:r>
      </w:hyperlink>
      <w:r>
        <w:t xml:space="preserve">]</w:t>
      </w:r>
      <w:r>
        <w:t xml:space="preserve">, DINOv3 ViT-L/16 at 336 px</w:t>
      </w:r>
      <w:r>
        <w:t xml:space="preserve"> </w:t>
      </w:r>
      <w:r>
        <w:t xml:space="preserve">[</w:t>
      </w:r>
      <w:hyperlink w:anchor="ref-simeoni2025dinov3">
        <w:r>
          <w:rPr>
            <w:rStyle w:val="Hyperlink"/>
          </w:rPr>
          <w:t xml:space="preserve">12</w:t>
        </w:r>
      </w:hyperlink>
      <w:r>
        <w:t xml:space="preserve">]</w:t>
      </w:r>
      <w:r>
        <w:t xml:space="preserve">, and the CLIP ViT-L/14 image encoder at 224 px</w:t>
      </w:r>
      <w:r>
        <w:t xml:space="preserve"> </w:t>
      </w:r>
      <w:r>
        <w:t xml:space="preserve">[</w:t>
      </w:r>
      <w:hyperlink w:anchor="ref-radford2021clip">
        <w:r>
          <w:rPr>
            <w:rStyle w:val="Hyperlink"/>
          </w:rPr>
          <w:t xml:space="preserve">13</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convolutional networks that fit a farm-grade CPU: MobileNetV3-Small, MobileNetV3-Large</w:t>
      </w:r>
      <w:r>
        <w:t xml:space="preserve"> </w:t>
      </w:r>
      <w:r>
        <w:t xml:space="preserve">[</w:t>
      </w:r>
      <w:hyperlink w:anchor="ref-howard2019mobilenetv3">
        <w:r>
          <w:rPr>
            <w:rStyle w:val="Hyperlink"/>
          </w:rPr>
          <w:t xml:space="preserve">15</w:t>
        </w:r>
      </w:hyperlink>
      <w:r>
        <w:t xml:space="preserve">]</w:t>
      </w:r>
      <w:r>
        <w:t xml:space="preserve"> </w:t>
      </w:r>
      <w:r>
        <w:t xml:space="preserve">and EfficientNet-B0</w:t>
      </w:r>
      <w:r>
        <w:t xml:space="preserve"> </w:t>
      </w:r>
      <w:r>
        <w:t xml:space="preserve">[</w:t>
      </w:r>
      <w:hyperlink w:anchor="ref-tan2019efficientnet">
        <w:r>
          <w:rPr>
            <w:rStyle w:val="Hyperlink"/>
          </w:rPr>
          <w:t xml:space="preserve">35</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36</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37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models are trained on 11 778 of the 13 045 training images; the remaining 1 267 (10 % of each class, rounded down) select the checkpoint with the best macro-F1,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 The learned routers are perceptrons with two hidden layers of 128 units (layer normalisation of the input, GELU, dropout 0.4, AdamW with learning rate</w:t>
      </w:r>
      <w:r>
        <w:t xml:space="preserve"> </w:t>
      </w:r>
      <m:oMath>
        <m:sSup>
          <m:e>
            <m:r>
              <m:t>10</m:t>
            </m:r>
          </m:e>
          <m:sup>
            <m:r>
              <m:rPr>
                <m:sty m:val="p"/>
              </m:rPr>
              <m:t>−</m:t>
            </m:r>
            <m:r>
              <m:t>3</m:t>
            </m:r>
          </m:sup>
        </m:sSup>
      </m:oMath>
      <w:r>
        <w:t xml:space="preserve"> </w:t>
      </w:r>
      <w:r>
        <w:t xml:space="preserve">and weight decay</w:t>
      </w:r>
      <w:r>
        <w:t xml:space="preserve"> </w:t>
      </w:r>
      <m:oMath>
        <m:sSup>
          <m:e>
            <m:r>
              <m:t>10</m:t>
            </m:r>
          </m:e>
          <m:sup>
            <m:r>
              <m:rPr>
                <m:sty m:val="p"/>
              </m:rPr>
              <m:t>−</m:t>
            </m:r>
            <m:r>
              <m:t>3</m:t>
            </m:r>
          </m:sup>
        </m:sSup>
      </m:oMath>
      <w:r>
        <w:t xml:space="preserve">, cosine schedule) that predict a</w:t>
      </w:r>
      <w:r>
        <w:t xml:space="preserve"> </w:t>
      </w:r>
      <w:r>
        <w:rPr>
          <w:i/>
          <w:iCs/>
        </w:rPr>
        <w:t xml:space="preserve">useful escalation</w:t>
      </w:r>
      <w:r>
        <w:t xml:space="preserve"> </w:t>
      </w:r>
      <w:r>
        <w:t xml:space="preserve">(edge wrong, cloud right) from the edge model’s softmax and its three scalar scores, and, for the second router, also from the 1 024-dimensional DINOv2 descriptor of the image. They are trained on the validation split, with the number of epochs chosen by five-fold cross-validation within it, and evaluated on the test split.</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Because</w:t>
      </w:r>
      <w:r>
        <w:t xml:space="preserve"> </w:t>
      </w:r>
      <m:oMath>
        <m:r>
          <m:t>τ</m:t>
        </m:r>
      </m:oMath>
      <w:r>
        <w:t xml:space="preserve"> </w:t>
      </w:r>
      <w:r>
        <w:t xml:space="preserve">is estimated from 1 820 images, we also report its sampling variability by recalibrating it on 2 000 bootstrap resamples of the validation split (Section 6.2).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The perceptron has two hidden layers (512 and 256 units for the first target, 256 and 128 for the others; layer normalisation of the input, GELU, dropout 0.3) and is trained with a class-weighted binary cross-entropy (AdamW, learning rate</w:t>
      </w:r>
      <w:r>
        <w:t xml:space="preserve"> </w:t>
      </w:r>
      <m:oMath>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40 epochs) on the validation split, of which 20 % select the checkpoint by AUC; it is evaluated on the test split.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 the three scalar scores are functions of the softmax and are recomputed on the cloud, so they add no bytes.</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selective edge–cloud escalation."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selective edge–cloud escalation.</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1 summarises how one image travels through the system: each farm node runs the edge model on every image, answers the farmer without waiting for the ensemble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which is processed in batches, backbone by backbone with one chunk engine in memory at a time (Section 5.4), and the ensemble’s diagnosis is returned. All traffic travels over an encrypted WireGuard overlay. 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with its own diagnosis, margin and upload size (path 2). Only if the margin is below</w:t>
      </w:r>
      <w:r>
        <w:t xml:space="preserve"> </w:t>
      </w:r>
      <m:oMath>
        <m:r>
          <m:t>τ</m:t>
        </m:r>
      </m:oMath>
      <w:r>
        <w:t xml:space="preserve"> </w:t>
      </w:r>
      <w:r>
        <w:t xml:space="preserve">does the edge service also resize the image and place it on the cloud’s queue (path 3), before answering; the answer therefore waits for the upload to be acknowledged but never for the cloud’s diagnosis.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68585"/>
            <wp:effectExtent b="0" l="0" r="0" t="0"/>
            <wp:docPr descr="Figure 2. System architecture as deployed."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68585"/>
                    </a:xfrm>
                    <a:prstGeom prst="rect">
                      <a:avLst/>
                    </a:prstGeom>
                    <a:noFill/>
                    <a:ln w="9525">
                      <a:noFill/>
                      <a:headEnd/>
                      <a:tailEnd/>
                    </a:ln>
                  </pic:spPr>
                </pic:pic>
              </a:graphicData>
            </a:graphic>
          </wp:inline>
        </w:drawing>
      </w:r>
    </w:p>
    <w:p>
      <w:pPr>
        <w:pStyle w:val="ImageCaption"/>
      </w:pPr>
      <w:r>
        <w:t xml:space="preserve">Figure 2. System architecture as deployed.</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38</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uploads the image to the cloud node’s queue and returns its own label as soon as the upload is acknowledged, so the farmer never waits for the ensemble’s diagnosis, which follows when the queue is processed (Section 5.4). The upload itself, however, is on the answer path of our prototype: it adds 69 ms (median) on the testbed’s local network, about 0.5 s for a median payload on a 1 Mbit/s rural uplink, and up to the 60 s request timeout if the cloud node cannot be reached, after which the node answers with its own label. All latencies reported in this paper include this upload. A production node should upload from a background queue so that the answer never waits for the network; the released edge server offers this as an option, which was added after the measurements and is not evaluated here.</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The policy is chosen on the validation split, so that no test image informs a design choice: Table 2 shows the trade-off on its 1 820 images, measured with the reference cloud pipeline. Agreement is the fraction of images for which the cloud’s diagnosis from the payload equals its diagnosis from the original file, and KB are mean sizes over the same images (the original files average 148.9 KB on disk). Among the downscaled payloads, 448 px at quality 90 keeps the highest agreement (98.4 %) with no loss of cloud accuracy, for 2.3</w:t>
      </w:r>
      <m:oMath>
        <m:r>
          <m:rPr>
            <m:sty m:val="p"/>
          </m:rPr>
          <m:t>×</m:t>
        </m:r>
      </m:oMath>
      <w:r>
        <w:t xml:space="preserve"> </w:t>
      </w:r>
      <w:r>
        <w:t xml:space="preserve">fewer bytes than the full-resolution image at the same quality; a 336 px payload would save another 30 % of the bytes at a small cost in agreement and accuracy.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 (validation split).</w:t>
      </w:r>
    </w:p>
    <w:tbl>
      <w:tblPr>
        <w:tblStyle w:val="Table"/>
        <w:tblW w:type="auto" w:w="0"/>
        <w:tblLook w:firstRow="1" w:lastRow="0" w:firstColumn="0" w:lastColumn="0" w:noHBand="0" w:noVBand="0" w:val="0020"/>
        <w:tblCaption w:val="Table 2. Escalation payload policy (validation split)."/>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Original file</w:t>
            </w:r>
          </w:p>
        </w:tc>
        <w:tc>
          <w:tcPr/>
          <w:p>
            <w:pPr>
              <w:pStyle w:val="Compact"/>
              <w:jc w:val="right"/>
            </w:pPr>
            <w:r>
              <w:t xml:space="preserve">148.9</w:t>
            </w:r>
          </w:p>
        </w:tc>
        <w:tc>
          <w:tcPr/>
          <w:p>
            <w:pPr>
              <w:pStyle w:val="Compact"/>
              <w:jc w:val="right"/>
            </w:pPr>
            <w:r>
              <w:t xml:space="preserve">—</w:t>
            </w:r>
          </w:p>
        </w:tc>
        <w:tc>
          <w:tcPr/>
          <w:p>
            <w:pPr>
              <w:pStyle w:val="Compact"/>
              <w:jc w:val="right"/>
            </w:pPr>
            <w:r>
              <w:t xml:space="preserve">79.6 %</w:t>
            </w:r>
          </w:p>
        </w:tc>
      </w:tr>
      <w:tr>
        <w:tc>
          <w:tcPr/>
          <w:p>
            <w:pPr>
              <w:pStyle w:val="Compact"/>
              <w:jc w:val="left"/>
            </w:pPr>
            <w:r>
              <w:t xml:space="preserve">Full resolution, JPEG q90</w:t>
            </w:r>
          </w:p>
        </w:tc>
        <w:tc>
          <w:tcPr/>
          <w:p>
            <w:pPr>
              <w:pStyle w:val="Compact"/>
              <w:jc w:val="right"/>
            </w:pPr>
            <w:r>
              <w:t xml:space="preserve">133.2</w:t>
            </w:r>
          </w:p>
        </w:tc>
        <w:tc>
          <w:tcPr/>
          <w:p>
            <w:pPr>
              <w:pStyle w:val="Compact"/>
              <w:jc w:val="right"/>
            </w:pPr>
            <w:r>
              <w:t xml:space="preserve">99.2 %</w:t>
            </w:r>
          </w:p>
        </w:tc>
        <w:tc>
          <w:tcPr/>
          <w:p>
            <w:pPr>
              <w:pStyle w:val="Compact"/>
              <w:jc w:val="right"/>
            </w:pPr>
            <w:r>
              <w:t xml:space="preserve">79.8 %</w:t>
            </w:r>
          </w:p>
        </w:tc>
      </w:tr>
      <w:tr>
        <w:tc>
          <w:tcPr/>
          <w:p>
            <w:pPr>
              <w:pStyle w:val="Compact"/>
              <w:jc w:val="left"/>
            </w:pPr>
            <w:r>
              <w:rPr>
                <w:b/>
                <w:bCs/>
              </w:rPr>
              <w:t xml:space="preserve">Shorter side 448 px, q90</w:t>
            </w:r>
          </w:p>
        </w:tc>
        <w:tc>
          <w:tcPr/>
          <w:p>
            <w:pPr>
              <w:pStyle w:val="Compact"/>
              <w:jc w:val="right"/>
            </w:pPr>
            <w:r>
              <w:rPr>
                <w:b/>
                <w:bCs/>
              </w:rPr>
              <w:t xml:space="preserve">59.1</w:t>
            </w:r>
          </w:p>
        </w:tc>
        <w:tc>
          <w:tcPr/>
          <w:p>
            <w:pPr>
              <w:pStyle w:val="Compact"/>
              <w:jc w:val="right"/>
            </w:pPr>
            <w:r>
              <w:rPr>
                <w:b/>
                <w:bCs/>
              </w:rPr>
              <w:t xml:space="preserve">98.4 %</w:t>
            </w:r>
          </w:p>
        </w:tc>
        <w:tc>
          <w:tcPr/>
          <w:p>
            <w:pPr>
              <w:pStyle w:val="Compact"/>
              <w:jc w:val="right"/>
            </w:pPr>
            <w:r>
              <w:rPr>
                <w:b/>
                <w:bCs/>
              </w:rPr>
              <w:t xml:space="preserve">79.8 %</w:t>
            </w:r>
          </w:p>
        </w:tc>
      </w:tr>
      <w:tr>
        <w:tc>
          <w:tcPr/>
          <w:p>
            <w:pPr>
              <w:pStyle w:val="Compact"/>
              <w:jc w:val="left"/>
            </w:pPr>
            <w:r>
              <w:t xml:space="preserve">Shorter side 336 px, q95</w:t>
            </w:r>
          </w:p>
        </w:tc>
        <w:tc>
          <w:tcPr/>
          <w:p>
            <w:pPr>
              <w:pStyle w:val="Compact"/>
              <w:jc w:val="right"/>
            </w:pPr>
            <w:r>
              <w:t xml:space="preserve">57.1</w:t>
            </w:r>
          </w:p>
        </w:tc>
        <w:tc>
          <w:tcPr/>
          <w:p>
            <w:pPr>
              <w:pStyle w:val="Compact"/>
              <w:jc w:val="right"/>
            </w:pPr>
            <w:r>
              <w:t xml:space="preserve">98.1 %</w:t>
            </w:r>
          </w:p>
        </w:tc>
        <w:tc>
          <w:tcPr/>
          <w:p>
            <w:pPr>
              <w:pStyle w:val="Compact"/>
              <w:jc w:val="right"/>
            </w:pPr>
            <w:r>
              <w:t xml:space="preserve">79.6 %</w:t>
            </w:r>
          </w:p>
        </w:tc>
      </w:tr>
      <w:tr>
        <w:tc>
          <w:tcPr/>
          <w:p>
            <w:pPr>
              <w:pStyle w:val="Compact"/>
              <w:jc w:val="left"/>
            </w:pPr>
            <w:r>
              <w:t xml:space="preserve">Shorter side 336 px, q90</w:t>
            </w:r>
          </w:p>
        </w:tc>
        <w:tc>
          <w:tcPr/>
          <w:p>
            <w:pPr>
              <w:pStyle w:val="Compact"/>
              <w:jc w:val="right"/>
            </w:pPr>
            <w:r>
              <w:t xml:space="preserve">41.9</w:t>
            </w:r>
          </w:p>
        </w:tc>
        <w:tc>
          <w:tcPr/>
          <w:p>
            <w:pPr>
              <w:pStyle w:val="Compact"/>
              <w:jc w:val="right"/>
            </w:pPr>
            <w:r>
              <w:t xml:space="preserve">97.8 %</w:t>
            </w:r>
          </w:p>
        </w:tc>
        <w:tc>
          <w:tcPr/>
          <w:p>
            <w:pPr>
              <w:pStyle w:val="Compact"/>
              <w:jc w:val="right"/>
            </w:pPr>
            <w:r>
              <w:t xml:space="preserve">79.3 %</w:t>
            </w:r>
          </w:p>
        </w:tc>
      </w:tr>
      <w:tr>
        <w:tc>
          <w:tcPr/>
          <w:p>
            <w:pPr>
              <w:pStyle w:val="Compact"/>
              <w:jc w:val="left"/>
            </w:pPr>
            <w:r>
              <w:t xml:space="preserve">Shorter side 224 px, q90</w:t>
            </w:r>
          </w:p>
        </w:tc>
        <w:tc>
          <w:tcPr/>
          <w:p>
            <w:pPr>
              <w:pStyle w:val="Compact"/>
              <w:jc w:val="right"/>
            </w:pPr>
            <w:r>
              <w:t xml:space="preserve">22.9</w:t>
            </w:r>
          </w:p>
        </w:tc>
        <w:tc>
          <w:tcPr/>
          <w:p>
            <w:pPr>
              <w:pStyle w:val="Compact"/>
              <w:jc w:val="right"/>
            </w:pPr>
            <w:r>
              <w:t xml:space="preserve">95.4 %</w:t>
            </w:r>
          </w:p>
        </w:tc>
        <w:tc>
          <w:tcPr/>
          <w:p>
            <w:pPr>
              <w:pStyle w:val="Compact"/>
              <w:jc w:val="right"/>
            </w:pPr>
            <w:r>
              <w:t xml:space="preserve">78.8 %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played back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an</w:t>
      </w:r>
      <w:r>
        <w:t xml:space="preserve"> </w:t>
      </w:r>
      <w:r>
        <w:rPr>
          <w:i/>
          <w:iCs/>
        </w:rPr>
        <w:t xml:space="preserve">emulated deployment</w:t>
      </w:r>
      <w:r>
        <w:t xml:space="preserve">, or the</w:t>
      </w:r>
      <w:r>
        <w:t xml:space="preserve"> </w:t>
      </w:r>
      <w:r>
        <w:rPr>
          <w:i/>
          <w:iCs/>
        </w:rPr>
        <w:t xml:space="preserve">emulation</w:t>
      </w:r>
      <w:r>
        <w:t xml:space="preserve"> </w:t>
      </w:r>
      <w:r>
        <w:t xml:space="preserve">for short. It was run twice: the</w:t>
      </w:r>
      <w:r>
        <w:t xml:space="preserve"> </w:t>
      </w:r>
      <w:r>
        <w:rPr>
          <w:i/>
          <w:iCs/>
        </w:rPr>
        <w:t xml:space="preserve">baseline deployment</w:t>
      </w:r>
      <w:r>
        <w:t xml:space="preserve"> </w:t>
      </w:r>
      <w:r>
        <w:t xml:space="preserve">uses the original edge model, and the</w:t>
      </w:r>
      <w:r>
        <w:t xml:space="preserve"> </w:t>
      </w:r>
      <w:r>
        <w:rPr>
          <w:i/>
          <w:iCs/>
        </w:rPr>
        <w:t xml:space="preserve">distilled deployment</w:t>
      </w:r>
      <w:r>
        <w:t xml:space="preserve"> </w:t>
      </w:r>
      <w:r>
        <w:t xml:space="preserve">(Section 6.7) the edge model distilled from the ensemble.</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emulation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emulation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0706"/>
            <wp:effectExtent b="0" l="0" r="0" t="0"/>
            <wp:docPr descr="Figure 3. Porting the cloud ensemble to the Jetson Nano."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0706"/>
                    </a:xfrm>
                    <a:prstGeom prst="rect">
                      <a:avLst/>
                    </a:prstGeom>
                    <a:noFill/>
                    <a:ln w="9525">
                      <a:noFill/>
                      <a:headEnd/>
                      <a:tailEnd/>
                    </a:ln>
                  </pic:spPr>
                </pic:pic>
              </a:graphicData>
            </a:graphic>
          </wp:inline>
        </w:drawing>
      </w:r>
    </w:p>
    <w:p>
      <w:pPr>
        <w:pStyle w:val="ImageCaption"/>
      </w:pPr>
      <w:r>
        <w:t xml:space="preserve">Figure 3. Porting the cloud ensemble to the Jetson Nano.</w:t>
      </w:r>
    </w:p>
    <w:bookmarkEnd w:id="50"/>
    <w:bookmarkStart w:id="51" w:name="tab:port"/>
    <w:p>
      <w:pPr>
        <w:pStyle w:val="TableCaption"/>
      </w:pPr>
      <w:r>
        <w:t xml:space="preserve">Table 4. Decisive obstacles of the port, their causes and the adaptations that resolved them.</w:t>
      </w:r>
    </w:p>
    <w:tbl>
      <w:tblPr>
        <w:tblStyle w:val="Table"/>
        <w:tblW w:type="pct" w:w="4963"/>
        <w:tblLayout w:type="fixed"/>
        <w:tblLook w:firstRow="1" w:lastRow="0" w:firstColumn="0" w:lastColumn="0" w:noHBand="0" w:noVBand="0" w:val="0020"/>
        <w:tblCaption w:val="Table 4. Decisive obstacles of the port, their causes and the adaptations that resolved them."/>
      </w:tblPr>
      <w:tblGrid>
        <w:gridCol w:w="1077"/>
        <w:gridCol w:w="2562"/>
        <w:gridCol w:w="2649"/>
        <w:gridCol w:w="1572"/>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fp16 chunk; fp32 chunks twice as large</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links a different JPEG decoder</w:t>
            </w:r>
          </w:p>
        </w:tc>
        <w:tc>
          <w:tcPr/>
          <w:p>
            <w:pPr>
              <w:pStyle w:val="Compact"/>
              <w:jc w:val="left"/>
            </w:pPr>
            <w:r>
              <w:t xml:space="preserve">isolated (decoding, not resampling) and measured; accepted with stock JetPack 4 packages</w:t>
            </w:r>
          </w:p>
        </w:tc>
        <w:tc>
          <w:tcPr/>
          <w:p>
            <w:pPr>
              <w:pStyle w:val="Compact"/>
              <w:jc w:val="left"/>
            </w:pPr>
            <w:r>
              <w:t xml:space="preserve">652/684 agreement in deployment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39</w:t>
        </w:r>
      </w:hyperlink>
      <w:r>
        <w:t xml:space="preserve">]</w:t>
      </w:r>
      <w:r>
        <w:t xml:space="preserve"> </w:t>
      </w:r>
      <w:r>
        <w:t xml:space="preserve">at opset 13, the newest opset that TensorRT 8.2 parses (Fig. 3). The blue labels in the figure give the fidelity check passed at each stage, detailed in Section 5.5.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is re-implemented without PyTorch — Pillow decodes the JPEG and performs the bicubic resize, as torchvision does, and NumPy crops, normalises and lays out the tensor — and the QualityGate head of Eq. (1) is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Figure 4b compares the memory each step of the port needs with the board’s shared CPU/GPU memory; the grey bars are the steps that did not fit.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40</w:t>
        </w:r>
      </w:hyperlink>
      <w:r>
        <w:t xml:space="preserve">]</w:t>
      </w:r>
      <w:r>
        <w:t xml:space="preserve"> </w:t>
      </w:r>
      <w:r>
        <w:t xml:space="preserve">one chunk at a time. Weights are stored in fp16 for all three backbones; the precision in which an engine</w:t>
      </w:r>
      <w:r>
        <w:t xml:space="preserve"> </w:t>
      </w:r>
      <w:r>
        <w:rPr>
          <w:i/>
          <w:iCs/>
        </w:rPr>
        <w:t xml:space="preserve">computes</w:t>
      </w:r>
      <w:r>
        <w:t xml:space="preserve"> </w:t>
      </w:r>
      <w:r>
        <w:t xml:space="preserve">is chosen per backbone when it is built (next subsection);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 The residual stream keeps its (batch, tokens, channels) layout: each linear layer reshapes its input to a</w:t>
      </w:r>
      <w:r>
        <w:t xml:space="preserve"> </w:t>
      </w:r>
      <m:oMath>
        <m:r>
          <m:t>1</m:t>
        </m:r>
        <m:r>
          <m:rPr>
            <m:sty m:val="p"/>
          </m:rPr>
          <m:t>×</m:t>
        </m:r>
        <m:r>
          <m:t>C</m:t>
        </m:r>
        <m:r>
          <m:rPr>
            <m:sty m:val="p"/>
          </m:rPr>
          <m:t>×</m:t>
        </m:r>
        <m:r>
          <m:rPr>
            <m:sty m:val="p"/>
          </m:rPr>
          <m:t>(</m:t>
        </m:r>
        <m:r>
          <m:t>B</m:t>
        </m:r>
        <m:r>
          <m:t> </m:t>
        </m:r>
        <m:r>
          <m:t>N</m:t>
        </m:r>
        <m:r>
          <m:rPr>
            <m:sty m:val="p"/>
          </m:rPr>
          <m:t>)</m:t>
        </m:r>
        <m:r>
          <m:rPr>
            <m:sty m:val="p"/>
          </m:rPr>
          <m:t>×</m:t>
        </m:r>
        <m:r>
          <m:t>1</m:t>
        </m:r>
      </m:oMath>
      <w:r>
        <w:t xml:space="preserve"> </w:t>
      </w:r>
      <w:r>
        <w:t xml:space="preserve">tensor, applies the convolution and reshapes the result back, and attention is computed on (batch, heads, tokens, head dimension) tensors as before.</w:t>
      </w:r>
    </w:p>
    <w:bookmarkStart w:id="56" w:name="fig:port"/>
    <w:p>
      <w:pPr>
        <w:pStyle w:val="CaptionedFigure"/>
      </w:pPr>
      <w:r>
        <w:drawing>
          <wp:inline>
            <wp:extent cx="5334000" cy="2491278"/>
            <wp:effectExtent b="0" l="0" r="0" t="0"/>
            <wp:docPr descr="Figure 4. Activation ranges and memory requirements of the port. (a) Largest residual-stream activation per transformer block. (b) Memory needed at each step of the por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491278"/>
                    </a:xfrm>
                    <a:prstGeom prst="rect">
                      <a:avLst/>
                    </a:prstGeom>
                    <a:noFill/>
                    <a:ln w="9525">
                      <a:noFill/>
                      <a:headEnd/>
                      <a:tailEnd/>
                    </a:ln>
                  </pic:spPr>
                </pic:pic>
              </a:graphicData>
            </a:graphic>
          </wp:inline>
        </w:drawing>
      </w:r>
    </w:p>
    <w:p>
      <w:pPr>
        <w:pStyle w:val="ImageCaption"/>
      </w:pPr>
      <w:r>
        <w:t xml:space="preserve">Figure 4. Activation ranges and memory requirements of the port. (a) Largest residual-stream activation per transformer block. (b) Memory needed at each step of the port.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on 64 test images located the cause: DINOv3’s residual stream carries activations of up to 158 259 from its first block onwards, beyond the largest fp16 value (65 504), whereas DINOv2 and CLIP peak at 403 and 225. DINOv2 therefore runs in fp16 and DINOv3 in fp32. Our workstation check of the fp16-weight graphs (Table 5) could not have revealed the overflow: onnxruntime’s CPU provider has no fp16 kernels for these operators and computes them in fp32, so the check validated the rounding of the weights, not fp16 arithmetic — run there, the first DINOv3 chunk’s hidden state reaches</w:t>
      </w:r>
      <w:r>
        <w:t xml:space="preserve"> </w:t>
      </w:r>
      <m:oMath>
        <m:r>
          <m:t>1.57</m:t>
        </m:r>
        <m:r>
          <m:rPr>
            <m:sty m:val="p"/>
          </m:rPr>
          <m:t>×</m:t>
        </m:r>
        <m:sSup>
          <m:e>
            <m:r>
              <m:t>10</m:t>
            </m:r>
          </m:e>
          <m:sup>
            <m:r>
              <m:t>5</m:t>
            </m:r>
          </m:sup>
        </m:sSup>
      </m:oMath>
      <w:r>
        <w:t xml:space="preserve"> </w:t>
      </w:r>
      <w:r>
        <w:t xml:space="preserve">without overflowing. An fp32 engine is built from the same fp16-weight graph with every layer pinned to fp32 by TensorRT’s precision constraints: it keeps the rounded weights but computes in fp32, and the rounding is harmless, as the engines reproduce the fp32 reference to a cosine of at least 1.0000.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baseline deployment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with fp16 engines for all three backbones, that at most nine of the twelve chunks can be resident at once, even with a single activation buffer shared by all of them. The deployed mix is larger still: an fp32 chunk engine occupies 294 MB on disk against 147 MB for an fp16 one, and the twelve deployed engines total 2.87 GB.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as soon as the image is queued. The cloud node processes its queue in batches, chunk by chunk: it loads the first chunk of DINOv2, passes every queued image through it, frees it, loads the next chunk, and so on through DINOv3 and CLIP, keeping each image’s intermediate hidden state (up to 2.4 MB for DINOv2’s 577 tokens) in host memory, and finally applies the head. With its decoded payload and preprocessed input, a queued image holds about 4.5 MB during a batch, so the released server processes queues of more than 128 images in sub-batches of 128 (about 0.6 GB), reloading the engines for each; this cap was added after the measurements, in which no batch exceeded 61 images. At no time is more than one chunk engine resident. In the emulation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processed 2 batches of 48 escalated images — the median batch of the baseline deployment, with the same payload — while sampling RAM and the board’s input power rail with</w:t>
      </w:r>
      <w:r>
        <w:t xml:space="preserve"> </w:t>
      </w:r>
      <w:r>
        <w:rPr>
          <w:rStyle w:val="VerbatimChar"/>
        </w:rPr>
        <w:t xml:space="preserve">tegrastats</w:t>
      </w:r>
      <w:r>
        <w:t xml:space="preserve"> </w:t>
      </w:r>
      <w:r>
        <w:t xml:space="preserve">about eight times per second (Fig. 5). In the figure, shading marks the backbone being processed; the twelve dips in power are the twelve chunk-engine loads, between which the GPU passes all queued images through the resident chunk. The dashed lines mark the board’s total shared memory and its idle power draw. Memory use never exceeds 2.32 GB of the 3.86 GB (1.97 GB at idle, including the operating system and the idle server): processing a batch adds about 0.34 GB on average, the footprint of one chunk engine — up to 0.46 GB while an fp32 engine (DINOv3, CLIP) is resident and 0.22 GB for the fp16 DINOv2.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Jetson Nano memory and board power during one batch of 48 escalated images."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Jetson Nano memory and board power during one batch of 48 escalated images.</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Workstation checks compare against the PyTorch reference; checks on the Nano compare TensorRT outputs with reference features computed on the workstation.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links a different JPEG decoder (IJG libjpeg 9) from the workstation’s Pillow 12 (libjpeg-turbo 3.1). On the 24 reference images the two decoders return different values for 36 % of pixels, by up to 67/255, so the preprocessed tensors differ by up to 0.59 normalised units; resampling is not involved, as both versions resize identical decoded pixels bit-identically. Over the baseline deployment, the Nano’s diagnosis matches the workstation’s offline prediction for 652/684 escalated images. Isolating causes in this way — engines fed identical tensors, then the complete pipeline — is what separated a precision problem that had to be corrected (DINOv3) from a library difference that we accepted: removing it would require a matched JPEG decoder on both machines, which stock JetPack 4 packages do not provide.</w:t>
      </w:r>
    </w:p>
    <w:bookmarkStart w:id="64" w:name="tab:fidelity"/>
    <w:p>
      <w:pPr>
        <w:pStyle w:val="TableCaption"/>
      </w:pPr>
      <w:r>
        <w:t xml:space="preserve">Table 5. Fidelity of the embedded cloud pipeline, stage by stage.</w:t>
      </w:r>
    </w:p>
    <w:tbl>
      <w:tblPr>
        <w:tblStyle w:val="Table"/>
        <w:tblW w:type="pct" w:w="4969"/>
        <w:tblLayout w:type="fixed"/>
        <w:tblLook w:firstRow="1" w:lastRow="0" w:firstColumn="0" w:lastColumn="0" w:noHBand="0" w:noVBand="0" w:val="0020"/>
        <w:tblCaption w:val="Table 5. Fidelity of the embedded cloud pipeline, stage by stage."/>
      </w:tblPr>
      <w:tblGrid>
        <w:gridCol w:w="2141"/>
        <w:gridCol w:w="3536"/>
        <w:gridCol w:w="2191"/>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 (computed in fp32: tests weight rounding)</w:t>
            </w:r>
          </w:p>
        </w:tc>
        <w:tc>
          <w:tcPr/>
          <w:p>
            <w:pPr>
              <w:pStyle w:val="Compact"/>
              <w:jc w:val="right"/>
            </w:pPr>
            <m:oMath>
              <m:r>
                <m:rPr>
                  <m:sty m:val="p"/>
                </m:rPr>
                <m:t>≥</m:t>
              </m:r>
            </m:oMath>
            <w:r>
              <w:t xml:space="preserve"> 0.9999</w:t>
            </w:r>
          </w:p>
        </w:tc>
      </w:tr>
      <w:tr>
        <w:tc>
          <w:tcPr/>
          <w:p>
            <w:pPr>
              <w:pStyle w:val="Compact"/>
              <w:jc w:val="left"/>
            </w:pPr>
            <w:r>
              <w:t xml:space="preserve">Pillow + 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deployment)</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2"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For each model we report the smallest escalation rate at which margin escalation reaches 95 % of always-cloud accuracy (76.17 %), denoted escalation @95 %. In Fig. 6a, dots mark where each model first reaches this target; Fig. 6b plots edge compute against the escalation each model needs, with bubble area proportional to the parameter count, and the dotted lines mark the 30 % escalation budget. Escalation @95 % is computed exactly, image by image, by escalating images in increasing order of margin until the target is reached. With MobileNetV3-Small as the edge (61.08 % top-1), the margin rule reaches the 95 % target only at 43.5 % escalation, failing the pre-specified criterion. This failure is not a weakness of the margin rule: a learned router trained on the same edge outputs gained only two points (41.3 % escalation), and adding 1 024-dimensional DINOv2 image features to the router lowered its AUC from 0.785 to 0.768 (42.0 % escalation), a sign of overfitting the 1 820 validation images. For this edge model, every edge-side signal we tried saturated at an AUC of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20.3 %, comfortably passing the criterion. EfficientNet-B0 reaches the same edge accuracy (69.35 %) but needs slightly more escalation (21.4 %)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p>
    <w:tbl>
      <w:tblPr>
        <w:tblStyle w:val="Table"/>
        <w:tblW w:type="auto" w:w="0"/>
        <w:tblLook w:firstRow="1" w:lastRow="0" w:firstColumn="0" w:lastColumn="0" w:noHBand="0" w:noVBand="0" w:val="0020"/>
        <w:tblCaption w:val="Table 6. Edge models on the PlantWild test split."/>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20.3 %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21.4 %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and the escalation it requires. (a) Accuracy versus escalation rate. (b) Edge compute versus escalation needed for the 95 % tar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and the escalation it requires. (a) Accuracy versus escalation rate. (b) Edge compute versus escalation needed for the 95 % target.</w:t>
      </w:r>
    </w:p>
    <w:bookmarkEnd w:id="71"/>
    <w:p>
      <w:pPr>
        <w:pStyle w:val="BodyText"/>
      </w:pPr>
      <w:r>
        <w:t xml:space="preserve">The oracle curve in Fig. 7 and the last column of Table 8 add a further observation. At 20 % escalation the oracle reaches 84.80 %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Absolute traffic uses the measured mean payload</w:t>
      </w:r>
      <w:r>
        <w:t xml:space="preserve"> </w:t>
      </w:r>
      <m:oMath>
        <m:r>
          <m:t>S</m:t>
        </m:r>
        <m:r>
          <m:rPr>
            <m:sty m:val="p"/>
          </m:rPr>
          <m:t>=</m:t>
        </m:r>
        <m:r>
          <m:t>60.2</m:t>
        </m:r>
      </m:oMath>
      <w:r>
        <w:t xml:space="preserve"> KB (Section 3.5); the reduction factor does not depend on</w:t>
      </w:r>
      <w:r>
        <w:t xml:space="preserve"> </w:t>
      </w:r>
      <m:oMath>
        <m:r>
          <m:t>S</m:t>
        </m:r>
      </m:oMath>
      <w:r>
        <w:t xml:space="preserve">. In the figure, the ring marks the operating point with the validation-calibrated threshold, the shaded region the pre-specified success criterion, and the light curve the oracle router, an upper bound for any escalation rule; the lower block of the table reads both routers’ test curves at the same accuracy, for comparison only.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generalisation gap of a threshold fixed in advance. Its size is what the calibration’s sampling variability predicts: recalibrating</w:t>
      </w:r>
      <w:r>
        <w:t xml:space="preserve"> </w:t>
      </w:r>
      <m:oMath>
        <m:r>
          <m:t>τ</m:t>
        </m:r>
      </m:oMath>
      <w:r>
        <w:t xml:space="preserve"> </w:t>
      </w:r>
      <w:r>
        <w:t xml:space="preserve">on 2 000 bootstrap resamples of the validation split gives a test accuracy between 92.1 and 96.0 % of cloud accuracy (5th–95th percentile; median 94.6 %) and an escalation rate between 12.3 and 23.5 %. A deployment that must meet the target with high confidence can take the 95th percentile of the bootstrap thresholds instead (</w:t>
      </w:r>
      <m:oMath>
        <m:r>
          <m:t>τ</m:t>
        </m:r>
        <m:r>
          <m:rPr>
            <m:sty m:val="p"/>
          </m:rPr>
          <m:t>=</m:t>
        </m:r>
        <m:r>
          <m:t>0.198</m:t>
        </m:r>
      </m:oMath>
      <w:r>
        <w:t xml:space="preserve">): it then delivers 96.0 % of cloud accuracy on test at 23.5 % escalation, still a 4.3-fold reduction. Read directly off the test curve, the 95 % line is crossed at 20.3 % escalation (12.2 KB). Measured by macro-F1, which weights the 89 classes equally, the operating point delivers 72.9 % against 65.8 % for the edge alone and 77.5 % for always-cloud, the same ordering as top-1. The curve is markedly concave: the first escalated images are the most valuable. Escalating 30 % of images already closes 80 % of the gap between edge and cloud accuracy (Table 8), so the last fifth of that gap costs the remaining 70 % of the traffic. Table 8 shows that the three scalar signals are within 0.5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w:t>
      </w:r>
    </w:p>
    <w:tbl>
      <w:tblPr>
        <w:tblStyle w:val="Table"/>
        <w:tblW w:type="pct" w:w="4883"/>
        <w:tblLayout w:type="fixed"/>
        <w:tblLook w:firstRow="1" w:lastRow="0" w:firstColumn="0" w:lastColumn="0" w:noHBand="0" w:noVBand="0" w:val="0020"/>
        <w:tblCaption w:val="Table 7. Operating points on the PlantWild test split (offline)."/>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12.2</w:t>
            </w:r>
          </w:p>
        </w:tc>
        <w:tc>
          <w:tcPr/>
          <w:p>
            <w:pPr>
              <w:pStyle w:val="Compact"/>
              <w:jc w:val="right"/>
            </w:pPr>
            <w:r>
              <w:t xml:space="preserve">20.3 %</w:t>
            </w:r>
          </w:p>
        </w:tc>
        <w:tc>
          <w:tcPr/>
          <w:p>
            <w:pPr>
              <w:pStyle w:val="Compact"/>
              <w:jc w:val="right"/>
            </w:pPr>
            <w:r>
              <w:t xml:space="preserve">76.18 %</w:t>
            </w:r>
          </w:p>
        </w:tc>
        <w:tc>
          <w:tcPr/>
          <w:p>
            <w:pPr>
              <w:pStyle w:val="Compact"/>
              <w:jc w:val="right"/>
            </w:pPr>
            <w:r>
              <w:t xml:space="preserve">95.0 %</w:t>
            </w:r>
          </w:p>
        </w:tc>
      </w:tr>
      <w:tr>
        <w:tc>
          <w:tcPr/>
          <w:p>
            <w:pPr>
              <w:pStyle w:val="Compact"/>
              <w:jc w:val="left"/>
            </w:pPr>
            <w:r>
              <w:t xml:space="preserve">Cloud-supervised verifier</w:t>
            </w:r>
          </w:p>
        </w:tc>
        <w:tc>
          <w:tcPr/>
          <w:p>
            <w:pPr>
              <w:pStyle w:val="Compact"/>
              <w:jc w:val="right"/>
            </w:pPr>
            <w:r>
              <w:t xml:space="preserve">20.2</w:t>
            </w:r>
          </w:p>
        </w:tc>
        <w:tc>
          <w:tcPr/>
          <w:p>
            <w:pPr>
              <w:pStyle w:val="Compact"/>
              <w:jc w:val="right"/>
            </w:pPr>
            <w:r>
              <w:t xml:space="preserve">29.0 %</w:t>
            </w:r>
          </w:p>
        </w:tc>
        <w:tc>
          <w:tcPr/>
          <w:p>
            <w:pPr>
              <w:pStyle w:val="Compact"/>
              <w:jc w:val="right"/>
            </w:pPr>
            <w:r>
              <w:t xml:space="preserve">76.18 %</w:t>
            </w:r>
          </w:p>
        </w:tc>
        <w:tc>
          <w:tcPr/>
          <w:p>
            <w:pPr>
              <w:pStyle w:val="Compact"/>
              <w:jc w:val="right"/>
            </w:pPr>
            <w:r>
              <w:t xml:space="preserve">95.0 %</w:t>
            </w:r>
          </w:p>
        </w:tc>
      </w:tr>
    </w:tbl>
    <w:bookmarkEnd w:id="73"/>
    <w:bookmarkStart w:id="77" w:name="fig:pareto"/>
    <w:p>
      <w:pPr>
        <w:pStyle w:val="CaptionedFigure"/>
      </w:pPr>
      <w:r>
        <w:drawing>
          <wp:inline>
            <wp:extent cx="5334000" cy="2870810"/>
            <wp:effectExtent b="0" l="0" r="0" t="0"/>
            <wp:docPr descr="Figure 7. Accuracy versus mean uplink per diagnosis (offline, test split)."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per diagnosis (offline, test split).</w:t>
      </w:r>
    </w:p>
    <w:bookmarkEnd w:id="77"/>
    <w:bookmarkStart w:id="81" w:name="fig:flow"/>
    <w:p>
      <w:pPr>
        <w:pStyle w:val="CaptionedFigure"/>
      </w:pPr>
      <w:r>
        <w:drawing>
          <wp:inline>
            <wp:extent cx="5334000" cy="2327308"/>
            <wp:effectExtent b="0" l="0" r="0" t="0"/>
            <wp:docPr descr="Figure 8. Flow of the 3 677 test images at the calibrated threshold."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Flow of the 3 677 test images at the calibrated threshold.</w:t>
      </w:r>
    </w:p>
    <w:bookmarkEnd w:id="81"/>
    <w:p>
      <w:pPr>
        <w:pStyle w:val="BodyText"/>
      </w:pPr>
      <w:r>
        <w:t xml:space="preserve">Figure 8 follows every test image through the system. Band widths are proportional to image counts, and escalated images are drawn in blue.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000945"/>
            <wp:effectExtent b="0" l="0" r="0" t="0"/>
            <wp:docPr descr="Figure 9. Per-crop accuracy before and after escalation, and per-crop escalation rate."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000945"/>
                    </a:xfrm>
                    <a:prstGeom prst="rect">
                      <a:avLst/>
                    </a:prstGeom>
                    <a:noFill/>
                    <a:ln w="9525">
                      <a:noFill/>
                      <a:headEnd/>
                      <a:tailEnd/>
                    </a:ln>
                  </pic:spPr>
                </pic:pic>
              </a:graphicData>
            </a:graphic>
          </wp:inline>
        </w:drawing>
      </w:r>
    </w:p>
    <w:p>
      <w:pPr>
        <w:pStyle w:val="ImageCaption"/>
      </w:pPr>
      <w:r>
        <w:t xml:space="preserve">Figure 9. Per-crop accuracy before and after escalation, and per-crop escalation rate.</w:t>
      </w:r>
    </w:p>
    <w:bookmarkEnd w:id="85"/>
    <w:p>
      <w:pPr>
        <w:pStyle w:val="BodyText"/>
      </w:pPr>
      <w:r>
        <w:t xml:space="preserve">The rule also adapts across crops without any per-crop tuning (Fig. 9). The figure shows, per crop, accuracy before and after escalation and the share of images escalated; the letters give each crop’s farm in the emulation (Section 4.4).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71.72</w:t>
            </w:r>
          </w:p>
        </w:tc>
        <w:tc>
          <w:tcPr/>
          <w:p>
            <w:pPr>
              <w:pStyle w:val="Compact"/>
              <w:jc w:val="right"/>
            </w:pPr>
            <w:r>
              <w:t xml:space="preserve">71.34</w:t>
            </w:r>
          </w:p>
        </w:tc>
        <w:tc>
          <w:tcPr/>
          <w:p>
            <w:pPr>
              <w:pStyle w:val="Compact"/>
              <w:jc w:val="right"/>
            </w:pPr>
            <w:r>
              <w:t xml:space="preserve">71.50</w:t>
            </w:r>
          </w:p>
        </w:tc>
        <w:tc>
          <w:tcPr/>
          <w:p>
            <w:pPr>
              <w:pStyle w:val="Compact"/>
              <w:jc w:val="right"/>
            </w:pPr>
            <w:r>
              <w:t xml:space="preserve">74.33</w:t>
            </w:r>
          </w:p>
        </w:tc>
      </w:tr>
      <w:tr>
        <w:tc>
          <w:tcPr/>
          <w:p>
            <w:pPr>
              <w:pStyle w:val="Compact"/>
              <w:jc w:val="right"/>
            </w:pPr>
            <w:r>
              <w:t xml:space="preserve">10 %</w:t>
            </w:r>
          </w:p>
        </w:tc>
        <w:tc>
          <w:tcPr/>
          <w:p>
            <w:pPr>
              <w:pStyle w:val="Compact"/>
              <w:jc w:val="right"/>
            </w:pPr>
            <w:r>
              <w:t xml:space="preserve">73.43</w:t>
            </w:r>
          </w:p>
        </w:tc>
        <w:tc>
          <w:tcPr/>
          <w:p>
            <w:pPr>
              <w:pStyle w:val="Compact"/>
              <w:jc w:val="right"/>
            </w:pPr>
            <w:r>
              <w:t xml:space="preserve">73.27</w:t>
            </w:r>
          </w:p>
        </w:tc>
        <w:tc>
          <w:tcPr/>
          <w:p>
            <w:pPr>
              <w:pStyle w:val="Compact"/>
              <w:jc w:val="right"/>
            </w:pPr>
            <w:r>
              <w:t xml:space="preserve">73.21</w:t>
            </w:r>
          </w:p>
        </w:tc>
        <w:tc>
          <w:tcPr/>
          <w:p>
            <w:pPr>
              <w:pStyle w:val="Compact"/>
              <w:jc w:val="right"/>
            </w:pPr>
            <w:r>
              <w:t xml:space="preserve">79.33</w:t>
            </w:r>
          </w:p>
        </w:tc>
      </w:tr>
      <w:tr>
        <w:tc>
          <w:tcPr/>
          <w:p>
            <w:pPr>
              <w:pStyle w:val="Compact"/>
              <w:jc w:val="right"/>
            </w:pPr>
            <w:r>
              <w:t xml:space="preserve">15 %</w:t>
            </w:r>
          </w:p>
        </w:tc>
        <w:tc>
          <w:tcPr/>
          <w:p>
            <w:pPr>
              <w:pStyle w:val="Compact"/>
              <w:jc w:val="right"/>
            </w:pPr>
            <w:r>
              <w:t xml:space="preserve">74.79</w:t>
            </w:r>
          </w:p>
        </w:tc>
        <w:tc>
          <w:tcPr/>
          <w:p>
            <w:pPr>
              <w:pStyle w:val="Compact"/>
              <w:jc w:val="right"/>
            </w:pPr>
            <w:r>
              <w:t xml:space="preserve">74.82</w:t>
            </w:r>
          </w:p>
        </w:tc>
        <w:tc>
          <w:tcPr/>
          <w:p>
            <w:pPr>
              <w:pStyle w:val="Compact"/>
              <w:jc w:val="right"/>
            </w:pPr>
            <w:r>
              <w:t xml:space="preserve">74.84</w:t>
            </w:r>
          </w:p>
        </w:tc>
        <w:tc>
          <w:tcPr/>
          <w:p>
            <w:pPr>
              <w:pStyle w:val="Compact"/>
              <w:jc w:val="right"/>
            </w:pPr>
            <w:r>
              <w:t xml:space="preserve">84.34</w:t>
            </w:r>
          </w:p>
        </w:tc>
      </w:tr>
      <w:tr>
        <w:tc>
          <w:tcPr/>
          <w:p>
            <w:pPr>
              <w:pStyle w:val="Compact"/>
              <w:jc w:val="right"/>
            </w:pPr>
            <w:r>
              <w:t xml:space="preserve">20 %</w:t>
            </w:r>
          </w:p>
        </w:tc>
        <w:tc>
          <w:tcPr/>
          <w:p>
            <w:pPr>
              <w:pStyle w:val="Compact"/>
              <w:jc w:val="right"/>
            </w:pPr>
            <w:r>
              <w:t xml:space="preserve">76.09</w:t>
            </w:r>
          </w:p>
        </w:tc>
        <w:tc>
          <w:tcPr/>
          <w:p>
            <w:pPr>
              <w:pStyle w:val="Compact"/>
              <w:jc w:val="right"/>
            </w:pPr>
            <w:r>
              <w:t xml:space="preserve">76.09</w:t>
            </w:r>
          </w:p>
        </w:tc>
        <w:tc>
          <w:tcPr/>
          <w:p>
            <w:pPr>
              <w:pStyle w:val="Compact"/>
              <w:jc w:val="right"/>
            </w:pPr>
            <w:r>
              <w:t xml:space="preserve">75.80</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77.21</w:t>
            </w:r>
          </w:p>
        </w:tc>
        <w:tc>
          <w:tcPr/>
          <w:p>
            <w:pPr>
              <w:pStyle w:val="Compact"/>
              <w:jc w:val="right"/>
            </w:pPr>
            <w:r>
              <w:t xml:space="preserve">77.10</w:t>
            </w:r>
          </w:p>
        </w:tc>
        <w:tc>
          <w:tcPr/>
          <w:p>
            <w:pPr>
              <w:pStyle w:val="Compact"/>
              <w:jc w:val="right"/>
            </w:pPr>
            <w:r>
              <w:t xml:space="preserve">76.67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78.00</w:t>
            </w:r>
          </w:p>
        </w:tc>
        <w:tc>
          <w:tcPr/>
          <w:p>
            <w:pPr>
              <w:pStyle w:val="Compact"/>
              <w:jc w:val="right"/>
            </w:pPr>
            <w:r>
              <w:t xml:space="preserve">78.00</w:t>
            </w:r>
          </w:p>
        </w:tc>
        <w:tc>
          <w:tcPr/>
          <w:p>
            <w:pPr>
              <w:pStyle w:val="Compact"/>
              <w:jc w:val="right"/>
            </w:pPr>
            <w:r>
              <w:t xml:space="preserve">77.45</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(29.0 % versus 20.3 %)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8.8 points more. The tax grows as payloads shrink: the more efficiently escalated images are encoded, the larger an always-on message is relative to them. The verifier’s ranking also generalises poorly: the best target reaches an AUC of 0.848 on its held-out validation images but 0.731 on test, the signature of a 1 372-dimensional input fitted on 1 820 images. On this evidence the embedding carries no routing information beyond what the edge posterior already exposes for free.</w:t>
      </w:r>
    </w:p>
    <w:p>
      <w:pPr>
        <w:pStyle w:val="BodyText"/>
      </w:pPr>
      <w:r>
        <w:t xml:space="preserve">Could the scalar signals themselves be improved? The edge models are trained with focal loss and label smoothing, which change the scale of their softmax, so we also calibrated the posterior by temperature scaling</w:t>
      </w:r>
      <w:r>
        <w:t xml:space="preserve"> </w:t>
      </w:r>
      <w:r>
        <w:t xml:space="preserve">[</w:t>
      </w:r>
      <w:hyperlink w:anchor="ref-guo2017calibration">
        <w:r>
          <w:rPr>
            <w:rStyle w:val="Hyperlink"/>
          </w:rPr>
          <w:t xml:space="preserve">32</w:t>
        </w:r>
      </w:hyperlink>
      <w:r>
        <w:t xml:space="preserve">]</w:t>
      </w:r>
      <w:r>
        <w:t xml:space="preserve"> </w:t>
      </w:r>
      <w:r>
        <w:t xml:space="preserve">on the validation split (</w:t>
      </w:r>
      <m:oMath>
        <m:r>
          <m:t>T</m:t>
        </m:r>
        <m:r>
          <m:rPr>
            <m:sty m:val="p"/>
          </m:rPr>
          <m:t>=</m:t>
        </m:r>
        <m:r>
          <m:t>0.84</m:t>
        </m:r>
      </m:oMath>
      <w:r>
        <w:t xml:space="preserve">; expected calibration error on test 0.097 before and 0.054 after) and tried the margin between the two largest logits. Every variant is calibrated by the same rule and evaluated on test (Table 9). For the original edge model, none improves on the plain margin by more than a few tenths of a point of escalation; for the distilled model of Section 6.4, the maximum probability needs 1.4 points less escalation than the margin. The differences between scalar signals are small compared with those between edge models, which is why we keep the pre-specified margin rule.</w:t>
      </w:r>
    </w:p>
    <w:bookmarkStart w:id="88" w:name="tab:auc"/>
    <w:p>
      <w:pPr>
        <w:pStyle w:val="TableCaption"/>
      </w:pPr>
      <w:r>
        <w:t xml:space="preserve">Table 9. Escalation signals: ranking quality and escalation needed.</w:t>
      </w:r>
    </w:p>
    <w:tbl>
      <w:tblPr>
        <w:tblStyle w:val="Table"/>
        <w:tblW w:type="pct" w:w="4839"/>
        <w:tblLayout w:type="fixed"/>
        <w:tblLook w:firstRow="1" w:lastRow="0" w:firstColumn="0" w:lastColumn="0" w:noHBand="0" w:noVBand="0" w:val="0020"/>
        <w:tblCaption w:val="Table 9. Escalation signals: ranking quality and escalation needed."/>
      </w:tblPr>
      <w:tblGrid>
        <w:gridCol w:w="2725"/>
        <w:gridCol w:w="1021"/>
        <w:gridCol w:w="1447"/>
        <w:gridCol w:w="1021"/>
        <w:gridCol w:w="1447"/>
      </w:tblGrid>
      <w:tr>
        <w:trPr>
          <w:tblHeader w:val="on"/>
        </w:trPr>
        <w:tc>
          <w:tcPr/>
          <w:p>
            <w:pPr>
              <w:pStyle w:val="Compact"/>
            </w:pPr>
          </w:p>
        </w:tc>
        <w:tc>
          <w:tcPr>
            <w:gridSpan w:val="2"/>
          </w:tcPr>
          <w:p>
            <w:pPr>
              <w:pStyle w:val="Compact"/>
              <w:jc w:val="right"/>
            </w:pPr>
            <w:r>
              <w:rPr>
                <w:b/>
                <w:bCs/>
              </w:rPr>
              <w:t xml:space="preserve">Original edge</w:t>
            </w:r>
          </w:p>
        </w:tc>
        <w:tc>
          <w:tcPr>
            <w:gridSpan w:val="2"/>
          </w:tcPr>
          <w:p>
            <w:pPr>
              <w:pStyle w:val="Compact"/>
              <w:jc w:val="right"/>
            </w:pPr>
            <w:r>
              <w:rPr>
                <w:b/>
                <w:bCs/>
              </w:rPr>
              <w:t xml:space="preserve">Distilled edge</w:t>
            </w:r>
          </w:p>
        </w:tc>
      </w:tr>
      <w:tr>
        <w:tc>
          <w:tcPr/>
          <w:p>
            <w:pPr>
              <w:pStyle w:val="Compact"/>
              <w:jc w:val="left"/>
            </w:pPr>
            <w:r>
              <w:t xml:space="preserve">2-3(l)4-5</w:t>
            </w:r>
            <w:r>
              <w:t xml:space="preserve"> </w:t>
            </w:r>
            <w:r>
              <w:rPr>
                <w:b/>
                <w:bCs/>
              </w:rPr>
              <w:t xml:space="preserve">Signal</w:t>
            </w:r>
          </w:p>
        </w:tc>
        <w:tc>
          <w:tcPr/>
          <w:p>
            <w:pPr>
              <w:pStyle w:val="Compact"/>
              <w:jc w:val="right"/>
            </w:pPr>
            <w:r>
              <w:rPr>
                <w:b/>
                <w:bCs/>
              </w:rPr>
              <w:t xml:space="preserve">AUC</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right"/>
            </w:pPr>
            <w:r>
              <w:rPr>
                <w:b/>
                <w:bCs/>
              </w:rPr>
              <w:t xml:space="preserve">AUC</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r>
      <w:tr>
        <w:tc>
          <w:tcPr/>
          <w:p>
            <w:pPr>
              <w:pStyle w:val="Compact"/>
              <w:jc w:val="left"/>
            </w:pPr>
            <m:oMath>
              <m:r>
                <m:t>1</m:t>
              </m:r>
              <m:r>
                <m:rPr>
                  <m:sty m:val="p"/>
                </m:rPr>
                <m:t>−</m:t>
              </m:r>
            </m:oMath>
            <w:r>
              <w:t xml:space="preserve"> </w:t>
            </w:r>
            <w:r>
              <w:t xml:space="preserve">margin (deployed)</w:t>
            </w:r>
          </w:p>
        </w:tc>
        <w:tc>
          <w:tcPr/>
          <w:p>
            <w:pPr>
              <w:pStyle w:val="Compact"/>
              <w:jc w:val="right"/>
            </w:pPr>
            <w:r>
              <w:t xml:space="preserve">0.810</w:t>
            </w:r>
          </w:p>
        </w:tc>
        <w:tc>
          <w:tcPr/>
          <w:p>
            <w:pPr>
              <w:pStyle w:val="Compact"/>
              <w:jc w:val="right"/>
            </w:pPr>
            <w:r>
              <w:t xml:space="preserve">20.3 %</w:t>
            </w:r>
          </w:p>
        </w:tc>
        <w:tc>
          <w:tcPr/>
          <w:p>
            <w:pPr>
              <w:pStyle w:val="Compact"/>
              <w:jc w:val="right"/>
            </w:pPr>
            <w:r>
              <w:t xml:space="preserve">0.830</w:t>
            </w:r>
          </w:p>
        </w:tc>
        <w:tc>
          <w:tcPr/>
          <w:p>
            <w:pPr>
              <w:pStyle w:val="Compact"/>
              <w:jc w:val="right"/>
            </w:pPr>
            <w:r>
              <w:t xml:space="preserve">15.9 %</w:t>
            </w:r>
          </w:p>
        </w:tc>
      </w:tr>
      <w:tr>
        <w:tc>
          <w:tcPr/>
          <w:p>
            <w:pPr>
              <w:pStyle w:val="Compact"/>
              <w:jc w:val="left"/>
            </w:pPr>
            <w:r>
              <w:t xml:space="preserve">temperature-scaled</w:t>
            </w:r>
          </w:p>
        </w:tc>
        <w:tc>
          <w:tcPr/>
          <w:p>
            <w:pPr>
              <w:pStyle w:val="Compact"/>
              <w:jc w:val="right"/>
            </w:pPr>
            <w:r>
              <w:t xml:space="preserve">0.811</w:t>
            </w:r>
          </w:p>
        </w:tc>
        <w:tc>
          <w:tcPr/>
          <w:p>
            <w:pPr>
              <w:pStyle w:val="Compact"/>
              <w:jc w:val="right"/>
            </w:pPr>
            <w:r>
              <w:t xml:space="preserve">20.7 %</w:t>
            </w:r>
          </w:p>
        </w:tc>
        <w:tc>
          <w:tcPr/>
          <w:p>
            <w:pPr>
              <w:pStyle w:val="Compact"/>
              <w:jc w:val="right"/>
            </w:pPr>
            <w:r>
              <w:t xml:space="preserve">0.829</w:t>
            </w:r>
          </w:p>
        </w:tc>
        <w:tc>
          <w:tcPr/>
          <w:p>
            <w:pPr>
              <w:pStyle w:val="Compact"/>
              <w:jc w:val="right"/>
            </w:pPr>
            <w:r>
              <w:t xml:space="preserve">16.6 %</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0.806</w:t>
            </w:r>
          </w:p>
        </w:tc>
        <w:tc>
          <w:tcPr/>
          <w:p>
            <w:pPr>
              <w:pStyle w:val="Compact"/>
              <w:jc w:val="right"/>
            </w:pPr>
            <w:r>
              <w:t xml:space="preserve">20.4 %</w:t>
            </w:r>
          </w:p>
        </w:tc>
        <w:tc>
          <w:tcPr/>
          <w:p>
            <w:pPr>
              <w:pStyle w:val="Compact"/>
              <w:jc w:val="right"/>
            </w:pPr>
            <w:r>
              <w:t xml:space="preserve">0.823</w:t>
            </w:r>
          </w:p>
        </w:tc>
        <w:tc>
          <w:tcPr/>
          <w:p>
            <w:pPr>
              <w:pStyle w:val="Compact"/>
              <w:jc w:val="right"/>
            </w:pPr>
            <w:r>
              <w:t xml:space="preserve">14.5 %</w:t>
            </w:r>
          </w:p>
        </w:tc>
      </w:tr>
      <w:tr>
        <w:tc>
          <w:tcPr/>
          <w:p>
            <w:pPr>
              <w:pStyle w:val="Compact"/>
              <w:jc w:val="left"/>
            </w:pPr>
            <w:r>
              <w:t xml:space="preserve">temperature-scaled</w:t>
            </w:r>
          </w:p>
        </w:tc>
        <w:tc>
          <w:tcPr/>
          <w:p>
            <w:pPr>
              <w:pStyle w:val="Compact"/>
              <w:jc w:val="right"/>
            </w:pPr>
            <w:r>
              <w:t xml:space="preserve">0.810</w:t>
            </w:r>
          </w:p>
        </w:tc>
        <w:tc>
          <w:tcPr/>
          <w:p>
            <w:pPr>
              <w:pStyle w:val="Compact"/>
              <w:jc w:val="right"/>
            </w:pPr>
            <w:r>
              <w:t xml:space="preserve">20.2 %</w:t>
            </w:r>
          </w:p>
        </w:tc>
        <w:tc>
          <w:tcPr/>
          <w:p>
            <w:pPr>
              <w:pStyle w:val="Compact"/>
              <w:jc w:val="right"/>
            </w:pPr>
            <w:r>
              <w:t xml:space="preserve">0.829</w:t>
            </w:r>
          </w:p>
        </w:tc>
        <w:tc>
          <w:tcPr/>
          <w:p>
            <w:pPr>
              <w:pStyle w:val="Compact"/>
              <w:jc w:val="right"/>
            </w:pPr>
            <w:r>
              <w:t xml:space="preserve">15.6 %</w:t>
            </w:r>
          </w:p>
        </w:tc>
      </w:tr>
      <w:tr>
        <w:tc>
          <w:tcPr/>
          <w:p>
            <w:pPr>
              <w:pStyle w:val="Compact"/>
              <w:jc w:val="left"/>
            </w:pPr>
            <w:r>
              <w:t xml:space="preserve">Entropy</w:t>
            </w:r>
          </w:p>
        </w:tc>
        <w:tc>
          <w:tcPr/>
          <w:p>
            <w:pPr>
              <w:pStyle w:val="Compact"/>
              <w:jc w:val="right"/>
            </w:pPr>
            <w:r>
              <w:t xml:space="preserve">0.790</w:t>
            </w:r>
          </w:p>
        </w:tc>
        <w:tc>
          <w:tcPr/>
          <w:p>
            <w:pPr>
              <w:pStyle w:val="Compact"/>
              <w:jc w:val="right"/>
            </w:pPr>
            <w:r>
              <w:t xml:space="preserve">22.7 %</w:t>
            </w:r>
          </w:p>
        </w:tc>
        <w:tc>
          <w:tcPr/>
          <w:p>
            <w:pPr>
              <w:pStyle w:val="Compact"/>
              <w:jc w:val="right"/>
            </w:pPr>
            <w:r>
              <w:t xml:space="preserve">0.797</w:t>
            </w:r>
          </w:p>
        </w:tc>
        <w:tc>
          <w:tcPr/>
          <w:p>
            <w:pPr>
              <w:pStyle w:val="Compact"/>
              <w:jc w:val="right"/>
            </w:pPr>
            <w:r>
              <w:t xml:space="preserve">15.7 %</w:t>
            </w:r>
          </w:p>
        </w:tc>
      </w:tr>
      <w:tr>
        <w:tc>
          <w:tcPr/>
          <w:p>
            <w:pPr>
              <w:pStyle w:val="Compact"/>
              <w:jc w:val="left"/>
            </w:pPr>
            <w:r>
              <w:t xml:space="preserve">temperature-scaled</w:t>
            </w:r>
          </w:p>
        </w:tc>
        <w:tc>
          <w:tcPr/>
          <w:p>
            <w:pPr>
              <w:pStyle w:val="Compact"/>
              <w:jc w:val="right"/>
            </w:pPr>
            <w:r>
              <w:t xml:space="preserve">0.797</w:t>
            </w:r>
          </w:p>
        </w:tc>
        <w:tc>
          <w:tcPr/>
          <w:p>
            <w:pPr>
              <w:pStyle w:val="Compact"/>
              <w:jc w:val="right"/>
            </w:pPr>
            <w:r>
              <w:t xml:space="preserve">21.2 %</w:t>
            </w:r>
          </w:p>
        </w:tc>
        <w:tc>
          <w:tcPr/>
          <w:p>
            <w:pPr>
              <w:pStyle w:val="Compact"/>
              <w:jc w:val="right"/>
            </w:pPr>
            <w:r>
              <w:t xml:space="preserve">0.814</w:t>
            </w:r>
          </w:p>
        </w:tc>
        <w:tc>
          <w:tcPr/>
          <w:p>
            <w:pPr>
              <w:pStyle w:val="Compact"/>
              <w:jc w:val="right"/>
            </w:pPr>
            <w:r>
              <w:t xml:space="preserve">14.8 %</w:t>
            </w:r>
          </w:p>
        </w:tc>
      </w:tr>
      <w:tr>
        <w:tc>
          <w:tcPr/>
          <w:p>
            <w:pPr>
              <w:pStyle w:val="Compact"/>
              <w:jc w:val="left"/>
            </w:pPr>
            <m:oMath>
              <m:r>
                <m:rPr>
                  <m:sty m:val="p"/>
                </m:rPr>
                <m:t>−</m:t>
              </m:r>
            </m:oMath>
            <w:r>
              <w:t xml:space="preserve">(logit margin)</w:t>
            </w:r>
          </w:p>
        </w:tc>
        <w:tc>
          <w:tcPr/>
          <w:p>
            <w:pPr>
              <w:pStyle w:val="Compact"/>
              <w:jc w:val="right"/>
            </w:pPr>
            <w:r>
              <w:t xml:space="preserve">0.810</w:t>
            </w:r>
          </w:p>
        </w:tc>
        <w:tc>
          <w:tcPr/>
          <w:p>
            <w:pPr>
              <w:pStyle w:val="Compact"/>
              <w:jc w:val="right"/>
            </w:pPr>
            <w:r>
              <w:t xml:space="preserve">21.5 %</w:t>
            </w:r>
          </w:p>
        </w:tc>
        <w:tc>
          <w:tcPr/>
          <w:p>
            <w:pPr>
              <w:pStyle w:val="Compact"/>
              <w:jc w:val="right"/>
            </w:pPr>
            <w:r>
              <w:t xml:space="preserve">0.821</w:t>
            </w:r>
          </w:p>
        </w:tc>
        <w:tc>
          <w:tcPr/>
          <w:p>
            <w:pPr>
              <w:pStyle w:val="Compact"/>
              <w:jc w:val="right"/>
            </w:pPr>
            <w:r>
              <w:t xml:space="preserve">17.3 %</w:t>
            </w:r>
          </w:p>
        </w:tc>
      </w:tr>
      <w:tr>
        <w:tc>
          <w:tcPr/>
          <w:p>
            <w:pPr>
              <w:pStyle w:val="Compact"/>
              <w:jc w:val="left"/>
            </w:pPr>
            <w:r>
              <w:t xml:space="preserve">Cloud-supervised MLP verifier</w:t>
            </w:r>
          </w:p>
        </w:tc>
        <w:tc>
          <w:tcPr/>
          <w:p>
            <w:pPr>
              <w:pStyle w:val="Compact"/>
              <w:jc w:val="right"/>
            </w:pPr>
            <w:r>
              <w:t xml:space="preserve">0.731</w:t>
            </w:r>
          </w:p>
        </w:tc>
        <w:tc>
          <w:tcPr/>
          <w:p>
            <w:pPr>
              <w:pStyle w:val="Compact"/>
              <w:jc w:val="right"/>
            </w:pPr>
            <w:r>
              <w:t xml:space="preserve">29.0 %</w:t>
            </w:r>
          </w:p>
        </w:tc>
        <w:tc>
          <w:tcPr/>
          <w:p>
            <w:r>
              <w:pict>
                <v:rect style="width:0;height:1.5pt" o:hralign="center" o:hrstd="t" o:hr="t"/>
              </w:pict>
            </w:r>
          </w:p>
        </w:tc>
        <w:tc>
          <w:tcPr/>
          <w:p>
            <w:r>
              <w:pict>
                <v:rect style="width:0;height:1.5pt" o:hralign="center" o:hrstd="t" o:hr="t"/>
              </w:pict>
            </w:r>
          </w:p>
        </w:tc>
      </w:tr>
    </w:tbl>
    <w:bookmarkEnd w:id="88"/>
    <w:bookmarkStart w:id="92" w:name="fig:verifier"/>
    <w:p>
      <w:pPr>
        <w:pStyle w:val="CaptionedFigure"/>
      </w:pPr>
      <w:r>
        <w:drawing>
          <wp:inline>
            <wp:extent cx="5334000" cy="2008544"/>
            <wp:effectExtent b="0" l="0" r="0" t="0"/>
            <wp:docPr descr="Figure 10. Cloud-supervised verifier versus scalar signals. (a) Ranking quality (AUC). (b) Uplink per diagnosis at 95 % of cloud accuracy."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Cloud-supervised verifier versus scalar signals. (a) Ranking quality (AUC). (b) Uplink per diagnosis at 95 % of cloud accuracy.</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 Both edge models are evaluated from the same per-image predictions as Table 7, with thresholds calibrated on validation by the rule of Section 3.4.</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41</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69.3 % before distillation. With its threshold recalibrated on validation by the same rule (Section 3.4;</w:t>
      </w:r>
      <w:r>
        <w:t xml:space="preserve"> </w:t>
      </w:r>
      <m:oMath>
        <m:r>
          <m:t>τ</m:t>
        </m:r>
        <m:r>
          <m:rPr>
            <m:sty m:val="p"/>
          </m:rPr>
          <m:t>=</m:t>
        </m:r>
        <m:r>
          <m:t>0.072</m:t>
        </m:r>
      </m:oMath>
      <w:r>
        <w:t xml:space="preserve">), it escalates 12.3 % of test images instead of 18.6 % while delivering 94.0 % of cloud accuracy, so uplink traffic falls 8.1-fold instead of 5.4-fold; on the test curve the 95 % target is reached at 15.9 % escalation instead of 20.3 %. Part of the recalibrated model’s saving comes from accepting slightly lower accuracy (94.0 % of cloud accuracy against 94.6 %), but most of it does not: to match the original model’s 75.82 %, the distilled model needs 14.3 % escalation instead of 18.6 %, a 7.0-fold reduction instead of 5.4-fold. The gain costs nothing at run time and needs nothing the system does not already have: a stronger edge model obtained from the cloud model itself. Section 6.7 confirms it on the devices.</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about 1 812 images, whose 339 escalated images are used to fine-tune the deployed model, and a second week of the remaining images for evaluation, and repeated the experiment over 5 random partitions. Fine-tuning runs for eight short epochs (AdamW, learning rate</w:t>
      </w:r>
      <w:r>
        <w:t xml:space="preserve"> </w:t>
      </w:r>
      <m:oMath>
        <m:sSup>
          <m:e>
            <m:r>
              <m:t>10</m:t>
            </m:r>
          </m:e>
          <m:sup>
            <m:r>
              <m:rPr>
                <m:sty m:val="p"/>
              </m:rPr>
              <m:t>−</m:t>
            </m:r>
            <m:r>
              <m:t>4</m:t>
            </m:r>
          </m:sup>
        </m:sSup>
      </m:oMath>
      <w:r>
        <w:t xml:space="preserve"> </w:t>
      </w:r>
      <w:r>
        <w:t xml:space="preserve">with 10 % warm-up and cosine decay, the loss of the distillation recipe), each mixing the escalated images, repeated four times, with 2 000 rehearsal images drawn from the training split by the original training’s class-balanced sampler; the threshold stays at the deployed</w:t>
      </w:r>
      <w:r>
        <w:t xml:space="preserve"> </w:t>
      </w:r>
      <m:oMath>
        <m:r>
          <m:t>τ</m:t>
        </m:r>
      </m:oMath>
      <w:r>
        <w:t xml:space="preserve">. Because further fine-tuning perturbs a trained model by itself, the reference for the escalated images is a control that fine-tunes on rehearsal images only: it needs +1.5 </w:t>
      </w:r>
      <m:oMath>
        <m:r>
          <m:rPr>
            <m:sty m:val="p"/>
          </m:rPr>
          <m:t>±</m:t>
        </m:r>
      </m:oMath>
      <w:r>
        <w:t xml:space="preserve"> 0.5 points more escalation than the unchanged model, consistently across partitions. Against this control, one week of escalations did not improve the edge model, whatever labels the escalated images carried (Table 10; differences in escalation @95 %, mean</w:t>
      </w:r>
      <w:r>
        <w:t xml:space="preserve"> </w:t>
      </w:r>
      <m:oMath>
        <m:r>
          <m:rPr>
            <m:sty m:val="p"/>
          </m:rPr>
          <m:t>±</m:t>
        </m:r>
      </m:oMath>
      <w:r>
        <w:t xml:space="preserve"> </w:t>
      </w:r>
      <w:r>
        <w:t xml:space="preserve">standard deviation over partitions): +1.4 </w:t>
      </w:r>
      <m:oMath>
        <m:r>
          <m:rPr>
            <m:sty m:val="p"/>
          </m:rPr>
          <m:t>±</m:t>
        </m:r>
      </m:oMath>
      <w:r>
        <w:t xml:space="preserve"> 1.9 points with the ensemble’s top-1 labels, +1.7 </w:t>
      </w:r>
      <m:oMath>
        <m:r>
          <m:rPr>
            <m:sty m:val="p"/>
          </m:rPr>
          <m:t>±</m:t>
        </m:r>
      </m:oMath>
      <w:r>
        <w:t xml:space="preserve"> 2.3 with its probabilities, -0.3 </w:t>
      </w:r>
      <m:oMath>
        <m:r>
          <m:rPr>
            <m:sty m:val="p"/>
          </m:rPr>
          <m:t>±</m:t>
        </m:r>
      </m:oMath>
      <w:r>
        <w:t xml:space="preserve"> 1.6 with its probabilities on confident escalations only, and +2.1 </w:t>
      </w:r>
      <m:oMath>
        <m:r>
          <m:rPr>
            <m:sty m:val="p"/>
          </m:rPr>
          <m:t>±</m:t>
        </m:r>
      </m:oMath>
      <w:r>
        <w:t xml:space="preserve"> 3.1 even with farmer-confirmed true labels. The fixed-threshold columns show the mechanism: the models fine-tuned on escalations escalate fewer images at</w:t>
      </w:r>
      <w:r>
        <w:t xml:space="preserve"> </w:t>
      </w:r>
      <m:oMath>
        <m:r>
          <m:t>τ</m:t>
        </m:r>
      </m:oMath>
      <w:r>
        <w:t xml:space="preserve"> </w:t>
      </w:r>
      <w:r>
        <w:t xml:space="preserve">than the control but deliver lower accuracy, so they become more confident on the hard cases they were shown without becoming more often right. The 339 images — about four per class, and the hardest the edge sees — are memorised rather than generalised from by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distillation and one-week loop pilot.</w:t>
      </w:r>
    </w:p>
    <w:tbl>
      <w:tblPr>
        <w:tblStyle w:val="Table"/>
        <w:tblW w:type="pct" w:w="4851"/>
        <w:tblLayout w:type="fixed"/>
        <w:tblLook w:firstRow="0" w:lastRow="0" w:firstColumn="0" w:lastColumn="0" w:noHBand="0" w:noVBand="0" w:val="0000"/>
        <w:tblCaption w:val="Table 10. The ensemble as a teacher: distillation and one-week loop pilot."/>
      </w:tblPr>
      <w:tblGrid>
        <w:gridCol w:w="2009"/>
        <w:gridCol w:w="1122"/>
        <w:gridCol w:w="1122"/>
        <w:gridCol w:w="1182"/>
        <w:gridCol w:w="1122"/>
        <w:gridCol w:w="1122"/>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69.3 %</w:t>
            </w:r>
          </w:p>
        </w:tc>
        <w:tc>
          <w:tcPr/>
          <w:p>
            <w:pPr>
              <w:pStyle w:val="Compact"/>
              <w:jc w:val="right"/>
            </w:pPr>
            <w:r>
              <w:t xml:space="preserve">18.6 %</w:t>
            </w:r>
          </w:p>
        </w:tc>
        <w:tc>
          <w:tcPr/>
          <w:p>
            <w:pPr>
              <w:pStyle w:val="Compact"/>
              <w:jc w:val="right"/>
            </w:pPr>
            <w:r>
              <w:t xml:space="preserve">75.8 % (94.6)</w:t>
            </w:r>
          </w:p>
        </w:tc>
        <w:tc>
          <w:tcPr/>
          <w:p>
            <w:pPr>
              <w:pStyle w:val="Compact"/>
              <w:jc w:val="right"/>
            </w:pPr>
            <w:r>
              <w:t xml:space="preserve">5.4</w:t>
            </w:r>
          </w:p>
        </w:tc>
        <w:tc>
          <w:tcPr/>
          <w:p>
            <w:pPr>
              <w:pStyle w:val="Compact"/>
              <w:jc w:val="right"/>
            </w:pPr>
            <w:r>
              <w:t xml:space="preserve">20.3 %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12.3 %</w:t>
            </w:r>
          </w:p>
        </w:tc>
        <w:tc>
          <w:tcPr/>
          <w:p>
            <w:pPr>
              <w:pStyle w:val="Compact"/>
              <w:jc w:val="right"/>
            </w:pPr>
            <w:r>
              <w:rPr>
                <w:b/>
                <w:bCs/>
              </w:rPr>
              <w:t xml:space="preserve">75.4 % (94.0)</w:t>
            </w:r>
          </w:p>
        </w:tc>
        <w:tc>
          <w:tcPr/>
          <w:p>
            <w:pPr>
              <w:pStyle w:val="Compact"/>
              <w:jc w:val="right"/>
            </w:pPr>
            <w:r>
              <w:rPr>
                <w:b/>
                <w:bCs/>
              </w:rPr>
              <w:t xml:space="preserve">8.1</w:t>
            </w:r>
          </w:p>
        </w:tc>
        <w:tc>
          <w:tcPr/>
          <w:p>
            <w:pPr>
              <w:pStyle w:val="Compact"/>
              <w:jc w:val="right"/>
            </w:pPr>
            <w:r>
              <w:rPr>
                <w:b/>
                <w:bCs/>
              </w:rPr>
              <w:t xml:space="preserve">15.9 %</w:t>
            </w:r>
          </w:p>
        </w:tc>
      </w:tr>
      <w:tr>
        <w:tc>
          <w:tcPr>
            <w:gridSpan w:val="6"/>
          </w:tcPr>
          <w:p>
            <w:pPr>
              <w:pStyle w:val="Compact"/>
              <w:jc w:val="left"/>
            </w:pPr>
            <w:r>
              <w:rPr>
                <w:i/>
                <w:iCs/>
              </w:rPr>
              <w:t xml:space="preserve">Loop pilot, week 2, mean of 5 partitions; 339 escalations labelled by</w:t>
            </w:r>
          </w:p>
        </w:tc>
      </w:tr>
      <w:tr>
        <w:tc>
          <w:tcPr/>
          <w:p>
            <w:pPr>
              <w:pStyle w:val="Compact"/>
              <w:jc w:val="left"/>
            </w:pPr>
            <w:r>
              <w:t xml:space="preserve">No update</w:t>
            </w:r>
          </w:p>
        </w:tc>
        <w:tc>
          <w:tcPr/>
          <w:p>
            <w:pPr>
              <w:pStyle w:val="Compact"/>
              <w:jc w:val="right"/>
            </w:pPr>
            <w:r>
              <w:t xml:space="preserve">69.4 %</w:t>
            </w:r>
          </w:p>
        </w:tc>
        <w:tc>
          <w:tcPr/>
          <w:p>
            <w:pPr>
              <w:pStyle w:val="Compact"/>
              <w:jc w:val="right"/>
            </w:pPr>
            <w:r>
              <w:t xml:space="preserve">18.4 %</w:t>
            </w:r>
          </w:p>
        </w:tc>
        <w:tc>
          <w:tcPr/>
          <w:p>
            <w:pPr>
              <w:pStyle w:val="Compact"/>
              <w:jc w:val="right"/>
            </w:pPr>
            <w:r>
              <w:t xml:space="preserve">76.0 % (94.9)</w:t>
            </w:r>
          </w:p>
        </w:tc>
        <w:tc>
          <w:tcPr/>
          <w:p>
            <w:pPr>
              <w:pStyle w:val="Compact"/>
              <w:jc w:val="right"/>
            </w:pPr>
            <w:r>
              <w:t xml:space="preserve">5.4</w:t>
            </w:r>
          </w:p>
        </w:tc>
        <w:tc>
          <w:tcPr/>
          <w:p>
            <w:pPr>
              <w:pStyle w:val="Compact"/>
              <w:jc w:val="right"/>
            </w:pPr>
            <w:r>
              <w:t xml:space="preserve">18.7 </w:t>
            </w:r>
            <m:oMath>
              <m:r>
                <m:rPr>
                  <m:sty m:val="p"/>
                </m:rPr>
                <m:t>±</m:t>
              </m:r>
            </m:oMath>
            <w:r>
              <w:t xml:space="preserve"> 2.1 %</w:t>
            </w:r>
          </w:p>
        </w:tc>
      </w:tr>
      <w:tr>
        <w:tc>
          <w:tcPr/>
          <w:p>
            <w:pPr>
              <w:pStyle w:val="Compact"/>
              <w:jc w:val="left"/>
            </w:pPr>
            <w:r>
              <w:t xml:space="preserve">No new images (control)</w:t>
            </w:r>
          </w:p>
        </w:tc>
        <w:tc>
          <w:tcPr/>
          <w:p>
            <w:pPr>
              <w:pStyle w:val="Compact"/>
              <w:jc w:val="right"/>
            </w:pPr>
            <w:r>
              <w:t xml:space="preserve">69.2 %</w:t>
            </w:r>
          </w:p>
        </w:tc>
        <w:tc>
          <w:tcPr/>
          <w:p>
            <w:pPr>
              <w:pStyle w:val="Compact"/>
              <w:jc w:val="right"/>
            </w:pPr>
            <w:r>
              <w:t xml:space="preserve">20.1 %</w:t>
            </w:r>
          </w:p>
        </w:tc>
        <w:tc>
          <w:tcPr/>
          <w:p>
            <w:pPr>
              <w:pStyle w:val="Compact"/>
              <w:jc w:val="right"/>
            </w:pPr>
            <w:r>
              <w:t xml:space="preserve">76.2 % (95.2)</w:t>
            </w:r>
          </w:p>
        </w:tc>
        <w:tc>
          <w:tcPr/>
          <w:p>
            <w:pPr>
              <w:pStyle w:val="Compact"/>
              <w:jc w:val="right"/>
            </w:pPr>
            <w:r>
              <w:t xml:space="preserve">5.0</w:t>
            </w:r>
          </w:p>
        </w:tc>
        <w:tc>
          <w:tcPr/>
          <w:p>
            <w:pPr>
              <w:pStyle w:val="Compact"/>
              <w:jc w:val="right"/>
            </w:pPr>
            <w:r>
              <w:t xml:space="preserve">20.2 </w:t>
            </w:r>
            <m:oMath>
              <m:r>
                <m:rPr>
                  <m:sty m:val="p"/>
                </m:rPr>
                <m:t>±</m:t>
              </m:r>
            </m:oMath>
            <w:r>
              <w:t xml:space="preserve"> 1.9 %</w:t>
            </w:r>
          </w:p>
        </w:tc>
      </w:tr>
      <w:tr>
        <w:tc>
          <w:tcPr/>
          <w:p>
            <w:pPr>
              <w:pStyle w:val="Compact"/>
              <w:jc w:val="left"/>
            </w:pPr>
            <w:r>
              <w:t xml:space="preserve">Ensemble, top-1 label</w:t>
            </w:r>
          </w:p>
        </w:tc>
        <w:tc>
          <w:tcPr/>
          <w:p>
            <w:pPr>
              <w:pStyle w:val="Compact"/>
              <w:jc w:val="right"/>
            </w:pPr>
            <w:r>
              <w:t xml:space="preserve">68.9 %</w:t>
            </w:r>
          </w:p>
        </w:tc>
        <w:tc>
          <w:tcPr/>
          <w:p>
            <w:pPr>
              <w:pStyle w:val="Compact"/>
              <w:jc w:val="right"/>
            </w:pPr>
            <w:r>
              <w:t xml:space="preserve">17.1 %</w:t>
            </w:r>
          </w:p>
        </w:tc>
        <w:tc>
          <w:tcPr/>
          <w:p>
            <w:pPr>
              <w:pStyle w:val="Compact"/>
              <w:jc w:val="right"/>
            </w:pPr>
            <w:r>
              <w:t xml:space="preserve">74.9 % (93.6)</w:t>
            </w:r>
          </w:p>
        </w:tc>
        <w:tc>
          <w:tcPr/>
          <w:p>
            <w:pPr>
              <w:pStyle w:val="Compact"/>
              <w:jc w:val="right"/>
            </w:pPr>
            <w:r>
              <w:t xml:space="preserve">5.9</w:t>
            </w:r>
          </w:p>
        </w:tc>
        <w:tc>
          <w:tcPr/>
          <w:p>
            <w:pPr>
              <w:pStyle w:val="Compact"/>
              <w:jc w:val="right"/>
            </w:pPr>
            <w:r>
              <w:t xml:space="preserve">21.7 </w:t>
            </w:r>
            <m:oMath>
              <m:r>
                <m:rPr>
                  <m:sty m:val="p"/>
                </m:rPr>
                <m:t>±</m:t>
              </m:r>
            </m:oMath>
            <w:r>
              <w:t xml:space="preserve"> 2.7 %</w:t>
            </w:r>
          </w:p>
        </w:tc>
      </w:tr>
      <w:tr>
        <w:tc>
          <w:tcPr/>
          <w:p>
            <w:pPr>
              <w:pStyle w:val="Compact"/>
              <w:jc w:val="left"/>
            </w:pPr>
            <w:r>
              <w:t xml:space="preserve">Ensemble, probabilities</w:t>
            </w:r>
          </w:p>
        </w:tc>
        <w:tc>
          <w:tcPr/>
          <w:p>
            <w:pPr>
              <w:pStyle w:val="Compact"/>
              <w:jc w:val="right"/>
            </w:pPr>
            <w:r>
              <w:t xml:space="preserve">69.3 %</w:t>
            </w:r>
          </w:p>
        </w:tc>
        <w:tc>
          <w:tcPr/>
          <w:p>
            <w:pPr>
              <w:pStyle w:val="Compact"/>
              <w:jc w:val="right"/>
            </w:pPr>
            <w:r>
              <w:t xml:space="preserve">18.6 %</w:t>
            </w:r>
          </w:p>
        </w:tc>
        <w:tc>
          <w:tcPr/>
          <w:p>
            <w:pPr>
              <w:pStyle w:val="Compact"/>
              <w:jc w:val="right"/>
            </w:pPr>
            <w:r>
              <w:t xml:space="preserve">75.4 % (94.2)</w:t>
            </w:r>
          </w:p>
        </w:tc>
        <w:tc>
          <w:tcPr/>
          <w:p>
            <w:pPr>
              <w:pStyle w:val="Compact"/>
              <w:jc w:val="right"/>
            </w:pPr>
            <w:r>
              <w:t xml:space="preserve">5.4</w:t>
            </w:r>
          </w:p>
        </w:tc>
        <w:tc>
          <w:tcPr/>
          <w:p>
            <w:pPr>
              <w:pStyle w:val="Compact"/>
              <w:jc w:val="right"/>
            </w:pPr>
            <w:r>
              <w:t xml:space="preserve">21.9 </w:t>
            </w:r>
            <m:oMath>
              <m:r>
                <m:rPr>
                  <m:sty m:val="p"/>
                </m:rPr>
                <m:t>±</m:t>
              </m:r>
            </m:oMath>
            <w:r>
              <w:t xml:space="preserve"> 2.6 %</w:t>
            </w:r>
          </w:p>
        </w:tc>
      </w:tr>
      <w:tr>
        <w:tc>
          <w:tcPr/>
          <w:p>
            <w:pPr>
              <w:pStyle w:val="Compact"/>
              <w:jc w:val="left"/>
            </w:pPr>
            <w:r>
              <w:t xml:space="preserve">Ensemble, confident only (131)</w:t>
            </w:r>
          </w:p>
        </w:tc>
        <w:tc>
          <w:tcPr/>
          <w:p>
            <w:pPr>
              <w:pStyle w:val="Compact"/>
              <w:jc w:val="right"/>
            </w:pPr>
            <w:r>
              <w:t xml:space="preserve">69.5 %</w:t>
            </w:r>
          </w:p>
        </w:tc>
        <w:tc>
          <w:tcPr/>
          <w:p>
            <w:pPr>
              <w:pStyle w:val="Compact"/>
              <w:jc w:val="right"/>
            </w:pPr>
            <w:r>
              <w:t xml:space="preserve">18.5 %</w:t>
            </w:r>
          </w:p>
        </w:tc>
        <w:tc>
          <w:tcPr/>
          <w:p>
            <w:pPr>
              <w:pStyle w:val="Compact"/>
              <w:jc w:val="right"/>
            </w:pPr>
            <w:r>
              <w:t xml:space="preserve">75.8 % (94.7)</w:t>
            </w:r>
          </w:p>
        </w:tc>
        <w:tc>
          <w:tcPr/>
          <w:p>
            <w:pPr>
              <w:pStyle w:val="Compact"/>
              <w:jc w:val="right"/>
            </w:pPr>
            <w:r>
              <w:t xml:space="preserve">5.4</w:t>
            </w:r>
          </w:p>
        </w:tc>
        <w:tc>
          <w:tcPr/>
          <w:p>
            <w:pPr>
              <w:pStyle w:val="Compact"/>
              <w:jc w:val="right"/>
            </w:pPr>
            <w:r>
              <w:t xml:space="preserve">19.9 </w:t>
            </w:r>
            <m:oMath>
              <m:r>
                <m:rPr>
                  <m:sty m:val="p"/>
                </m:rPr>
                <m:t>±</m:t>
              </m:r>
            </m:oMath>
            <w:r>
              <w:t xml:space="preserve"> 2.3 %</w:t>
            </w:r>
          </w:p>
        </w:tc>
      </w:tr>
      <w:tr>
        <w:tc>
          <w:tcPr/>
          <w:p>
            <w:pPr>
              <w:pStyle w:val="Compact"/>
              <w:jc w:val="left"/>
            </w:pPr>
            <w:r>
              <w:t xml:space="preserve">True label (farmer)</w:t>
            </w:r>
          </w:p>
        </w:tc>
        <w:tc>
          <w:tcPr/>
          <w:p>
            <w:pPr>
              <w:pStyle w:val="Compact"/>
              <w:jc w:val="right"/>
            </w:pPr>
            <w:r>
              <w:t xml:space="preserve">68.8 %</w:t>
            </w:r>
          </w:p>
        </w:tc>
        <w:tc>
          <w:tcPr/>
          <w:p>
            <w:pPr>
              <w:pStyle w:val="Compact"/>
              <w:jc w:val="right"/>
            </w:pPr>
            <w:r>
              <w:t xml:space="preserve">17.5 %</w:t>
            </w:r>
          </w:p>
        </w:tc>
        <w:tc>
          <w:tcPr/>
          <w:p>
            <w:pPr>
              <w:pStyle w:val="Compact"/>
              <w:jc w:val="right"/>
            </w:pPr>
            <w:r>
              <w:t xml:space="preserve">74.8 % (93.4)</w:t>
            </w:r>
          </w:p>
        </w:tc>
        <w:tc>
          <w:tcPr/>
          <w:p>
            <w:pPr>
              <w:pStyle w:val="Compact"/>
              <w:jc w:val="right"/>
            </w:pPr>
            <w:r>
              <w:t xml:space="preserve">5.7</w:t>
            </w:r>
          </w:p>
        </w:tc>
        <w:tc>
          <w:tcPr/>
          <w:p>
            <w:pPr>
              <w:pStyle w:val="Compact"/>
              <w:jc w:val="right"/>
            </w:pPr>
            <w:r>
              <w:t xml:space="preserve">22.3 </w:t>
            </w:r>
            <m:oMath>
              <m:r>
                <m:rPr>
                  <m:sty m:val="p"/>
                </m:rPr>
                <m:t>±</m:t>
              </m:r>
            </m:oMath>
            <w:r>
              <w:t xml:space="preserve"> 2.5 %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Each measurement is for a single image (batch size 1); deployment values are medians over the baseline deployment.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path to a diagnosis: the farm answers in a median of 77 ms over all images (95 % within 164 ms) — 74 ms for images answered locally and 139 ms for escalated images, whose answer waits for the upload to the cloud queue (Section 4.3) — and the ensemble’s confirmation arrives with the next batch. Figure 12a shows this time to the farmer’s answer for every image of the baseline deployment: escalated images are answered by the edge as soon as their upload to the cloud queue is acknowledged, and confirmed by the cloud at the next batch. Figure 12b breaks the cost of one escalation into edge inference on the Pi, upload and Nano compute, excluding the wait for the next batch and the per-batch model loading.</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w:t>
      </w:r>
    </w:p>
    <w:tbl>
      <w:tblPr>
        <w:tblStyle w:val="Table"/>
        <w:tblW w:type="pct" w:w="4885"/>
        <w:tblLayout w:type="fixed"/>
        <w:tblLook w:firstRow="1" w:lastRow="0" w:firstColumn="0" w:lastColumn="0" w:noHBand="0" w:noVBand="0" w:val="0020"/>
        <w:tblCaption w:val="Table 11. Latency measured on the embedded devices."/>
      </w:tblPr>
      <w:tblGrid>
        <w:gridCol w:w="1547"/>
        <w:gridCol w:w="4915"/>
        <w:gridCol w:w="1274"/>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(deployment)</w:t>
            </w:r>
          </w:p>
        </w:tc>
        <w:tc>
          <w:tcPr/>
          <w:p>
            <w:pPr>
              <w:pStyle w:val="Compact"/>
              <w:jc w:val="right"/>
            </w:pPr>
            <w:r>
              <w:t xml:space="preserve">70 ms</w:t>
            </w:r>
          </w:p>
        </w:tc>
      </w:tr>
      <w:tr>
        <w:tc>
          <w:tcPr/>
          <w:p>
            <w:pPr>
              <w:pStyle w:val="Compact"/>
            </w:pPr>
          </w:p>
        </w:tc>
        <w:tc>
          <w:tcPr/>
          <w:p>
            <w:pPr>
              <w:pStyle w:val="Compact"/>
              <w:jc w:val="left"/>
            </w:pPr>
            <w:r>
              <w:t xml:space="preserve">answer on the farm, end to end (deployment)</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(deployment)</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(deployment)</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(deployment)</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emulated deployment</w:t>
      </w:r>
    </w:p>
    <w:p>
      <w:pPr>
        <w:pStyle w:val="FirstParagraph"/>
      </w:pPr>
      <w:r>
        <w:t xml:space="preserve">Over the emulated week of the baseline deployment,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figure shows the escalations per simulated hour, by farm, with nights shaded, and the cumulative uploaded bytes against the same images uploaded with the same payload by an always-cloud design; its green curve is the distilled deployment (Section 6.7).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which like all offline results are computed from the original full-resolution files, reach 66.5 %, and the two agree on 652/684 images (95.3 %). Running the workstation’s reference pipeline on both inputs separates the two causes: on these images it is correct on 66.8 % from the original files and on 68.1 % from the 448 px payload, so the payload itself does not cost accuracy, and the Nano agrees with it on 662/684 images, the remainder being the decoder difference of Section 5.5.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emulation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Delivered accuracy also differs between farms, from 62.2 % (solanaceae) to 81.6 % (market garden), but mostly because the farms’ crops differ in difficulty for the cloud model too: measured against each farm’s own always-cloud accuracy (last column of Table 12), every farm receives between 93.8 % and 96.2 % of what the ensemble alone would deliver, solanaceae included (93.8 %). Figure 14 shows the operations console at the end of the baseline deployment. It displays the simulated clock and node status, fleet indicators, escalations per simulated hour, per-farm cards, the topology, latency by stage and a feed of the most recent diagnoses.</w:t>
      </w:r>
    </w:p>
    <w:bookmarkStart w:id="100" w:name="tab:fleet"/>
    <w:p>
      <w:pPr>
        <w:pStyle w:val="TableCaption"/>
      </w:pPr>
      <w:r>
        <w:t xml:space="preserve">Table 12. Per-farm results of the baseline deployment.</w:t>
      </w:r>
    </w:p>
    <w:tbl>
      <w:tblPr>
        <w:tblStyle w:val="Table"/>
        <w:tblW w:type="auto" w:w="0"/>
        <w:tblLook w:firstRow="0" w:lastRow="0" w:firstColumn="0" w:lastColumn="0" w:noHBand="0" w:noVBand="0" w:val="0000"/>
        <w:tblCaption w:val="Table 12. Per-farm results of the baseline deployment."/>
      </w:tblPr>
      <w:tblGrid>
        <w:gridCol w:w="990"/>
        <w:gridCol w:w="990"/>
        <w:gridCol w:w="990"/>
        <w:gridCol w:w="990"/>
        <w:gridCol w:w="990"/>
        <w:gridCol w:w="990"/>
        <w:gridCol w:w="990"/>
        <w:gridCol w:w="990"/>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w:t>
            </w:r>
          </w:p>
        </w:tc>
        <w:tc>
          <w:tcPr/>
          <w:p>
            <w:pPr>
              <w:pStyle w:val="Compact"/>
              <w:jc w:val="right"/>
            </w:pPr>
            <w:r>
              <w:rPr>
                <w:b/>
                <w:bCs/>
              </w:rPr>
              <w:t xml:space="preserve">Reduc-</w:t>
            </w:r>
          </w:p>
        </w:tc>
        <w:tc>
          <w:tcPr/>
          <w:p>
            <w:pPr>
              <w:pStyle w:val="Compact"/>
              <w:jc w:val="right"/>
            </w:pPr>
            <w:r>
              <w:rPr>
                <w:b/>
                <w:bCs/>
              </w:rPr>
              <w:t xml:space="preserve">Top-1</w:t>
            </w:r>
          </w:p>
        </w:tc>
        <w:tc>
          <w:tcPr/>
          <w:p>
            <w:pPr>
              <w:pStyle w:val="Compact"/>
              <w:jc w:val="right"/>
            </w:pPr>
            <w:r>
              <w:rPr>
                <w:b/>
                <w:bCs/>
              </w:rPr>
              <w:t xml:space="preserve">Cloud</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cloud (MB)</w:t>
            </w:r>
          </w:p>
        </w:tc>
        <w:tc>
          <w:tcPr/>
          <w:p>
            <w:pPr>
              <w:pStyle w:val="Compact"/>
              <w:jc w:val="right"/>
            </w:pPr>
            <w:r>
              <w:rPr>
                <w:b/>
                <w:bCs/>
              </w:rPr>
              <w:t xml:space="preserve">tion</w:t>
            </w:r>
          </w:p>
        </w:tc>
        <w:tc>
          <w:tcPr/>
          <w:p>
            <w:pPr>
              <w:pStyle w:val="Compact"/>
            </w:pPr>
          </w:p>
        </w:tc>
        <w:tc>
          <w:tcPr/>
          <w:p>
            <w:pPr>
              <w:pStyle w:val="Compact"/>
              <w:jc w:val="right"/>
            </w:pPr>
            <w:r>
              <w:rPr>
                <w:b/>
                <w:bCs/>
              </w:rPr>
              <w:t xml:space="preserve">top-1</w:t>
            </w: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c>
          <w:tcPr/>
          <w:p>
            <w:pPr>
              <w:pStyle w:val="Compact"/>
              <w:jc w:val="right"/>
            </w:pPr>
            <w:r>
              <w:t xml:space="preserve">84.3 %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c>
          <w:tcPr/>
          <w:p>
            <w:pPr>
              <w:pStyle w:val="Compact"/>
              <w:jc w:val="right"/>
            </w:pPr>
            <w:r>
              <w:t xml:space="preserve">66.3 %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c>
          <w:tcPr/>
          <w:p>
            <w:pPr>
              <w:pStyle w:val="Compact"/>
              <w:jc w:val="right"/>
            </w:pPr>
            <w:r>
              <w:t xml:space="preserve">80.1 %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c>
          <w:tcPr/>
          <w:p>
            <w:pPr>
              <w:pStyle w:val="Compact"/>
              <w:jc w:val="right"/>
            </w:pPr>
            <w:r>
              <w:t xml:space="preserve">84.8 %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c>
          <w:tcPr/>
          <w:p>
            <w:pPr>
              <w:pStyle w:val="Compact"/>
              <w:jc w:val="right"/>
            </w:pPr>
            <w:r>
              <w:t xml:space="preserve">80.2 %</w:t>
            </w:r>
          </w:p>
        </w:tc>
      </w:tr>
    </w:tbl>
    <w:bookmarkEnd w:id="100"/>
    <w:bookmarkStart w:id="104" w:name="fig:fleet"/>
    <w:p>
      <w:pPr>
        <w:pStyle w:val="CaptionedFigure"/>
      </w:pPr>
      <w:r>
        <w:drawing>
          <wp:inline>
            <wp:extent cx="5334000" cy="3006487"/>
            <wp:effectExtent b="0" l="0" r="0" t="0"/>
            <wp:docPr descr="Figure 11. Escalations per simulated hour and cumulative uplink over the seven-day emulated deployments."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06487"/>
                    </a:xfrm>
                    <a:prstGeom prst="rect">
                      <a:avLst/>
                    </a:prstGeom>
                    <a:noFill/>
                    <a:ln w="9525">
                      <a:noFill/>
                      <a:headEnd/>
                      <a:tailEnd/>
                    </a:ln>
                  </pic:spPr>
                </pic:pic>
              </a:graphicData>
            </a:graphic>
          </wp:inline>
        </w:drawing>
      </w:r>
    </w:p>
    <w:p>
      <w:pPr>
        <w:pStyle w:val="ImageCaption"/>
      </w:pPr>
      <w:r>
        <w:t xml:space="preserve">Figure 11. Escalations per simulated hour and cumulative uplink over the seven-day emulated deployments.</w:t>
      </w:r>
    </w:p>
    <w:bookmarkEnd w:id="104"/>
    <w:bookmarkStart w:id="108" w:name="fig:fleet-latency"/>
    <w:p>
      <w:pPr>
        <w:pStyle w:val="CaptionedFigure"/>
      </w:pPr>
      <w:r>
        <w:drawing>
          <wp:inline>
            <wp:extent cx="5334000" cy="2167646"/>
            <wp:effectExtent b="0" l="0" r="0" t="0"/>
            <wp:docPr descr="Figure 12. Measured latency during the baseline deployment. (a) Time to the farmer’s answer, per image. (b) Median cost of one escalation, by stage."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baseline deployment. (a) Time to the farmer’s answer, per image. (b) Median cost of one escalation, by stage.</w:t>
      </w:r>
    </w:p>
    <w:bookmarkEnd w:id="108"/>
    <w:bookmarkStart w:id="112" w:name="fig:fleet-offline"/>
    <w:p>
      <w:pPr>
        <w:pStyle w:val="CaptionedFigure"/>
      </w:pPr>
      <w:r>
        <w:drawing>
          <wp:inline>
            <wp:extent cx="4036816" cy="2266121"/>
            <wp:effectExtent b="0" l="0" r="0" t="0"/>
            <wp:docPr descr="Figure 13. Escalation rate per farm: offline prediction and on-device measurement."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offline prediction and on-device measurement.</w:t>
      </w:r>
    </w:p>
    <w:bookmarkEnd w:id="112"/>
    <w:bookmarkStart w:id="116" w:name="fig:console"/>
    <w:p>
      <w:pPr>
        <w:pStyle w:val="CaptionedFigure"/>
      </w:pPr>
      <w:r>
        <w:drawing>
          <wp:inline>
            <wp:extent cx="5334000" cy="4300537"/>
            <wp:effectExtent b="0" l="0" r="0" t="0"/>
            <wp:docPr descr="Figure 14. Operations console during the baseline deployment."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baseline deployment.</w:t>
      </w:r>
    </w:p>
    <w:bookmarkEnd w:id="116"/>
    <w:bookmarkEnd w:id="117"/>
    <w:bookmarkStart w:id="121" w:name="sec:res-improved"/>
    <w:p>
      <w:pPr>
        <w:pStyle w:val="Heading2"/>
      </w:pPr>
      <w:r>
        <w:rPr>
          <w:rStyle w:val="SectionNumber"/>
        </w:rPr>
        <w:t xml:space="preserve">6.7</w:t>
      </w:r>
      <w:r>
        <w:tab/>
      </w:r>
      <w:r>
        <w:t xml:space="preserve">Distilled configuration on the devices</w:t>
      </w:r>
    </w:p>
    <w:p>
      <w:pPr>
        <w:pStyle w:val="FirstParagraph"/>
      </w:pPr>
      <w:r>
        <w:t xml:space="preserve">The ensemble’s most effective contribution to the edge is made once, before deployment. Distillation (Section 6.4) leaves the edge model’s architecture, size and on-device cost unchanged, so we deployed the distilled MobileNetV3-Large on the same devices, together with the other improvement found after the baseline deployment, CLIP in fp16 (Section 5); neither changes an interface (Appendix A, item C4). We then repeated the seven-day emulation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deployments.</w:t>
      </w:r>
    </w:p>
    <w:bookmarkStart w:id="118" w:name="bandwidth"/>
    <w:p>
      <w:pPr>
        <w:pStyle w:val="Heading4"/>
      </w:pPr>
      <w:r>
        <w:t xml:space="preserve">Bandwidth</w:t>
      </w:r>
    </w:p>
    <w:p>
      <w:pPr>
        <w:pStyle w:val="FirstParagraph"/>
      </w:pPr>
      <w:r>
        <w:t xml:space="preserve">The edge escalated 455 images (12.4 %, against the offline prediction of 12.3 %), and the farms uploaded 27.0 MB instead of 40.4 MB: 7.5 KB per diagnosis, an 8.0-fold reduction against always-cloud measured on the devices, compared with 5.4-fold for the original edge model (Fig. 11). Every farm saved more than in the baseline deployment, from 5.3-fold (solanaceae) to 11.3-fold (market garden). Delivered accuracy was 75.3 %, against 76.0 %: both thresholds target 95 % of cloud accuracy on validation, so the stronger edge model spends its gain on bandwidth rather than on accuracy. The gain does not depend on that choice. At equal accuracy the distilled model still escalates far less: offline, it matches the original model’s delivered accuracy (75.82 %) at 14.3 % escalation instead of 18.6 %, a 7.0-fold reduction instead of 5.4-fold, and the baseline deployment’s 76.0 % at 15.3 % (6.5-fold).</w:t>
      </w:r>
    </w:p>
    <w:bookmarkEnd w:id="118"/>
    <w:bookmarkStart w:id="120" w:name="cost-on-the-devices"/>
    <w:p>
      <w:pPr>
        <w:pStyle w:val="Heading4"/>
      </w:pPr>
      <w:r>
        <w:t xml:space="preserve">Cost on the devices</w:t>
      </w:r>
    </w:p>
    <w:p>
      <w:pPr>
        <w:pStyle w:val="FirstParagraph"/>
      </w:pPr>
      <w:r>
        <w:t xml:space="preserve">Two changes coincide in this deployment, and they act on different quantities. Distillation changes only how many images are escalated; the edge model’s latency is unchanged (median answer 76 ms against 77 ms). fp16 CLIP changes only what an escalated image costs on the Nano: compute per escalated image fell from 6.9 to 6.5 s and model loading per batch from 36 to 33 s. The whole emulation took 67 instead of 98 minutes of wall-clock time, a reduction in proportion to the number of escalated images. On the Nano an escalated image costs 49 J with fp32 CLIP and 48 J with fp16 CLIP in batches of 48, and 48 J in batches of 34, the median batch of this deployment (3 runs), so the smaller batches did not raise the energy per image. A diagnosis therefore cost 6.4 J of device energy, against 9.5 J in the baseline deployment; at the fp32-CLIP energy per escalated image it would have cost 6.5 J, so distillation accounts for nearly all of the saving and fp16 CLIP for the rest. Against an always-cloud design on the same cloud node, which spends 48 J on every image, the distilled configuration uses 7.5 times less device energy per diagnosis. The Nano’s diagnoses agreed with the workstation’s offline predictions on 429/455 escalated images.</w:t>
      </w:r>
    </w:p>
    <w:bookmarkStart w:id="119" w:name="tab:replays"/>
    <w:p>
      <w:pPr>
        <w:pStyle w:val="TableCaption"/>
      </w:pPr>
      <w:r>
        <w:t xml:space="preserve">Table 13. The two emulated deployments on the embedded testbed.</w:t>
      </w:r>
    </w:p>
    <w:tbl>
      <w:tblPr>
        <w:tblStyle w:val="Table"/>
        <w:tblW w:type="pct" w:w="4877"/>
        <w:tblLayout w:type="fixed"/>
        <w:tblLook w:firstRow="1" w:lastRow="0" w:firstColumn="0" w:lastColumn="0" w:noHBand="0" w:noVBand="0" w:val="0020"/>
        <w:tblCaption w:val="Table 13. The two emulated deployments on the embedded testbed."/>
      </w:tblPr>
      <w:tblGrid>
        <w:gridCol w:w="4693"/>
        <w:gridCol w:w="1466"/>
        <w:gridCol w:w="1564"/>
      </w:tblGrid>
      <w:tr>
        <w:trPr>
          <w:tblHeader w:val="on"/>
        </w:trPr>
        <w:tc>
          <w:tcPr/>
          <w:p>
            <w:pPr>
              <w:pStyle w:val="Compact"/>
            </w:pPr>
          </w:p>
        </w:tc>
        <w:tc>
          <w:tcPr/>
          <w:p>
            <w:pPr>
              <w:pStyle w:val="Compact"/>
              <w:jc w:val="right"/>
            </w:pPr>
            <w:r>
              <w:rPr>
                <w:b/>
                <w:bCs/>
              </w:rPr>
              <w:t xml:space="preserve">Baseline</w:t>
            </w:r>
          </w:p>
        </w:tc>
        <w:tc>
          <w:tcPr/>
          <w:p>
            <w:pPr>
              <w:pStyle w:val="Compact"/>
              <w:jc w:val="right"/>
            </w:pPr>
            <w:r>
              <w:rPr>
                <w:b/>
                <w:bCs/>
              </w:rPr>
              <w:t xml:space="preserve">Distilled</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Delivered macro-F1</w:t>
            </w:r>
          </w:p>
        </w:tc>
        <w:tc>
          <w:tcPr/>
          <w:p>
            <w:pPr>
              <w:pStyle w:val="Compact"/>
              <w:jc w:val="right"/>
            </w:pPr>
            <w:r>
              <w:t xml:space="preserve">73.2 %</w:t>
            </w:r>
          </w:p>
        </w:tc>
        <w:tc>
          <w:tcPr/>
          <w:p>
            <w:pPr>
              <w:pStyle w:val="Compact"/>
              <w:jc w:val="right"/>
            </w:pPr>
            <w:r>
              <w:t xml:space="preserve">72.6 %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Uplink reduction at equal accuracy (offline)</w:t>
            </w:r>
          </w:p>
        </w:tc>
        <w:tc>
          <w:tcPr/>
          <w:p>
            <w:pPr>
              <w:pStyle w:val="Compact"/>
              <w:jc w:val="right"/>
            </w:pPr>
            <w:r>
              <w:t xml:space="preserve">5.4</w:t>
            </w:r>
            <m:oMath>
              <m:r>
                <m:rPr>
                  <m:sty m:val="p"/>
                </m:rPr>
                <m:t>×</m:t>
              </m:r>
            </m:oMath>
          </w:p>
        </w:tc>
        <w:tc>
          <w:tcPr/>
          <w:p>
            <w:pPr>
              <w:pStyle w:val="Compact"/>
              <w:jc w:val="right"/>
            </w:pPr>
            <w:r>
              <w:t xml:space="preserve">7.0</w:t>
            </w:r>
            <m:oMath>
              <m:r>
                <m:rPr>
                  <m:sty m:val="p"/>
                </m:rPr>
                <m:t>×</m:t>
              </m:r>
            </m:oMath>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Nano energy per escalated image</w:t>
            </w:r>
          </w:p>
        </w:tc>
        <w:tc>
          <w:tcPr/>
          <w:p>
            <w:pPr>
              <w:pStyle w:val="Compact"/>
              <w:jc w:val="right"/>
            </w:pPr>
            <w:r>
              <w:t xml:space="preserve">49 J</w:t>
            </w:r>
          </w:p>
        </w:tc>
        <w:tc>
          <w:tcPr/>
          <w:p>
            <w:pPr>
              <w:pStyle w:val="Compact"/>
              <w:jc w:val="right"/>
            </w:pPr>
            <w:r>
              <w:t xml:space="preserve">48 J</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emulation</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9"/>
    <w:bookmarkEnd w:id="120"/>
    <w:bookmarkEnd w:id="121"/>
    <w:bookmarkEnd w:id="122"/>
    <w:bookmarkStart w:id="128" w:name="sec:discussion"/>
    <w:p>
      <w:pPr>
        <w:pStyle w:val="Heading1"/>
      </w:pPr>
      <w:r>
        <w:rPr>
          <w:rStyle w:val="SectionNumber"/>
        </w:rPr>
        <w:t xml:space="preserve">7</w:t>
      </w:r>
      <w:r>
        <w:tab/>
      </w:r>
      <w:r>
        <w:t xml:space="preserve">Discussion</w:t>
      </w:r>
    </w:p>
    <w:bookmarkStart w:id="123"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18.6 to 12.3 % (Section 6.4), and on the devices from 18.6 % to 12.4 %, an 8.0-fold uplink saving (Section 6.7). Our comparison covers convolutional edge models, which are what runs efficiently on the Pi’s CPU with stock PyTorch; lightweight hybrid CNN–transformer models might align better with a transformer teacher, and the same comparison would tell whether they move the operating point further. The reason is informational: an edge-side router can only re-express the edge model’s posterior, and the margin already summarises it well. The oracle shows that substantial headroom remains (84.80 % at 20 % escalation), but reaching it requires information the edge does not have; a cheaper path to it is a stronger edge model.</w:t>
      </w:r>
    </w:p>
    <w:bookmarkEnd w:id="123"/>
    <w:bookmarkStart w:id="124"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in a 30-day month, against 177 MB for always-cloud with the same payload, and with the distilled edge model 22 MB; on a 1 Mbit/s uplink an escalated image takes about 0.5 s to transmit.</w:t>
      </w:r>
    </w:p>
    <w:bookmarkEnd w:id="124"/>
    <w:bookmarkStart w:id="125"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baseline deployment a batch of 48 images also paid 36 s to load the three backbones, and the board spends 49 J per escalated image (Section 5.4). Selective escalation is what makes this affordable: at 18–19 % escalation the Nano sees one image in five, and at the distilled edge model’s 12.4 % one image in eight, whereas an always-cloud design would multiply its workload, and its energy use, more than fivefold and eightfold respectively.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without waiting for the ensemble. A node with more memory, such as an 8 GB module, could keep all engines resident and answer synchronously; the server implements this mode, but we have not tested it.</w:t>
      </w:r>
    </w:p>
    <w:bookmarkEnd w:id="125"/>
    <w:bookmarkStart w:id="126"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6"/>
    <w:bookmarkStart w:id="127"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emulation compresses idle time and therefore does not capture diurnal effects, power cycling or connectivity outages, and its four farms share one physical Pi, so device-to-device variability is not represented. Each edge model was trained once, so we report no variance across training seeds for the edge models and the distillation; the bootstrap of Section 6.2 covers the variability of the calibrated threshold, and the loop pilot is repeated over 5 random partitions. The escalation threshold is a point estimate whose test result falls on either side of the target, and the benchmark has no second field dataset with the same classes on which to test it, so we do not claim a guarantee beyond PlantWild. In the prototype the farmer’s answer to an escalated image waits for the upload to be acknowledged (Section 4.3).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deployment-wide agreement quantify the deviation.</w:t>
      </w:r>
    </w:p>
    <w:bookmarkEnd w:id="127"/>
    <w:bookmarkEnd w:id="128"/>
    <w:bookmarkStart w:id="129"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emulated deployment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once and at no inference cost, raises the uplink saving measured on the same devices from 5.4- to 8.0-fold (7.5 KB per diagnosis) at 75.3 % delivered accuracy — and to 7.0-fold at unchanged accuracy — while cutting device energy per diagnosis from 9.5 to 6.4 J.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9"/>
    <w:bookmarkStart w:id="130"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30"/>
    <w:bookmarkStart w:id="131"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31"/>
    <w:bookmarkStart w:id="132"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2"/>
    <w:bookmarkStart w:id="134"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10</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3">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emulated deployments, the activation, memory and power profiles, the TensorRT verification reports and the sources of this manuscript.</w:t>
      </w:r>
    </w:p>
    <w:bookmarkEnd w:id="134"/>
    <w:bookmarkStart w:id="13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5"/>
    <w:bookmarkStart w:id="210" w:name="references"/>
    <w:p>
      <w:pPr>
        <w:pStyle w:val="Heading1"/>
      </w:pPr>
      <w:r>
        <w:t xml:space="preserve">References</w:t>
      </w:r>
    </w:p>
    <w:bookmarkStart w:id="209" w:name="refs"/>
    <w:bookmarkStart w:id="137" w:name="ref-savary2019global"/>
    <w:p>
      <w:pPr>
        <w:pStyle w:val="Bibliography"/>
      </w:pPr>
      <w:r>
        <w:t xml:space="preserve">[1]</w:t>
      </w:r>
      <w:r>
        <w:t xml:space="preserve"> </w:t>
      </w:r>
      <w:r>
        <w:t xml:space="preserve">	</w:t>
      </w:r>
      <w:r>
        <w:t xml:space="preserve">S. Savary, L. Willocquet, S.J. Pethybridge, P. Esker, N. McRoberts, A. Nelson, The global burden of pathogens and pests on major food crops, Nature Ecology &amp; Evolution 3 (2019) 430–439,</w:t>
      </w:r>
      <w:r>
        <w:t xml:space="preserve"> </w:t>
      </w:r>
      <w:hyperlink r:id="rId136">
        <w:r>
          <w:rPr>
            <w:rStyle w:val="Hyperlink"/>
          </w:rPr>
          <w:t xml:space="preserve">https://doi.org/10.1038/s41559-018-0793-y</w:t>
        </w:r>
      </w:hyperlink>
      <w:r>
        <w:t xml:space="preserve">.</w:t>
      </w:r>
    </w:p>
    <w:bookmarkEnd w:id="137"/>
    <w:bookmarkStart w:id="139" w:name="ref-kamilaris2018survey"/>
    <w:p>
      <w:pPr>
        <w:pStyle w:val="Bibliography"/>
      </w:pPr>
      <w:r>
        <w:t xml:space="preserve">[2]</w:t>
      </w:r>
      <w:r>
        <w:t xml:space="preserve"> </w:t>
      </w:r>
      <w:r>
        <w:t xml:space="preserve">	</w:t>
      </w:r>
      <w:r>
        <w:t xml:space="preserve">A. Kamilaris, F.X. Prenafeta-Boldú, Deep learning in agriculture: A survey, Computers and Electronics in Agriculture 147 (2018) 70–90,</w:t>
      </w:r>
      <w:r>
        <w:t xml:space="preserve"> </w:t>
      </w:r>
      <w:hyperlink r:id="rId138">
        <w:r>
          <w:rPr>
            <w:rStyle w:val="Hyperlink"/>
          </w:rPr>
          <w:t xml:space="preserve">https://doi.org/10.1016/j.compag.2018.02.016</w:t>
        </w:r>
      </w:hyperlink>
      <w:r>
        <w:t xml:space="preserve">.</w:t>
      </w:r>
    </w:p>
    <w:bookmarkEnd w:id="139"/>
    <w:bookmarkStart w:id="141" w:name="ref-mohanty2016deeplearning"/>
    <w:p>
      <w:pPr>
        <w:pStyle w:val="Bibliography"/>
      </w:pPr>
      <w:r>
        <w:t xml:space="preserve">[3]</w:t>
      </w:r>
      <w:r>
        <w:t xml:space="preserve"> </w:t>
      </w:r>
      <w:r>
        <w:t xml:space="preserve">	</w:t>
      </w:r>
      <w:r>
        <w:t xml:space="preserve">S.P. Mohanty, D.P. Hughes, M. Salathé, Using deep learning for image-based plant disease detection, Frontiers in Plant Science 7 (2016) 1419,</w:t>
      </w:r>
      <w:r>
        <w:t xml:space="preserve"> </w:t>
      </w:r>
      <w:hyperlink r:id="rId140">
        <w:r>
          <w:rPr>
            <w:rStyle w:val="Hyperlink"/>
          </w:rPr>
          <w:t xml:space="preserve">https://doi.org/10.3389/fpls.2016.01419</w:t>
        </w:r>
      </w:hyperlink>
      <w:r>
        <w:t xml:space="preserve">.</w:t>
      </w:r>
    </w:p>
    <w:bookmarkEnd w:id="141"/>
    <w:bookmarkStart w:id="143" w:name="ref-ferentinos2018deep"/>
    <w:p>
      <w:pPr>
        <w:pStyle w:val="Bibliography"/>
      </w:pPr>
      <w:r>
        <w:t xml:space="preserve">[4]</w:t>
      </w:r>
      <w:r>
        <w:t xml:space="preserve"> </w:t>
      </w:r>
      <w:r>
        <w:t xml:space="preserve">	</w:t>
      </w:r>
      <w:r>
        <w:t xml:space="preserve">K.P. Ferentinos, Deep learning models for plant disease detection and diagnosis, Computers and Electronics in Agriculture 145 (2018) 311–318,</w:t>
      </w:r>
      <w:r>
        <w:t xml:space="preserve"> </w:t>
      </w:r>
      <w:hyperlink r:id="rId142">
        <w:r>
          <w:rPr>
            <w:rStyle w:val="Hyperlink"/>
          </w:rPr>
          <w:t xml:space="preserve">https://doi.org/10.1016/j.compag.2018.01.009</w:t>
        </w:r>
      </w:hyperlink>
      <w:r>
        <w:t xml:space="preserve">.</w:t>
      </w:r>
    </w:p>
    <w:bookmarkEnd w:id="143"/>
    <w:bookmarkStart w:id="145" w:name="ref-hughes2015plantvillage"/>
    <w:p>
      <w:pPr>
        <w:pStyle w:val="Bibliography"/>
      </w:pPr>
      <w:r>
        <w:t xml:space="preserve">[5]</w:t>
      </w:r>
      <w:r>
        <w:t xml:space="preserve"> </w:t>
      </w:r>
      <w:r>
        <w:t xml:space="preserve">	</w:t>
      </w:r>
      <w:r>
        <w:t xml:space="preserve">D.P. Hughes, M. Salathé, An open access repository of images on plant health to enable the development of mobile disease diagnostics, 2015,</w:t>
      </w:r>
      <w:r>
        <w:t xml:space="preserve"> </w:t>
      </w:r>
      <w:hyperlink r:id="rId144">
        <w:r>
          <w:rPr>
            <w:rStyle w:val="Hyperlink"/>
          </w:rPr>
          <w:t xml:space="preserve">https://doi.org/10.48550/arXiv.1511.08060</w:t>
        </w:r>
      </w:hyperlink>
      <w:r>
        <w:t xml:space="preserve">.</w:t>
      </w:r>
    </w:p>
    <w:bookmarkEnd w:id="145"/>
    <w:bookmarkStart w:id="147" w:name="ref-barbedo2018impact"/>
    <w:p>
      <w:pPr>
        <w:pStyle w:val="Bibliography"/>
      </w:pPr>
      <w:r>
        <w:t xml:space="preserve">[6]</w:t>
      </w:r>
      <w:r>
        <w:t xml:space="preserve"> </w:t>
      </w:r>
      <w:r>
        <w:t xml:space="preserve">	</w:t>
      </w:r>
      <w:r>
        <w:t xml:space="preserve">J.G.A. Barbedo, Impact of dataset size and variety on the effectiveness of deep learning and transfer learning for plant disease classification, Computers and Electronics in Agriculture 153 (2018) 46–53,</w:t>
      </w:r>
      <w:r>
        <w:t xml:space="preserve"> </w:t>
      </w:r>
      <w:hyperlink r:id="rId146">
        <w:r>
          <w:rPr>
            <w:rStyle w:val="Hyperlink"/>
          </w:rPr>
          <w:t xml:space="preserve">https://doi.org/10.1016/j.compag.2018.08.013</w:t>
        </w:r>
      </w:hyperlink>
      <w:r>
        <w:t xml:space="preserve">.</w:t>
      </w:r>
    </w:p>
    <w:bookmarkEnd w:id="147"/>
    <w:bookmarkStart w:id="149" w:name="ref-noyan2022uncovering"/>
    <w:p>
      <w:pPr>
        <w:pStyle w:val="Bibliography"/>
      </w:pPr>
      <w:r>
        <w:t xml:space="preserve">[7]</w:t>
      </w:r>
      <w:r>
        <w:t xml:space="preserve"> </w:t>
      </w:r>
      <w:r>
        <w:t xml:space="preserve">	</w:t>
      </w:r>
      <w:r>
        <w:t xml:space="preserve">M.A. Noyan, Uncovering bias in the</w:t>
      </w:r>
      <w:r>
        <w:t xml:space="preserve"> </w:t>
      </w:r>
      <w:r>
        <w:t xml:space="preserve">PlantVillage</w:t>
      </w:r>
      <w:r>
        <w:t xml:space="preserve"> </w:t>
      </w:r>
      <w:r>
        <w:t xml:space="preserve">dataset, 2022,</w:t>
      </w:r>
      <w:r>
        <w:t xml:space="preserve"> </w:t>
      </w:r>
      <w:hyperlink r:id="rId148">
        <w:r>
          <w:rPr>
            <w:rStyle w:val="Hyperlink"/>
          </w:rPr>
          <w:t xml:space="preserve">https://doi.org/10.48550/arXiv.2206.04374</w:t>
        </w:r>
      </w:hyperlink>
      <w:r>
        <w:t xml:space="preserve">.</w:t>
      </w:r>
    </w:p>
    <w:bookmarkEnd w:id="149"/>
    <w:bookmarkStart w:id="151" w:name="ref-ahmad2023toward"/>
    <w:p>
      <w:pPr>
        <w:pStyle w:val="Bibliography"/>
      </w:pPr>
      <w:r>
        <w:t xml:space="preserve">[8]</w:t>
      </w:r>
      <w:r>
        <w:t xml:space="preserve"> </w:t>
      </w:r>
      <w:r>
        <w:t xml:space="preserve">	</w:t>
      </w:r>
      <w:r>
        <w:t xml:space="preserve">A. Ahmad, A.E. Gamal, D. Saraswat, Toward generalization of deep learning-based plant disease identification under controlled and field conditions, IEEE Access 11 (2023) 9042–9057,</w:t>
      </w:r>
      <w:r>
        <w:t xml:space="preserve"> </w:t>
      </w:r>
      <w:hyperlink r:id="rId150">
        <w:r>
          <w:rPr>
            <w:rStyle w:val="Hyperlink"/>
          </w:rPr>
          <w:t xml:space="preserve">https://doi.org/10.1109/ACCESS.2023.3240100</w:t>
        </w:r>
      </w:hyperlink>
      <w:r>
        <w:t xml:space="preserve">.</w:t>
      </w:r>
    </w:p>
    <w:bookmarkEnd w:id="151"/>
    <w:bookmarkStart w:id="153" w:name="ref-wu2023fromlaboratoryto"/>
    <w:p>
      <w:pPr>
        <w:pStyle w:val="Bibliography"/>
      </w:pPr>
      <w:r>
        <w:t xml:space="preserve">[9]</w:t>
      </w:r>
      <w:r>
        <w:t xml:space="preserve"> </w:t>
      </w:r>
      <w:r>
        <w:t xml:space="preserve">	</w:t>
      </w:r>
      <w:r>
        <w:t xml:space="preserve">X. Wu, X. Fan, P. Luo, S.D. Choudhury, T. Tjahjadi, C. Hu, From laboratory to field: Unsupervised domain adaptation for plant disease recognition in the wild, Plant Phenomics 5 (2023) 0038,</w:t>
      </w:r>
      <w:r>
        <w:t xml:space="preserve"> </w:t>
      </w:r>
      <w:hyperlink r:id="rId152">
        <w:r>
          <w:rPr>
            <w:rStyle w:val="Hyperlink"/>
          </w:rPr>
          <w:t xml:space="preserve">https://doi.org/10.34133/plantphenomics.0038</w:t>
        </w:r>
      </w:hyperlink>
      <w:r>
        <w:t xml:space="preserve">.</w:t>
      </w:r>
    </w:p>
    <w:bookmarkEnd w:id="153"/>
    <w:bookmarkStart w:id="155" w:name="ref-wei2024plantwild"/>
    <w:p>
      <w:pPr>
        <w:pStyle w:val="Bibliography"/>
      </w:pPr>
      <w:r>
        <w:t xml:space="preserve">[10]</w:t>
      </w:r>
      <w:r>
        <w:t xml:space="preserve"> </w:t>
      </w:r>
      <w:r>
        <w:t xml:space="preserve">	</w:t>
      </w:r>
      <w:r>
        <w:t xml:space="preserve">T. Wei, Z. Chen, Z. Huang, X. Yu, Plant disease recognition in the wild, in: Proceedings of the 32nd ACM international conference on multimedia (MM ’24), 2024,</w:t>
      </w:r>
      <w:r>
        <w:t xml:space="preserve"> </w:t>
      </w:r>
      <w:hyperlink r:id="rId154">
        <w:r>
          <w:rPr>
            <w:rStyle w:val="Hyperlink"/>
          </w:rPr>
          <w:t xml:space="preserve">https://doi.org/10.1145/3664647.3681614</w:t>
        </w:r>
      </w:hyperlink>
      <w:r>
        <w:t xml:space="preserve">.</w:t>
      </w:r>
    </w:p>
    <w:bookmarkEnd w:id="155"/>
    <w:bookmarkStart w:id="156" w:name="ref-oquab2024dinov2"/>
    <w:p>
      <w:pPr>
        <w:pStyle w:val="Bibliography"/>
      </w:pPr>
      <w:r>
        <w:t xml:space="preserve">[11]</w:t>
      </w:r>
      <w:r>
        <w:t xml:space="preserve"> </w:t>
      </w:r>
      <w:r>
        <w:t xml:space="preserve">	</w:t>
      </w:r>
      <w:r>
        <w:t xml:space="preserve">M. Oquab, T. Darcet, T. Moutakanni, H.V. Vo, M. Szafraniec, V. Khalidov, P. Fernandez, D. Haziza, F. Massa, A. El-Nouby, others</w:t>
      </w:r>
      <w:r>
        <w:t xml:space="preserve">,</w:t>
      </w:r>
      <w:r>
        <w:t xml:space="preserve"> </w:t>
      </w:r>
      <w:r>
        <w:t xml:space="preserve">DINOv2</w:t>
      </w:r>
      <w:r>
        <w:t xml:space="preserve">: Learning robust visual features without supervision, Transactions on Machine Learning Research (TMLR), 2024.</w:t>
      </w:r>
    </w:p>
    <w:bookmarkEnd w:id="156"/>
    <w:bookmarkStart w:id="158" w:name="ref-simeoni2025dinov3"/>
    <w:p>
      <w:pPr>
        <w:pStyle w:val="Bibliography"/>
      </w:pPr>
      <w:r>
        <w:t xml:space="preserve">[12]</w:t>
      </w:r>
      <w:r>
        <w:t xml:space="preserve"> </w:t>
      </w:r>
      <w:r>
        <w:t xml:space="preserve">	</w:t>
      </w:r>
      <w:r>
        <w:t xml:space="preserve">O. Siméoni, H.V. Vo, M. Seitzer, F. Baldassarre, M. Oquab, others</w:t>
      </w:r>
      <w:r>
        <w:t xml:space="preserve">,</w:t>
      </w:r>
      <w:r>
        <w:t xml:space="preserve"> </w:t>
      </w:r>
      <w:r>
        <w:t xml:space="preserve">DINOv3</w:t>
      </w:r>
      <w:r>
        <w:t xml:space="preserve">: A versatile vision foundation model, Transactions on Machine Learning Research (TMLR), 2026,</w:t>
      </w:r>
      <w:r>
        <w:t xml:space="preserve"> </w:t>
      </w:r>
      <w:hyperlink r:id="rId157">
        <w:r>
          <w:rPr>
            <w:rStyle w:val="Hyperlink"/>
          </w:rPr>
          <w:t xml:space="preserve">https://openreview.net/forum?id=2NlGyqNjns</w:t>
        </w:r>
      </w:hyperlink>
      <w:r>
        <w:t xml:space="preserve">.</w:t>
      </w:r>
    </w:p>
    <w:bookmarkEnd w:id="158"/>
    <w:bookmarkStart w:id="159" w:name="ref-radford2021clip"/>
    <w:p>
      <w:pPr>
        <w:pStyle w:val="Bibliography"/>
      </w:pPr>
      <w:r>
        <w:t xml:space="preserve">[13]</w:t>
      </w:r>
      <w:r>
        <w:t xml:space="preserve"> </w:t>
      </w:r>
      <w:r>
        <w:t xml:space="preserve">	</w:t>
      </w:r>
      <w:r>
        <w:t xml:space="preserve">A. Radford, J.W. Kim, C. Hallacy, A. Ramesh, G. Goh, S. Agarwal, G. Sastry, A. Askell, P. Mishkin, J. Clark, G. Krueger, I. Sutskever, Learning transferable visual models from natural language supervision, in: International conference on machine learning (ICML), 2021, pp. 8748–8763.</w:t>
      </w:r>
    </w:p>
    <w:bookmarkEnd w:id="159"/>
    <w:bookmarkStart w:id="161" w:name="ref-elkarch2026backbone"/>
    <w:p>
      <w:pPr>
        <w:pStyle w:val="Bibliography"/>
      </w:pPr>
      <w:r>
        <w:t xml:space="preserve">[14]</w:t>
      </w:r>
      <w:r>
        <w:t xml:space="preserve"> </w:t>
      </w:r>
      <w:r>
        <w:t xml:space="preserve">	</w:t>
      </w:r>
      <w:r>
        <w:t xml:space="preserve">H. El Karch, Y. Natij, M. Benaly, R. El Gouri, A. Mezouari, Backbone diversity beats text supervision: A systematic study of frozen multi-foundation model fusion for in-the-wild plant disease recognition, Frontiers in Plant Science 17 (2026) 1860665,</w:t>
      </w:r>
      <w:r>
        <w:t xml:space="preserve"> </w:t>
      </w:r>
      <w:hyperlink r:id="rId160">
        <w:r>
          <w:rPr>
            <w:rStyle w:val="Hyperlink"/>
          </w:rPr>
          <w:t xml:space="preserve">https://doi.org/10.3389/fpls.2026.1860665</w:t>
        </w:r>
      </w:hyperlink>
      <w:r>
        <w:t xml:space="preserve">.</w:t>
      </w:r>
    </w:p>
    <w:bookmarkEnd w:id="161"/>
    <w:bookmarkStart w:id="163" w:name="ref-howard2019mobilenetv3"/>
    <w:p>
      <w:pPr>
        <w:pStyle w:val="Bibliography"/>
      </w:pPr>
      <w:r>
        <w:t xml:space="preserve">[15]</w:t>
      </w:r>
      <w:r>
        <w:t xml:space="preserve"> </w:t>
      </w:r>
      <w:r>
        <w:t xml:space="preserve">	</w:t>
      </w:r>
      <w:r>
        <w:t xml:space="preserve">A. Howard, M. Sandler, G. Chu, L.-C. Chen, B. Chen, M. Tan, W. Wang, Y. Zhu, R. Pang, V. Vasudevan, Q.V. Le, H. Adam, Searching for</w:t>
      </w:r>
      <w:r>
        <w:t xml:space="preserve"> </w:t>
      </w:r>
      <w:r>
        <w:t xml:space="preserve">MobileNetV3</w:t>
      </w:r>
      <w:r>
        <w:t xml:space="preserve">, in: IEEE/CVF international conference on computer vision (ICCV), 2019, pp. 1314–1324,</w:t>
      </w:r>
      <w:r>
        <w:t xml:space="preserve"> </w:t>
      </w:r>
      <w:hyperlink r:id="rId162">
        <w:r>
          <w:rPr>
            <w:rStyle w:val="Hyperlink"/>
          </w:rPr>
          <w:t xml:space="preserve">https://doi.org/10.1109/ICCV.2019.00140</w:t>
        </w:r>
      </w:hyperlink>
      <w:r>
        <w:t xml:space="preserve">.</w:t>
      </w:r>
    </w:p>
    <w:bookmarkEnd w:id="163"/>
    <w:bookmarkStart w:id="165" w:name="ref-wolfert2017bigdata"/>
    <w:p>
      <w:pPr>
        <w:pStyle w:val="Bibliography"/>
      </w:pPr>
      <w:r>
        <w:t xml:space="preserve">[16]</w:t>
      </w:r>
      <w:r>
        <w:t xml:space="preserve"> </w:t>
      </w:r>
      <w:r>
        <w:t xml:space="preserve">	</w:t>
      </w:r>
      <w:r>
        <w:t xml:space="preserve">S. Wolfert, L. Ge, C. Verdouw, M.-J. Bogaardt, Big data in smart farming – a review, Agricultural Systems 153 (2017) 69–80,</w:t>
      </w:r>
      <w:r>
        <w:t xml:space="preserve"> </w:t>
      </w:r>
      <w:hyperlink r:id="rId164">
        <w:r>
          <w:rPr>
            <w:rStyle w:val="Hyperlink"/>
          </w:rPr>
          <w:t xml:space="preserve">https://doi.org/10.1016/j.agsy.2017.01.023</w:t>
        </w:r>
      </w:hyperlink>
      <w:r>
        <w:t xml:space="preserve">.</w:t>
      </w:r>
    </w:p>
    <w:bookmarkEnd w:id="165"/>
    <w:bookmarkStart w:id="167" w:name="ref-ogrady2019edge"/>
    <w:p>
      <w:pPr>
        <w:pStyle w:val="Bibliography"/>
      </w:pPr>
      <w:r>
        <w:t xml:space="preserve">[17]</w:t>
      </w:r>
      <w:r>
        <w:t xml:space="preserve"> </w:t>
      </w:r>
      <w:r>
        <w:t xml:space="preserve">	</w:t>
      </w:r>
      <w:r>
        <w:t xml:space="preserve">M.J. O’Grady, D. Langton, G.M.P. O’Hare, Edge computing: A tractable model for smart agriculture?, Artificial Intelligence in Agriculture 3 (2019) 42–51,</w:t>
      </w:r>
      <w:r>
        <w:t xml:space="preserve"> </w:t>
      </w:r>
      <w:hyperlink r:id="rId166">
        <w:r>
          <w:rPr>
            <w:rStyle w:val="Hyperlink"/>
          </w:rPr>
          <w:t xml:space="preserve">https://doi.org/10.1016/j.aiia.2019.12.001</w:t>
        </w:r>
      </w:hyperlink>
      <w:r>
        <w:t xml:space="preserve">.</w:t>
      </w:r>
    </w:p>
    <w:bookmarkEnd w:id="167"/>
    <w:bookmarkStart w:id="169" w:name="ref-shi2016edge"/>
    <w:p>
      <w:pPr>
        <w:pStyle w:val="Bibliography"/>
      </w:pPr>
      <w:r>
        <w:t xml:space="preserve">[18]</w:t>
      </w:r>
      <w:r>
        <w:t xml:space="preserve"> </w:t>
      </w:r>
      <w:r>
        <w:t xml:space="preserve">	</w:t>
      </w:r>
      <w:r>
        <w:t xml:space="preserve">W. Shi, J. Cao, Q. Zhang, Y. Li, L. Xu, Edge computing: Vision and challenges, IEEE Internet of Things Journal 3 (2016) 637–646,</w:t>
      </w:r>
      <w:r>
        <w:t xml:space="preserve"> </w:t>
      </w:r>
      <w:hyperlink r:id="rId168">
        <w:r>
          <w:rPr>
            <w:rStyle w:val="Hyperlink"/>
          </w:rPr>
          <w:t xml:space="preserve">https://doi.org/10.1109/JIOT.2016.2579198</w:t>
        </w:r>
      </w:hyperlink>
      <w:r>
        <w:t xml:space="preserve">.</w:t>
      </w:r>
    </w:p>
    <w:bookmarkEnd w:id="169"/>
    <w:bookmarkStart w:id="171" w:name="ref-viola2001cascade"/>
    <w:p>
      <w:pPr>
        <w:pStyle w:val="Bibliography"/>
      </w:pPr>
      <w:r>
        <w:t xml:space="preserve">[19]</w:t>
      </w:r>
      <w:r>
        <w:t xml:space="preserve"> </w:t>
      </w:r>
      <w:r>
        <w:t xml:space="preserve">	</w:t>
      </w:r>
      <w:r>
        <w:t xml:space="preserve">P. Viola, M. Jones, Rapid object detection using a boosted cascade of simple features, in: Proceedings of the IEEE computer society conference on computer vision and pattern recognition (CVPR), 2001, pp. I-511-I-518,</w:t>
      </w:r>
      <w:r>
        <w:t xml:space="preserve"> </w:t>
      </w:r>
      <w:hyperlink r:id="rId170">
        <w:r>
          <w:rPr>
            <w:rStyle w:val="Hyperlink"/>
          </w:rPr>
          <w:t xml:space="preserve">https://doi.org/10.1109/CVPR.2001.990517</w:t>
        </w:r>
      </w:hyperlink>
      <w:r>
        <w:t xml:space="preserve">.</w:t>
      </w:r>
    </w:p>
    <w:bookmarkEnd w:id="171"/>
    <w:bookmarkStart w:id="173" w:name="ref-chow1970reject"/>
    <w:p>
      <w:pPr>
        <w:pStyle w:val="Bibliography"/>
      </w:pPr>
      <w:r>
        <w:t xml:space="preserve">[20]</w:t>
      </w:r>
      <w:r>
        <w:t xml:space="preserve"> </w:t>
      </w:r>
      <w:r>
        <w:t xml:space="preserve">	</w:t>
      </w:r>
      <w:r>
        <w:t xml:space="preserve">C.K. Chow, On optimum recognition error and reject tradeoff, IEEE Transactions on Information Theory 16 (1970) 41–46,</w:t>
      </w:r>
      <w:r>
        <w:t xml:space="preserve"> </w:t>
      </w:r>
      <w:hyperlink r:id="rId172">
        <w:r>
          <w:rPr>
            <w:rStyle w:val="Hyperlink"/>
          </w:rPr>
          <w:t xml:space="preserve">https://doi.org/10.1109/TIT.1970.1054406</w:t>
        </w:r>
      </w:hyperlink>
      <w:r>
        <w:t xml:space="preserve">.</w:t>
      </w:r>
    </w:p>
    <w:bookmarkEnd w:id="173"/>
    <w:bookmarkStart w:id="175" w:name="ref-teerapittayanon2016branchynet"/>
    <w:p>
      <w:pPr>
        <w:pStyle w:val="Bibliography"/>
      </w:pPr>
      <w:r>
        <w:t xml:space="preserve">[21]</w:t>
      </w:r>
      <w:r>
        <w:t xml:space="preserve"> </w:t>
      </w:r>
      <w:r>
        <w:t xml:space="preserve">	</w:t>
      </w:r>
      <w:r>
        <w:t xml:space="preserve">S. Teerapittayanon, B. McDanel, H.T. Kung,</w:t>
      </w:r>
      <w:r>
        <w:t xml:space="preserve"> </w:t>
      </w:r>
      <w:r>
        <w:t xml:space="preserve">BranchyNet</w:t>
      </w:r>
      <w:r>
        <w:t xml:space="preserve">: Fast inference via early exiting from deep neural networks, in: 23rd international conference on pattern recognition (ICPR), 2016, pp. 2464–2469,</w:t>
      </w:r>
      <w:r>
        <w:t xml:space="preserve"> </w:t>
      </w:r>
      <w:hyperlink r:id="rId174">
        <w:r>
          <w:rPr>
            <w:rStyle w:val="Hyperlink"/>
          </w:rPr>
          <w:t xml:space="preserve">https://doi.org/10.1109/ICPR.2016.7900006</w:t>
        </w:r>
      </w:hyperlink>
      <w:r>
        <w:t xml:space="preserve">.</w:t>
      </w:r>
    </w:p>
    <w:bookmarkEnd w:id="175"/>
    <w:bookmarkStart w:id="177" w:name="ref-singh2020plantdoc"/>
    <w:p>
      <w:pPr>
        <w:pStyle w:val="Bibliography"/>
      </w:pPr>
      <w:r>
        <w:t xml:space="preserve">[22]</w:t>
      </w:r>
      <w:r>
        <w:t xml:space="preserve"> </w:t>
      </w:r>
      <w:r>
        <w:t xml:space="preserve">	</w:t>
      </w:r>
      <w:r>
        <w:t xml:space="preserve">D. Singh, N. Jain, P. Jain, P. Kayal, S. Kumawat, N. Batra,</w:t>
      </w:r>
      <w:r>
        <w:t xml:space="preserve"> </w:t>
      </w:r>
      <w:r>
        <w:t xml:space="preserve">PlantDoc</w:t>
      </w:r>
      <w:r>
        <w:t xml:space="preserve">: A dataset for visual plant disease detection, in: Proceedings of the 7th ACM IKDD CoDS and 25th COMAD, 2020, pp. 249–253,</w:t>
      </w:r>
      <w:r>
        <w:t xml:space="preserve"> </w:t>
      </w:r>
      <w:hyperlink r:id="rId176">
        <w:r>
          <w:rPr>
            <w:rStyle w:val="Hyperlink"/>
          </w:rPr>
          <w:t xml:space="preserve">https://doi.org/10.1145/3371158.3371196</w:t>
        </w:r>
      </w:hyperlink>
      <w:r>
        <w:t xml:space="preserve">.</w:t>
      </w:r>
    </w:p>
    <w:bookmarkEnd w:id="177"/>
    <w:bookmarkStart w:id="179" w:name="ref-wei2024mvpdr"/>
    <w:p>
      <w:pPr>
        <w:pStyle w:val="Bibliography"/>
      </w:pPr>
      <w:r>
        <w:t xml:space="preserve">[23]</w:t>
      </w:r>
      <w:r>
        <w:t xml:space="preserve"> </w:t>
      </w:r>
      <w:r>
        <w:t xml:space="preserve">	</w:t>
      </w:r>
      <w:r>
        <w:t xml:space="preserve">T. Wei, Z. Chen, Z. Huang, X. Yu, Benchmarking in-the-wild multimodal disease recognition and a versatile baseline, in: Proceedings of the 32nd ACM international conference on multimedia (MM ’24), 2024, pp. 1593–1601,</w:t>
      </w:r>
      <w:r>
        <w:t xml:space="preserve"> </w:t>
      </w:r>
      <w:hyperlink r:id="rId178">
        <w:r>
          <w:rPr>
            <w:rStyle w:val="Hyperlink"/>
          </w:rPr>
          <w:t xml:space="preserve">https://doi.org/10.1145/3664647.3680599</w:t>
        </w:r>
      </w:hyperlink>
      <w:r>
        <w:t xml:space="preserve">.</w:t>
      </w:r>
    </w:p>
    <w:bookmarkEnd w:id="179"/>
    <w:bookmarkStart w:id="181" w:name="ref-jiang2025plantcafo"/>
    <w:p>
      <w:pPr>
        <w:pStyle w:val="Bibliography"/>
      </w:pPr>
      <w:r>
        <w:t xml:space="preserve">[24]</w:t>
      </w:r>
      <w:r>
        <w:t xml:space="preserve"> </w:t>
      </w:r>
      <w:r>
        <w:t xml:space="preserve">	</w:t>
      </w:r>
      <w:r>
        <w:t xml:space="preserve">X. Jiang, J. Wang, K. Xie, C. Cui, A. Du, X. Shi, W. Yang, R. Zhai,</w:t>
      </w:r>
      <w:r>
        <w:t xml:space="preserve"> </w:t>
      </w:r>
      <w:r>
        <w:t xml:space="preserve">PlantCaFo</w:t>
      </w:r>
      <w:r>
        <w:t xml:space="preserve">: An efficient few-shot plant disease recognition method based on foundation models, Plant Phenomics 7 (2025) 100024,</w:t>
      </w:r>
      <w:r>
        <w:t xml:space="preserve"> </w:t>
      </w:r>
      <w:hyperlink r:id="rId180">
        <w:r>
          <w:rPr>
            <w:rStyle w:val="Hyperlink"/>
          </w:rPr>
          <w:t xml:space="preserve">https://doi.org/10.1016/j.plaphe.2025.100024</w:t>
        </w:r>
      </w:hyperlink>
      <w:r>
        <w:t xml:space="preserve">.</w:t>
      </w:r>
    </w:p>
    <w:bookmarkEnd w:id="181"/>
    <w:bookmarkStart w:id="183" w:name="ref-salman2025plantdisease"/>
    <w:p>
      <w:pPr>
        <w:pStyle w:val="Bibliography"/>
      </w:pPr>
      <w:r>
        <w:t xml:space="preserve">[25]</w:t>
      </w:r>
      <w:r>
        <w:t xml:space="preserve"> </w:t>
      </w:r>
      <w:r>
        <w:t xml:space="preserve">	</w:t>
      </w:r>
      <w:r>
        <w:t xml:space="preserve">Z. Salman, A. Muhammad, D. Han, Plant disease classification in the wild using vision transformers and mixture of experts, Frontiers in Plant Science 16 (2025),</w:t>
      </w:r>
      <w:r>
        <w:t xml:space="preserve"> </w:t>
      </w:r>
      <w:hyperlink r:id="rId182">
        <w:r>
          <w:rPr>
            <w:rStyle w:val="Hyperlink"/>
          </w:rPr>
          <w:t xml:space="preserve">https://doi.org/10.3389/fpls.2025.1522985</w:t>
        </w:r>
      </w:hyperlink>
      <w:r>
        <w:t xml:space="preserve">.</w:t>
      </w:r>
    </w:p>
    <w:bookmarkEnd w:id="183"/>
    <w:bookmarkStart w:id="185" w:name="ref-hasan2025deployable"/>
    <w:p>
      <w:pPr>
        <w:pStyle w:val="Bibliography"/>
      </w:pPr>
      <w:r>
        <w:t xml:space="preserve">[26]</w:t>
      </w:r>
      <w:r>
        <w:t xml:space="preserve"> </w:t>
      </w:r>
      <w:r>
        <w:t xml:space="preserve">	</w:t>
      </w:r>
      <w:r>
        <w:t xml:space="preserve">M.J. Hasan, S. Mazumdar, S. Momen, Deployable deep learning for cross-domain plant leaf disease detection via ensemble learning, knowledge distillation, and quantization, IEEE Access 13 (2025) 140313–140336,</w:t>
      </w:r>
      <w:r>
        <w:t xml:space="preserve"> </w:t>
      </w:r>
      <w:hyperlink r:id="rId184">
        <w:r>
          <w:rPr>
            <w:rStyle w:val="Hyperlink"/>
          </w:rPr>
          <w:t xml:space="preserve">https://doi.org/10.1109/ACCESS.2025.3595390</w:t>
        </w:r>
      </w:hyperlink>
      <w:r>
        <w:t xml:space="preserve">.</w:t>
      </w:r>
    </w:p>
    <w:bookmarkEnd w:id="185"/>
    <w:bookmarkStart w:id="187" w:name="ref-kang2017neurosurgeon"/>
    <w:p>
      <w:pPr>
        <w:pStyle w:val="Bibliography"/>
      </w:pPr>
      <w:r>
        <w:t xml:space="preserve">[27]</w:t>
      </w:r>
      <w:r>
        <w:t xml:space="preserve"> </w:t>
      </w:r>
      <w:r>
        <w:t xml:space="preserve">	</w:t>
      </w:r>
      <w:r>
        <w:t xml:space="preserve">Y. Kang, J. Hauswald, C. Gao, A. Rovinski, T. Mudge, J. Mars, L. Tang, Neurosurgeon: Collaborative intelligence between the cloud and mobile edge, in: Proceedings of the 22nd international conference on architectural support for programming languages and operating systems (ASPLOS), 2017, pp. 615–629,</w:t>
      </w:r>
      <w:r>
        <w:t xml:space="preserve"> </w:t>
      </w:r>
      <w:hyperlink r:id="rId186">
        <w:r>
          <w:rPr>
            <w:rStyle w:val="Hyperlink"/>
          </w:rPr>
          <w:t xml:space="preserve">https://doi.org/10.1145/3037697.3037698</w:t>
        </w:r>
      </w:hyperlink>
      <w:r>
        <w:t xml:space="preserve">.</w:t>
      </w:r>
    </w:p>
    <w:bookmarkEnd w:id="187"/>
    <w:bookmarkStart w:id="189" w:name="ref-teerapittayanon2017ddnn"/>
    <w:p>
      <w:pPr>
        <w:pStyle w:val="Bibliography"/>
      </w:pPr>
      <w:r>
        <w:t xml:space="preserve">[28]</w:t>
      </w:r>
      <w:r>
        <w:t xml:space="preserve"> </w:t>
      </w:r>
      <w:r>
        <w:t xml:space="preserve">	</w:t>
      </w:r>
      <w:r>
        <w:t xml:space="preserve">S. Teerapittayanon, B. McDanel, H.T. Kung, Distributed deep neural networks over the cloud, the edge and end devices, in: IEEE 37th international conference on distributed computing systems (ICDCS), 2017, pp. 328–339,</w:t>
      </w:r>
      <w:r>
        <w:t xml:space="preserve"> </w:t>
      </w:r>
      <w:hyperlink r:id="rId188">
        <w:r>
          <w:rPr>
            <w:rStyle w:val="Hyperlink"/>
          </w:rPr>
          <w:t xml:space="preserve">https://doi.org/10.1109/ICDCS.2017.226</w:t>
        </w:r>
      </w:hyperlink>
      <w:r>
        <w:t xml:space="preserve">.</w:t>
      </w:r>
    </w:p>
    <w:bookmarkEnd w:id="189"/>
    <w:bookmarkStart w:id="191" w:name="ref-matsubara2022split"/>
    <w:p>
      <w:pPr>
        <w:pStyle w:val="Bibliography"/>
      </w:pPr>
      <w:r>
        <w:t xml:space="preserve">[29]</w:t>
      </w:r>
      <w:r>
        <w:t xml:space="preserve"> </w:t>
      </w:r>
      <w:r>
        <w:t xml:space="preserve">	</w:t>
      </w:r>
      <w:r>
        <w:t xml:space="preserve">Y. Matsubara, M. Levorato, F. Restuccia, Split computing and early exiting for deep learning applications: Survey and research challenges, ACM Computing Surveys 55 (2022) 1–30,</w:t>
      </w:r>
      <w:r>
        <w:t xml:space="preserve"> </w:t>
      </w:r>
      <w:hyperlink r:id="rId190">
        <w:r>
          <w:rPr>
            <w:rStyle w:val="Hyperlink"/>
          </w:rPr>
          <w:t xml:space="preserve">https://doi.org/10.1145/3527155</w:t>
        </w:r>
      </w:hyperlink>
      <w:r>
        <w:t xml:space="preserve">.</w:t>
      </w:r>
    </w:p>
    <w:bookmarkEnd w:id="191"/>
    <w:bookmarkStart w:id="192" w:name="ref-geifman2017selective"/>
    <w:p>
      <w:pPr>
        <w:pStyle w:val="Bibliography"/>
      </w:pPr>
      <w:r>
        <w:t xml:space="preserve">[30]</w:t>
      </w:r>
      <w:r>
        <w:t xml:space="preserve"> </w:t>
      </w:r>
      <w:r>
        <w:t xml:space="preserve">	</w:t>
      </w:r>
      <w:r>
        <w:t xml:space="preserve">Y. Geifman, R. El-Yaniv, Selective classification for deep neural networks, in: Advances in neural information processing systems (NeurIPS), 2017.</w:t>
      </w:r>
    </w:p>
    <w:bookmarkEnd w:id="192"/>
    <w:bookmarkStart w:id="193" w:name="ref-hendrycks2017baseline"/>
    <w:p>
      <w:pPr>
        <w:pStyle w:val="Bibliography"/>
      </w:pPr>
      <w:r>
        <w:t xml:space="preserve">[31]</w:t>
      </w:r>
      <w:r>
        <w:t xml:space="preserve"> </w:t>
      </w:r>
      <w:r>
        <w:t xml:space="preserve">	</w:t>
      </w:r>
      <w:r>
        <w:t xml:space="preserve">D. Hendrycks, K. Gimpel, A baseline for detecting misclassified and out-of-distribution examples in neural networks, in: International conference on learning representations (ICLR), 2017.</w:t>
      </w:r>
    </w:p>
    <w:bookmarkEnd w:id="193"/>
    <w:bookmarkStart w:id="194" w:name="ref-guo2017calibration"/>
    <w:p>
      <w:pPr>
        <w:pStyle w:val="Bibliography"/>
      </w:pPr>
      <w:r>
        <w:t xml:space="preserve">[32]</w:t>
      </w:r>
      <w:r>
        <w:t xml:space="preserve"> </w:t>
      </w:r>
      <w:r>
        <w:t xml:space="preserve">	</w:t>
      </w:r>
      <w:r>
        <w:t xml:space="preserve">C. Guo, G. Pleiss, Y. Sun, K.Q. Weinberger, On calibration of modern neural networks, in: Proceedings of the 34th international conference on machine learning (ICML), 2017, pp. 1321–1330.</w:t>
      </w:r>
    </w:p>
    <w:bookmarkEnd w:id="194"/>
    <w:bookmarkStart w:id="195" w:name="ref-wang2018idk"/>
    <w:p>
      <w:pPr>
        <w:pStyle w:val="Bibliography"/>
      </w:pPr>
      <w:r>
        <w:t xml:space="preserve">[33]</w:t>
      </w:r>
      <w:r>
        <w:t xml:space="preserve"> </w:t>
      </w:r>
      <w:r>
        <w:t xml:space="preserve">	</w:t>
      </w:r>
      <w:r>
        <w:t xml:space="preserve">X. Wang, Y. Luo, D. Crankshaw, A. Tumanov, F. Yu, J.E. Gonzalez,</w:t>
      </w:r>
      <w:r>
        <w:t xml:space="preserve"> </w:t>
      </w:r>
      <w:r>
        <w:t xml:space="preserve">IDK</w:t>
      </w:r>
      <w:r>
        <w:t xml:space="preserve"> </w:t>
      </w:r>
      <w:r>
        <w:t xml:space="preserve">cascades: Fast deep learning by learning not to overthink, in: Proceedings of the conference on uncertainty in artificial intelligence (UAI), 2018.</w:t>
      </w:r>
    </w:p>
    <w:bookmarkEnd w:id="195"/>
    <w:bookmarkStart w:id="196" w:name="ref-kag2023selective"/>
    <w:p>
      <w:pPr>
        <w:pStyle w:val="Bibliography"/>
      </w:pPr>
      <w:r>
        <w:t xml:space="preserve">[34]</w:t>
      </w:r>
      <w:r>
        <w:t xml:space="preserve"> </w:t>
      </w:r>
      <w:r>
        <w:t xml:space="preserve">	</w:t>
      </w:r>
      <w:r>
        <w:t xml:space="preserve">A. Kag, I. Fedorov, A. Gangrade, P. Whatmough, V. Saligrama, Efficient edge inference by selective query, in: International conference on learning representations (ICLR), 2023.</w:t>
      </w:r>
    </w:p>
    <w:bookmarkEnd w:id="196"/>
    <w:bookmarkStart w:id="197" w:name="ref-tan2019efficientnet"/>
    <w:p>
      <w:pPr>
        <w:pStyle w:val="Bibliography"/>
      </w:pPr>
      <w:r>
        <w:t xml:space="preserve">[35]</w:t>
      </w:r>
      <w:r>
        <w:t xml:space="preserve"> </w:t>
      </w:r>
      <w:r>
        <w:t xml:space="preserve">	</w:t>
      </w:r>
      <w:r>
        <w:t xml:space="preserve">M. Tan, Q.V. Le,</w:t>
      </w:r>
      <w:r>
        <w:t xml:space="preserve"> </w:t>
      </w:r>
      <w:r>
        <w:t xml:space="preserve">EfficientNet</w:t>
      </w:r>
      <w:r>
        <w:t xml:space="preserve">: Rethinking model scaling for convolutional neural networks, in: International conference on machine learning (ICML), 2019, pp. 6105–6114.</w:t>
      </w:r>
    </w:p>
    <w:bookmarkEnd w:id="197"/>
    <w:bookmarkStart w:id="198" w:name="ref-loshchilov2019adamw"/>
    <w:p>
      <w:pPr>
        <w:pStyle w:val="Bibliography"/>
      </w:pPr>
      <w:r>
        <w:t xml:space="preserve">[36]</w:t>
      </w:r>
      <w:r>
        <w:t xml:space="preserve"> </w:t>
      </w:r>
      <w:r>
        <w:t xml:space="preserve">	</w:t>
      </w:r>
      <w:r>
        <w:t xml:space="preserve">I. Loshchilov, F. Hutter, Decoupled weight decay regularization, in: International conference on learning representations (ICLR), 2019.</w:t>
      </w:r>
    </w:p>
    <w:bookmarkEnd w:id="198"/>
    <w:bookmarkStart w:id="200" w:name="ref-lin2017focal"/>
    <w:p>
      <w:pPr>
        <w:pStyle w:val="Bibliography"/>
      </w:pPr>
      <w:r>
        <w:t xml:space="preserve">[37]</w:t>
      </w:r>
      <w:r>
        <w:t xml:space="preserve"> </w:t>
      </w:r>
      <w:r>
        <w:t xml:space="preserve">	</w:t>
      </w:r>
      <w:r>
        <w:t xml:space="preserve">T.-Y. Lin, P. Goyal, R. Girshick, K. He, P. Dollár, Focal loss for dense object detection, in: IEEE international conference on computer vision (ICCV), 2017, pp. 2999–3007,</w:t>
      </w:r>
      <w:r>
        <w:t xml:space="preserve"> </w:t>
      </w:r>
      <w:hyperlink r:id="rId199">
        <w:r>
          <w:rPr>
            <w:rStyle w:val="Hyperlink"/>
          </w:rPr>
          <w:t xml:space="preserve">https://doi.org/10.1109/ICCV.2017.324</w:t>
        </w:r>
      </w:hyperlink>
      <w:r>
        <w:t xml:space="preserve">.</w:t>
      </w:r>
    </w:p>
    <w:bookmarkEnd w:id="200"/>
    <w:bookmarkStart w:id="202" w:name="ref-donenfeld2017wireguard"/>
    <w:p>
      <w:pPr>
        <w:pStyle w:val="Bibliography"/>
      </w:pPr>
      <w:r>
        <w:t xml:space="preserve">[38]</w:t>
      </w:r>
      <w:r>
        <w:t xml:space="preserve"> </w:t>
      </w:r>
      <w:r>
        <w:t xml:space="preserve">	</w:t>
      </w:r>
      <w:r>
        <w:t xml:space="preserve">J.A. Donenfeld,</w:t>
      </w:r>
      <w:r>
        <w:t xml:space="preserve"> </w:t>
      </w:r>
      <w:r>
        <w:t xml:space="preserve">WireGuard</w:t>
      </w:r>
      <w:r>
        <w:t xml:space="preserve">: Next generation kernel network tunnel, in: Network and distributed system security symposium (NDSS), 2017,</w:t>
      </w:r>
      <w:r>
        <w:t xml:space="preserve"> </w:t>
      </w:r>
      <w:hyperlink r:id="rId201">
        <w:r>
          <w:rPr>
            <w:rStyle w:val="Hyperlink"/>
          </w:rPr>
          <w:t xml:space="preserve">https://doi.org/10.14722/ndss.2017.23160</w:t>
        </w:r>
      </w:hyperlink>
      <w:r>
        <w:t xml:space="preserve">.</w:t>
      </w:r>
    </w:p>
    <w:bookmarkEnd w:id="202"/>
    <w:bookmarkStart w:id="204" w:name="ref-onnx2019"/>
    <w:p>
      <w:pPr>
        <w:pStyle w:val="Bibliography"/>
      </w:pPr>
      <w:r>
        <w:t xml:space="preserve">[39]</w:t>
      </w:r>
      <w:r>
        <w:t xml:space="preserve"> </w:t>
      </w:r>
      <w:r>
        <w:t xml:space="preserve">	</w:t>
      </w:r>
      <w:r>
        <w:t xml:space="preserve">J. Bai, F. Lu, K. Zhang, others</w:t>
      </w:r>
      <w:r>
        <w:t xml:space="preserve">,</w:t>
      </w:r>
      <w:r>
        <w:t xml:space="preserve"> </w:t>
      </w:r>
      <w:r>
        <w:t xml:space="preserve">ONNX</w:t>
      </w:r>
      <w:r>
        <w:t xml:space="preserve">: Open neural network exchange,</w:t>
      </w:r>
      <w:r>
        <w:t xml:space="preserve"> </w:t>
      </w:r>
      <w:hyperlink r:id="rId203">
        <w:r>
          <w:rPr>
            <w:rStyle w:val="Hyperlink"/>
          </w:rPr>
          <w:t xml:space="preserve">https://github.com/onnx/onnx</w:t>
        </w:r>
      </w:hyperlink>
      <w:r>
        <w:t xml:space="preserve">, 2019.</w:t>
      </w:r>
    </w:p>
    <w:bookmarkEnd w:id="204"/>
    <w:bookmarkStart w:id="206" w:name="ref-nvidia2022tensorrt"/>
    <w:p>
      <w:pPr>
        <w:pStyle w:val="Bibliography"/>
      </w:pPr>
      <w:r>
        <w:t xml:space="preserve">[40]</w:t>
      </w:r>
      <w:r>
        <w:t xml:space="preserve"> </w:t>
      </w:r>
      <w:r>
        <w:t xml:space="preserve">	</w:t>
      </w:r>
      <w:r>
        <w:t xml:space="preserve">NVIDIA Corporation,</w:t>
      </w:r>
      <w:r>
        <w:t xml:space="preserve"> </w:t>
      </w:r>
      <w:r>
        <w:t xml:space="preserve">NVIDIA TensorRT</w:t>
      </w:r>
      <w:r>
        <w:t xml:space="preserve"> </w:t>
      </w:r>
      <w:r>
        <w:t xml:space="preserve">8.2 developer guide,</w:t>
      </w:r>
      <w:r>
        <w:t xml:space="preserve"> </w:t>
      </w:r>
      <w:hyperlink r:id="rId205">
        <w:r>
          <w:rPr>
            <w:rStyle w:val="Hyperlink"/>
          </w:rPr>
          <w:t xml:space="preserve">https://docs.nvidia.com/deeplearning/tensorrt/archives/</w:t>
        </w:r>
      </w:hyperlink>
      <w:r>
        <w:t xml:space="preserve">, 2022.</w:t>
      </w:r>
    </w:p>
    <w:bookmarkEnd w:id="206"/>
    <w:bookmarkStart w:id="208" w:name="ref-hinton2015distilling"/>
    <w:p>
      <w:pPr>
        <w:pStyle w:val="Bibliography"/>
      </w:pPr>
      <w:r>
        <w:t xml:space="preserve">[41]</w:t>
      </w:r>
      <w:r>
        <w:t xml:space="preserve"> </w:t>
      </w:r>
      <w:r>
        <w:t xml:space="preserve">	</w:t>
      </w:r>
      <w:r>
        <w:t xml:space="preserve">G. Hinton, O. Vinyals, J. Dean, Distilling the knowledge in a neural network, 2015,</w:t>
      </w:r>
      <w:r>
        <w:t xml:space="preserve"> </w:t>
      </w:r>
      <w:hyperlink r:id="rId207">
        <w:r>
          <w:rPr>
            <w:rStyle w:val="Hyperlink"/>
          </w:rPr>
          <w:t xml:space="preserve">https://doi.org/10.48550/arXiv.1503.02531</w:t>
        </w:r>
      </w:hyperlink>
      <w:r>
        <w:t xml:space="preserve">.</w:t>
      </w:r>
    </w:p>
    <w:bookmarkEnd w:id="208"/>
    <w:bookmarkEnd w:id="209"/>
    <w:bookmarkEnd w:id="210"/>
    <w:bookmarkStart w:id="212"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11" w:name="tab:adaptations"/>
    <w:p>
      <w:pPr>
        <w:pStyle w:val="TableCaption"/>
      </w:pPr>
      <w:r>
        <w:t xml:space="preserve">Table A.1. Software adaptations, by node.</w:t>
      </w:r>
    </w:p>
    <w:tbl>
      <w:tblPr>
        <w:tblStyle w:val="Table"/>
        <w:tblW w:type="pct" w:w="4994"/>
        <w:tblLayout w:type="fixed"/>
        <w:tblLook w:firstRow="1" w:lastRow="0" w:firstColumn="0" w:lastColumn="0" w:noHBand="0" w:noVBand="0" w:val="0020"/>
        <w:tblCaption w:val="Table A.1. Software adaptations, by node."/>
      </w:tblPr>
      <w:tblGrid>
        <w:gridCol w:w="299"/>
        <w:gridCol w:w="2340"/>
        <w:gridCol w:w="5270"/>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The edge requirements originally pinned PyTorch 2.2 and NumPy 1.26, which have no Python 3.13 wheels for ARM64 (the workstation reference itself uses PyTorch 2.11).</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Preprocessing re-implemented with Pillow (JPEG decoding, bicubic resize, as in torchvision) and NumPy (crop, normalisation, layout), bit-identical on the workstation; QualityGate head in NumPy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 </w:t>
            </w:r>
            <w:r>
              <w:t xml:space="preserve">in onnxruntime, whose CPU provider computes these graphs in fp32 — the check covers the rounding of the weights, not fp16 arithmetic (see B14).</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applied to the (batch, tokens, channels) residual stream reshaped to</w:t>
            </w:r>
            <w:r>
              <w:t xml:space="preserve"> </w:t>
            </w:r>
            <m:oMath>
              <m:r>
                <m:t>1</m:t>
              </m:r>
              <m:r>
                <m:rPr>
                  <m:sty m:val="p"/>
                </m:rPr>
                <m:t>×</m:t>
              </m:r>
              <m:r>
                <m:t>C</m:t>
              </m:r>
              <m:r>
                <m:rPr>
                  <m:sty m:val="p"/>
                </m:rPr>
                <m:t>×</m:t>
              </m:r>
              <m:r>
                <m:rPr>
                  <m:sty m:val="p"/>
                </m:rPr>
                <m:t>(</m:t>
              </m:r>
              <m:r>
                <m:t>B</m:t>
              </m:r>
              <m:r>
                <m:t> </m:t>
              </m:r>
              <m:r>
                <m:t>N</m:t>
              </m:r>
              <m:r>
                <m:rPr>
                  <m:sty m:val="p"/>
                </m:rPr>
                <m:t>)</m:t>
              </m:r>
              <m:r>
                <m:rPr>
                  <m:sty m:val="p"/>
                </m:rPr>
                <m:t>×</m:t>
              </m:r>
              <m:r>
                <m:t>1</m:t>
              </m:r>
            </m:oMath>
            <w:r>
              <w:t xml:space="preserve"> </w:t>
            </w:r>
            <w:r>
              <w:t xml:space="preserve">and reshaped back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(measured with fp16 engines), even with one shared activation buffer; fp32 engines are twice as large.</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 the fp32 engines keep the fp16-rounded weights but compute in fp32. The workstation check of B9 had not shown the overflow because onnxruntime computed in fp32 (the first DINOv3 chunk’s hidden state reaches</w:t>
            </w:r>
            <w:r>
              <w:t xml:space="preserve"> </w:t>
            </w:r>
            <m:oMath>
              <m:r>
                <m:t>1.57</m:t>
              </m:r>
              <m:r>
                <m:rPr>
                  <m:sty m:val="p"/>
                </m:rPr>
                <m:t>×</m:t>
              </m:r>
              <m:sSup>
                <m:e>
                  <m:r>
                    <m:t>10</m:t>
                  </m:r>
                </m:e>
                <m:sup>
                  <m:r>
                    <m:t>5</m:t>
                  </m:r>
                </m:sup>
              </m:sSup>
            </m:oMath>
            <w:r>
              <w:t xml:space="preserve"> </w:t>
            </w:r>
            <w:r>
              <w:t xml:space="preserve">there without overflowing).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links IJG libjpeg 9, Pillow 12 libjpeg-turbo 3.1. The decoders differ on 36 % of pixels (up to 67/255); resampling the same decoded pixels is bit-identical in both versions. Given identical input tensors the CLIP and DINOv3 engines match the reference (cosine 0.99999–1.00000) and all engines agree on 24/24 top-1. Accepted rather than corrected (a matched decoder is not available as a stock JetPack 4 package); measured over the emulated deployments.</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reproduced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The distilled configuration (Section 6.7) had to run on the same devices without losing the baseline one.</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r>
        <w:tc>
          <w:tcPr/>
          <w:p>
            <w:pPr>
              <w:pStyle w:val="Compact"/>
              <w:jc w:val="left"/>
            </w:pPr>
            <w:r>
              <w:t xml:space="preserve">C5</w:t>
            </w:r>
          </w:p>
        </w:tc>
        <w:tc>
          <w:tcPr/>
          <w:p>
            <w:pPr>
              <w:pStyle w:val="Compact"/>
              <w:jc w:val="left"/>
            </w:pPr>
            <w:r>
              <w:t xml:space="preserve">Added after the measurements: a queue that accumulates for long (more farms, a missed batch) would hold every image’s hidden state at once, about 4.5 MB per image.</w:t>
            </w:r>
          </w:p>
        </w:tc>
        <w:tc>
          <w:tcPr/>
          <w:p>
            <w:pPr>
              <w:pStyle w:val="Compact"/>
              <w:jc w:val="left"/>
            </w:pPr>
            <w:r>
              <w:t xml:space="preserve">The cloud server processes queues of more than 128 images in sub-batches of 128; the edge server can optionally upload escalations from a background queue so that the answer never waits for the network. Neither affects the reported runs (largest batch 61 images; uploads acknowledged before answering).</w:t>
            </w:r>
          </w:p>
        </w:tc>
      </w:tr>
    </w:tbl>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205" Target="https://docs.nvidia.com/deeplearning/tensorrt/archives/" TargetMode="External" /><Relationship Type="http://schemas.openxmlformats.org/officeDocument/2006/relationships/hyperlink" Id="rId164" Target="https://doi.org/10.1016/j.agsy.2017.01.023" TargetMode="External" /><Relationship Type="http://schemas.openxmlformats.org/officeDocument/2006/relationships/hyperlink" Id="rId166" Target="https://doi.org/10.1016/j.aiia.2019.12.001" TargetMode="External" /><Relationship Type="http://schemas.openxmlformats.org/officeDocument/2006/relationships/hyperlink" Id="rId142" Target="https://doi.org/10.1016/j.compag.2018.01.009" TargetMode="External" /><Relationship Type="http://schemas.openxmlformats.org/officeDocument/2006/relationships/hyperlink" Id="rId138" Target="https://doi.org/10.1016/j.compag.2018.02.016" TargetMode="External" /><Relationship Type="http://schemas.openxmlformats.org/officeDocument/2006/relationships/hyperlink" Id="rId146" Target="https://doi.org/10.1016/j.compag.2018.08.013" TargetMode="External" /><Relationship Type="http://schemas.openxmlformats.org/officeDocument/2006/relationships/hyperlink" Id="rId180" Target="https://doi.org/10.1016/j.plaphe.2025.100024" TargetMode="External" /><Relationship Type="http://schemas.openxmlformats.org/officeDocument/2006/relationships/hyperlink" Id="rId136" Target="https://doi.org/10.1038/s41559-018-0793-y" TargetMode="External" /><Relationship Type="http://schemas.openxmlformats.org/officeDocument/2006/relationships/hyperlink" Id="rId150" Target="https://doi.org/10.1109/ACCESS.2023.3240100" TargetMode="External" /><Relationship Type="http://schemas.openxmlformats.org/officeDocument/2006/relationships/hyperlink" Id="rId184" Target="https://doi.org/10.1109/ACCESS.2025.3595390" TargetMode="External" /><Relationship Type="http://schemas.openxmlformats.org/officeDocument/2006/relationships/hyperlink" Id="rId170" Target="https://doi.org/10.1109/CVPR.2001.990517" TargetMode="External" /><Relationship Type="http://schemas.openxmlformats.org/officeDocument/2006/relationships/hyperlink" Id="rId199" Target="https://doi.org/10.1109/ICCV.2017.324" TargetMode="External" /><Relationship Type="http://schemas.openxmlformats.org/officeDocument/2006/relationships/hyperlink" Id="rId162" Target="https://doi.org/10.1109/ICCV.2019.00140" TargetMode="External" /><Relationship Type="http://schemas.openxmlformats.org/officeDocument/2006/relationships/hyperlink" Id="rId188" Target="https://doi.org/10.1109/ICDCS.2017.226" TargetMode="External" /><Relationship Type="http://schemas.openxmlformats.org/officeDocument/2006/relationships/hyperlink" Id="rId174" Target="https://doi.org/10.1109/ICPR.2016.7900006" TargetMode="External" /><Relationship Type="http://schemas.openxmlformats.org/officeDocument/2006/relationships/hyperlink" Id="rId168" Target="https://doi.org/10.1109/JIOT.2016.2579198" TargetMode="External" /><Relationship Type="http://schemas.openxmlformats.org/officeDocument/2006/relationships/hyperlink" Id="rId172" Target="https://doi.org/10.1109/TIT.1970.1054406" TargetMode="External" /><Relationship Type="http://schemas.openxmlformats.org/officeDocument/2006/relationships/hyperlink" Id="rId186" Target="https://doi.org/10.1145/3037697.3037698" TargetMode="External" /><Relationship Type="http://schemas.openxmlformats.org/officeDocument/2006/relationships/hyperlink" Id="rId176" Target="https://doi.org/10.1145/3371158.3371196" TargetMode="External" /><Relationship Type="http://schemas.openxmlformats.org/officeDocument/2006/relationships/hyperlink" Id="rId190" Target="https://doi.org/10.1145/3527155" TargetMode="External" /><Relationship Type="http://schemas.openxmlformats.org/officeDocument/2006/relationships/hyperlink" Id="rId178" Target="https://doi.org/10.1145/3664647.3680599" TargetMode="External" /><Relationship Type="http://schemas.openxmlformats.org/officeDocument/2006/relationships/hyperlink" Id="rId154" Target="https://doi.org/10.1145/3664647.3681614" TargetMode="External" /><Relationship Type="http://schemas.openxmlformats.org/officeDocument/2006/relationships/hyperlink" Id="rId201" Target="https://doi.org/10.14722/ndss.2017.23160" TargetMode="External" /><Relationship Type="http://schemas.openxmlformats.org/officeDocument/2006/relationships/hyperlink" Id="rId140" Target="https://doi.org/10.3389/fpls.2016.01419" TargetMode="External" /><Relationship Type="http://schemas.openxmlformats.org/officeDocument/2006/relationships/hyperlink" Id="rId182" Target="https://doi.org/10.3389/fpls.2025.1522985" TargetMode="External" /><Relationship Type="http://schemas.openxmlformats.org/officeDocument/2006/relationships/hyperlink" Id="rId160" Target="https://doi.org/10.3389/fpls.2026.1860665" TargetMode="External" /><Relationship Type="http://schemas.openxmlformats.org/officeDocument/2006/relationships/hyperlink" Id="rId152" Target="https://doi.org/10.34133/plantphenomics.0038" TargetMode="External" /><Relationship Type="http://schemas.openxmlformats.org/officeDocument/2006/relationships/hyperlink" Id="rId207" Target="https://doi.org/10.48550/arXiv.1503.02531" TargetMode="External" /><Relationship Type="http://schemas.openxmlformats.org/officeDocument/2006/relationships/hyperlink" Id="rId144" Target="https://doi.org/10.48550/arXiv.1511.08060" TargetMode="External" /><Relationship Type="http://schemas.openxmlformats.org/officeDocument/2006/relationships/hyperlink" Id="rId148" Target="https://doi.org/10.48550/arXiv.2206.04374" TargetMode="External" /><Relationship Type="http://schemas.openxmlformats.org/officeDocument/2006/relationships/hyperlink" Id="rId133" Target="https://github.com/YouROS12/CloudOffEdge" TargetMode="External" /><Relationship Type="http://schemas.openxmlformats.org/officeDocument/2006/relationships/hyperlink" Id="rId203" Target="https://github.com/onnx/onnx" TargetMode="External" /><Relationship Type="http://schemas.openxmlformats.org/officeDocument/2006/relationships/hyperlink" Id="rId157"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205" Target="https://docs.nvidia.com/deeplearning/tensorrt/archives/" TargetMode="External" /><Relationship Type="http://schemas.openxmlformats.org/officeDocument/2006/relationships/hyperlink" Id="rId164" Target="https://doi.org/10.1016/j.agsy.2017.01.023" TargetMode="External" /><Relationship Type="http://schemas.openxmlformats.org/officeDocument/2006/relationships/hyperlink" Id="rId166" Target="https://doi.org/10.1016/j.aiia.2019.12.001" TargetMode="External" /><Relationship Type="http://schemas.openxmlformats.org/officeDocument/2006/relationships/hyperlink" Id="rId142" Target="https://doi.org/10.1016/j.compag.2018.01.009" TargetMode="External" /><Relationship Type="http://schemas.openxmlformats.org/officeDocument/2006/relationships/hyperlink" Id="rId138" Target="https://doi.org/10.1016/j.compag.2018.02.016" TargetMode="External" /><Relationship Type="http://schemas.openxmlformats.org/officeDocument/2006/relationships/hyperlink" Id="rId146" Target="https://doi.org/10.1016/j.compag.2018.08.013" TargetMode="External" /><Relationship Type="http://schemas.openxmlformats.org/officeDocument/2006/relationships/hyperlink" Id="rId180" Target="https://doi.org/10.1016/j.plaphe.2025.100024" TargetMode="External" /><Relationship Type="http://schemas.openxmlformats.org/officeDocument/2006/relationships/hyperlink" Id="rId136" Target="https://doi.org/10.1038/s41559-018-0793-y" TargetMode="External" /><Relationship Type="http://schemas.openxmlformats.org/officeDocument/2006/relationships/hyperlink" Id="rId150" Target="https://doi.org/10.1109/ACCESS.2023.3240100" TargetMode="External" /><Relationship Type="http://schemas.openxmlformats.org/officeDocument/2006/relationships/hyperlink" Id="rId184" Target="https://doi.org/10.1109/ACCESS.2025.3595390" TargetMode="External" /><Relationship Type="http://schemas.openxmlformats.org/officeDocument/2006/relationships/hyperlink" Id="rId170" Target="https://doi.org/10.1109/CVPR.2001.990517" TargetMode="External" /><Relationship Type="http://schemas.openxmlformats.org/officeDocument/2006/relationships/hyperlink" Id="rId199" Target="https://doi.org/10.1109/ICCV.2017.324" TargetMode="External" /><Relationship Type="http://schemas.openxmlformats.org/officeDocument/2006/relationships/hyperlink" Id="rId162" Target="https://doi.org/10.1109/ICCV.2019.00140" TargetMode="External" /><Relationship Type="http://schemas.openxmlformats.org/officeDocument/2006/relationships/hyperlink" Id="rId188" Target="https://doi.org/10.1109/ICDCS.2017.226" TargetMode="External" /><Relationship Type="http://schemas.openxmlformats.org/officeDocument/2006/relationships/hyperlink" Id="rId174" Target="https://doi.org/10.1109/ICPR.2016.7900006" TargetMode="External" /><Relationship Type="http://schemas.openxmlformats.org/officeDocument/2006/relationships/hyperlink" Id="rId168" Target="https://doi.org/10.1109/JIOT.2016.2579198" TargetMode="External" /><Relationship Type="http://schemas.openxmlformats.org/officeDocument/2006/relationships/hyperlink" Id="rId172" Target="https://doi.org/10.1109/TIT.1970.1054406" TargetMode="External" /><Relationship Type="http://schemas.openxmlformats.org/officeDocument/2006/relationships/hyperlink" Id="rId186" Target="https://doi.org/10.1145/3037697.3037698" TargetMode="External" /><Relationship Type="http://schemas.openxmlformats.org/officeDocument/2006/relationships/hyperlink" Id="rId176" Target="https://doi.org/10.1145/3371158.3371196" TargetMode="External" /><Relationship Type="http://schemas.openxmlformats.org/officeDocument/2006/relationships/hyperlink" Id="rId190" Target="https://doi.org/10.1145/3527155" TargetMode="External" /><Relationship Type="http://schemas.openxmlformats.org/officeDocument/2006/relationships/hyperlink" Id="rId178" Target="https://doi.org/10.1145/3664647.3680599" TargetMode="External" /><Relationship Type="http://schemas.openxmlformats.org/officeDocument/2006/relationships/hyperlink" Id="rId154" Target="https://doi.org/10.1145/3664647.3681614" TargetMode="External" /><Relationship Type="http://schemas.openxmlformats.org/officeDocument/2006/relationships/hyperlink" Id="rId201" Target="https://doi.org/10.14722/ndss.2017.23160" TargetMode="External" /><Relationship Type="http://schemas.openxmlformats.org/officeDocument/2006/relationships/hyperlink" Id="rId140" Target="https://doi.org/10.3389/fpls.2016.01419" TargetMode="External" /><Relationship Type="http://schemas.openxmlformats.org/officeDocument/2006/relationships/hyperlink" Id="rId182" Target="https://doi.org/10.3389/fpls.2025.1522985" TargetMode="External" /><Relationship Type="http://schemas.openxmlformats.org/officeDocument/2006/relationships/hyperlink" Id="rId160" Target="https://doi.org/10.3389/fpls.2026.1860665" TargetMode="External" /><Relationship Type="http://schemas.openxmlformats.org/officeDocument/2006/relationships/hyperlink" Id="rId152" Target="https://doi.org/10.34133/plantphenomics.0038" TargetMode="External" /><Relationship Type="http://schemas.openxmlformats.org/officeDocument/2006/relationships/hyperlink" Id="rId207" Target="https://doi.org/10.48550/arXiv.1503.02531" TargetMode="External" /><Relationship Type="http://schemas.openxmlformats.org/officeDocument/2006/relationships/hyperlink" Id="rId144" Target="https://doi.org/10.48550/arXiv.1511.08060" TargetMode="External" /><Relationship Type="http://schemas.openxmlformats.org/officeDocument/2006/relationships/hyperlink" Id="rId148" Target="https://doi.org/10.48550/arXiv.2206.04374" TargetMode="External" /><Relationship Type="http://schemas.openxmlformats.org/officeDocument/2006/relationships/hyperlink" Id="rId133" Target="https://github.com/YouROS12/CloudOffEdge" TargetMode="External" /><Relationship Type="http://schemas.openxmlformats.org/officeDocument/2006/relationships/hyperlink" Id="rId203" Target="https://github.com/onnx/onnx" TargetMode="External" /><Relationship Type="http://schemas.openxmlformats.org/officeDocument/2006/relationships/hyperlink" Id="rId157"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2026-10-22T10:02:39Z</dcterms:created>
  <dcterms:modified xsi:type="dcterms:W3CDTF">2026-10-22T10:02:39Z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C:\Users\Youssef\Desktop\TurboQuant\paper2\.claude\worktrees\serene-cerf\paper2\paper\manuscript\elsevier-numeric.csl</vt:lpwstr>
  </property>
  <property fmtid="{D5CDD505-2E9C-101B-9397-08002B2CF9AE}" pid="4" name="link-citations">
    <vt:lpwstr>True</vt:lpwstr>
  </property>
</Properties>
</file>