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Kenitra, Morocco</w:t>
      </w:r>
    </w:p>
    <w:p>
      <w:pPr>
        <w:pStyle w:val="BodyText"/>
      </w:pPr>
      <w:r>
        <w:rPr>
          <w:vertAlign w:val="superscript"/>
        </w:rPr>
        <w:t xml:space="preserve">b</w:t>
      </w:r>
      <w:r>
        <w:t xml:space="preserve">Laboratory of Advanced Systems Engineering, National School of Applied Engineering, Ibn Tofail University, Kenitra, Morocco</w:t>
      </w:r>
    </w:p>
    <w:p>
      <w:pPr>
        <w:pStyle w:val="BodyText"/>
      </w:pPr>
      <w:r>
        <w:rPr>
          <w:vertAlign w:val="superscript"/>
        </w:rPr>
        <w:t xml:space="preserve">*</w:t>
      </w:r>
      <w:r>
        <w:t xml:space="preserve">Corresponding author: youssef.natij@uit.ac.ma</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A seven-day, four-farm replay on the devices measures up to 8</w:t>
      </w:r>
      <m:oMath>
        <m:r>
          <m:rPr>
            <m:sty m:val="p"/>
          </m:rPr>
          <m:t>×</m:t>
        </m:r>
      </m:oMath>
      <w:r>
        <w:t xml:space="preserve"> </w:t>
      </w:r>
      <w:r>
        <w:t xml:space="preserve">less uplink</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an ensemble of three frozen foundation backbones only when the gap between its two most probable classes falls below a threshold calibrated on validation data. The rule escalates 18.6 % of test images and retains 94.6 % of always-cloud accuracy (75.82 % vs. 80.17 % top-1),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then deploy the system on a Raspberry Pi 5 and an end-of-life 4 GB Jetson Nano, porting the ensemble through framework-free, chunk-by-chunk TensorRT inference. In a replayed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edge model raises the measured saving to 8.0</w:t>
      </w:r>
      <m:oMath>
        <m:r>
          <m:rPr>
            <m:sty m:val="p"/>
          </m:rPr>
          <m:t>×</m:t>
        </m:r>
      </m:oMath>
      <w:r>
        <w:t xml:space="preserve">. Selective escalation thus makes foundation-model accuracy affordable on rural links with commodity embedded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Savary et al. 2019</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Hughes and Salathé 2015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w:t>
      </w:r>
      <w:hyperlink w:anchor="ref-wu2023fromlaboratoryto">
        <w:r>
          <w:rPr>
            <w:rStyle w:val="Hyperlink"/>
          </w:rPr>
          <w:t xml:space="preserve">Wu et al. 2023</w:t>
        </w:r>
      </w:hyperlink>
      <w:r>
        <w:t xml:space="preserve">)</w:t>
      </w:r>
      <w:r>
        <w:t xml:space="preserve">. The PlantWild benchmark</w:t>
      </w:r>
      <w:r>
        <w:t xml:space="preserve"> </w:t>
      </w:r>
      <w:r>
        <w:t xml:space="preserve">(</w:t>
      </w:r>
      <w:hyperlink w:anchor="ref-wei2024plantwild">
        <w:r>
          <w:rPr>
            <w:rStyle w:val="Hyperlink"/>
          </w:rPr>
          <w:t xml:space="preserve">Wei et al. 2024b</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w:t>
      </w:r>
      <w:hyperlink w:anchor="ref-radford2021clip">
        <w:r>
          <w:rPr>
            <w:rStyle w:val="Hyperlink"/>
          </w:rPr>
          <w:t xml:space="preserve">Radford et al. 2021</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5backbone">
        <w:r>
          <w:rPr>
            <w:rStyle w:val="Hyperlink"/>
          </w:rPr>
          <w:t xml:space="preserve">El Karch et al. 2025</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Howard et al. 2019</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Wolfert et al. 2017</w:t>
        </w:r>
      </w:hyperlink>
      <w:r>
        <w:t xml:space="preserve">;</w:t>
      </w:r>
      <w:r>
        <w:t xml:space="preserve"> </w:t>
      </w:r>
      <w:hyperlink w:anchor="ref-ogrady2019edge">
        <w:r>
          <w:rPr>
            <w:rStyle w:val="Hyperlink"/>
          </w:rPr>
          <w:t xml:space="preserve">O’Grady et al. 2019</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Shi et al. 2016</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Viola and Jones 2001</w:t>
        </w:r>
      </w:hyperlink>
      <w:r>
        <w:t xml:space="preserve">)</w:t>
      </w:r>
      <w:r>
        <w:t xml:space="preserve">, the reject option</w:t>
      </w:r>
      <w:r>
        <w:t xml:space="preserve"> </w:t>
      </w:r>
      <w:r>
        <w:t xml:space="preserve">(</w:t>
      </w:r>
      <w:hyperlink w:anchor="ref-chow1970reject">
        <w:r>
          <w:rPr>
            <w:rStyle w:val="Hyperlink"/>
          </w:rPr>
          <w:t xml:space="preserve">Chow 1970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Teerapittayanon et al. 2016</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20.5 %), and distilling the ensemble into the same edge model raises the uplink saving measured on the devices from 5.4- to 8.0-fold,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replay a seven-day capture schedule against the real devices, yielding measured per-image latency, per-farm upload volume, cloud load and device energy, for the original and an improved configuration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Field-oriented datasets such as PlantDoc</w:t>
      </w:r>
      <w:r>
        <w:t xml:space="preserve"> </w:t>
      </w:r>
      <w:r>
        <w:t xml:space="preserve">(</w:t>
      </w:r>
      <w:hyperlink w:anchor="ref-singh2020plantdoc">
        <w:r>
          <w:rPr>
            <w:rStyle w:val="Hyperlink"/>
          </w:rPr>
          <w:t xml:space="preserve">Singh et al. 2020</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Wei et al. 2024b</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Wei et al. 2024a</w:t>
        </w:r>
      </w:hyperlink>
      <w:r>
        <w:t xml:space="preserve">)</w:t>
      </w:r>
      <w:r>
        <w:t xml:space="preserve">. Recent work combines foundation backbones</w:t>
      </w:r>
      <w:r>
        <w:t xml:space="preserve"> </w:t>
      </w:r>
      <w:r>
        <w:t xml:space="preserve">(</w:t>
      </w:r>
      <w:hyperlink w:anchor="ref-jiang2025plantcafo">
        <w:r>
          <w:rPr>
            <w:rStyle w:val="Hyperlink"/>
          </w:rPr>
          <w:t xml:space="preserve">Jiang et al. 2025</w:t>
        </w:r>
      </w:hyperlink>
      <w:r>
        <w:t xml:space="preserve">;</w:t>
      </w:r>
      <w:r>
        <w:t xml:space="preserve"> </w:t>
      </w:r>
      <w:hyperlink w:anchor="ref-salman2025plantdisease">
        <w:r>
          <w:rPr>
            <w:rStyle w:val="Hyperlink"/>
          </w:rPr>
          <w:t xml:space="preserve">Salman et al. 2025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Hasan et al. 2025</w:t>
        </w:r>
      </w:hyperlink>
      <w:r>
        <w:t xml:space="preserve">)</w:t>
      </w:r>
      <w:r>
        <w:t xml:space="preserve">. Our cloud model is the three-backbone QualityGate fusion of</w:t>
      </w:r>
      <w:r>
        <w:t xml:space="preserve"> </w:t>
      </w:r>
      <w:r>
        <w:t xml:space="preserve">El Karch et al. (</w:t>
      </w:r>
      <w:hyperlink w:anchor="ref-elkarch2025backbone">
        <w:r>
          <w:rPr>
            <w:rStyle w:val="Hyperlink"/>
          </w:rPr>
          <w:t xml:space="preserve">2025</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Kang et al. 2017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Teerapittayanon et al. 2016</w:t>
        </w:r>
      </w:hyperlink>
      <w:r>
        <w:t xml:space="preserve">,</w:t>
      </w:r>
      <w:r>
        <w:t xml:space="preserve"> </w:t>
      </w:r>
      <w:hyperlink w:anchor="ref-teerapittayanon2017ddnn">
        <w:r>
          <w:rPr>
            <w:rStyle w:val="Hyperlink"/>
          </w:rPr>
          <w:t xml:space="preserve">2017</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Matsubara et al. 2022</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Chow 1970</w:t>
        </w:r>
      </w:hyperlink>
      <w:r>
        <w:t xml:space="preserve">;</w:t>
      </w:r>
      <w:r>
        <w:t xml:space="preserve"> </w:t>
      </w:r>
      <w:hyperlink w:anchor="ref-geifman2017selective">
        <w:r>
          <w:rPr>
            <w:rStyle w:val="Hyperlink"/>
          </w:rPr>
          <w:t xml:space="preserve">Geifman and El-Yaniv 2017</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Hendrycks and Gimpel 2017</w:t>
        </w:r>
      </w:hyperlink>
      <w:r>
        <w:t xml:space="preserve">)</w:t>
      </w:r>
      <w:r>
        <w:t xml:space="preserve">, although modern networks are miscalibrated</w:t>
      </w:r>
      <w:r>
        <w:t xml:space="preserve"> </w:t>
      </w:r>
      <w:r>
        <w:t xml:space="preserve">(</w:t>
      </w:r>
      <w:hyperlink w:anchor="ref-guo2017calibration">
        <w:r>
          <w:rPr>
            <w:rStyle w:val="Hyperlink"/>
          </w:rPr>
          <w:t xml:space="preserve">Guo et al. 2017</w:t>
        </w:r>
      </w:hyperlink>
      <w:r>
        <w:t xml:space="preserve">)</w:t>
      </w:r>
      <w:r>
        <w:t xml:space="preserve">. Learned deferral policies have been proposed for cascades</w:t>
      </w:r>
      <w:r>
        <w:t xml:space="preserve"> </w:t>
      </w:r>
      <w:r>
        <w:t xml:space="preserve">(</w:t>
      </w:r>
      <w:hyperlink w:anchor="ref-wang2018idk">
        <w:r>
          <w:rPr>
            <w:rStyle w:val="Hyperlink"/>
          </w:rPr>
          <w:t xml:space="preserve">Wang et al. 2018</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Kag et al. 2023</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r>
        <w:t xml:space="preserve">and of smart farming</w:t>
      </w:r>
      <w:r>
        <w:t xml:space="preserve"> </w:t>
      </w:r>
      <w:r>
        <w:t xml:space="preserve">(</w:t>
      </w:r>
      <w:hyperlink w:anchor="ref-wolfert2017bigdata">
        <w:r>
          <w:rPr>
            <w:rStyle w:val="Hyperlink"/>
          </w:rPr>
          <w:t xml:space="preserve">Wolfert et al. 2017</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O’Grady et al. 2019</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Wei et al. 2024b</w:t>
        </w:r>
      </w:hyperlink>
      <w:r>
        <w:t xml:space="preserve">)</w:t>
      </w:r>
      <w:r>
        <w:t xml:space="preserve">: 18 542 field photographs of 89 classes spanning healthy and diseased leaves of more than thirty plant species. We follow the official split procedure of</w:t>
      </w:r>
      <w:r>
        <w:t xml:space="preserve"> </w:t>
      </w:r>
      <w:r>
        <w:t xml:space="preserve">Wei et al. (</w:t>
      </w:r>
      <w:hyperlink w:anchor="ref-wei2024mvpdr">
        <w:r>
          <w:rPr>
            <w:rStyle w:val="Hyperlink"/>
          </w:rPr>
          <w:t xml:space="preserve">2024a</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w:t>
      </w:r>
      <w:r>
        <w:t xml:space="preserve"> </w:t>
      </w:r>
      <w:r>
        <w:t xml:space="preserve">El Karch et al. (</w:t>
      </w:r>
      <w:hyperlink w:anchor="ref-elkarch2025backbone">
        <w:r>
          <w:rPr>
            <w:rStyle w:val="Hyperlink"/>
          </w:rPr>
          <w:t xml:space="preserve">2025</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DINOv3 ViT-L/16 at 336 px</w:t>
      </w:r>
      <w:r>
        <w:t xml:space="preserve"> </w:t>
      </w:r>
      <w:r>
        <w:t xml:space="preserve">(</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and the CLIP ViT-L/14 image encoder at 224 px</w:t>
      </w:r>
      <w:r>
        <w:t xml:space="preserve"> </w:t>
      </w:r>
      <w:r>
        <w:t xml:space="preserve">(</w:t>
      </w:r>
      <w:hyperlink w:anchor="ref-radford2021clip">
        <w:r>
          <w:rPr>
            <w:rStyle w:val="Hyperlink"/>
          </w:rPr>
          <w:t xml:space="preserve">Radford et al. 2021</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networks that fit a farm-grade CPU: MobileNetV3-Small, MobileNetV3-Large</w:t>
      </w:r>
      <w:r>
        <w:t xml:space="preserve"> </w:t>
      </w:r>
      <w:r>
        <w:t xml:space="preserve">(</w:t>
      </w:r>
      <w:hyperlink w:anchor="ref-howard2019mobilenetv3">
        <w:r>
          <w:rPr>
            <w:rStyle w:val="Hyperlink"/>
          </w:rPr>
          <w:t xml:space="preserve">Howard et al. 2019</w:t>
        </w:r>
      </w:hyperlink>
      <w:r>
        <w:t xml:space="preserve">)</w:t>
      </w:r>
      <w:r>
        <w:t xml:space="preserve"> </w:t>
      </w:r>
      <w:r>
        <w:t xml:space="preserve">and EfficientNet-B0</w:t>
      </w:r>
      <w:r>
        <w:t xml:space="preserve"> </w:t>
      </w:r>
      <w:r>
        <w:t xml:space="preserve">(</w:t>
      </w:r>
      <w:hyperlink w:anchor="ref-tan2019efficientnet">
        <w:r>
          <w:rPr>
            <w:rStyle w:val="Hyperlink"/>
          </w:rPr>
          <w:t xml:space="preserve">Tan and Le 2019</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Loshchilov and Hutter 2019</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Lin et al. 2017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checkpoint with the best macro-F1 on a stratified 10 % hold-out of the training split is kept,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Each farm node runs the edge model on every image, answers the farmer immediately, and computes the margin m(x) between its two most probable classes. Only uncertain images (m&lt;\tau)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Each farm node runs the edge model on every image, answers the farmer immediately,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immediately with its own diagnosis, margin and upload size (path 2). Only if the margin is below</w:t>
      </w:r>
      <w:r>
        <w:t xml:space="preserve"> </w:t>
      </w:r>
      <m:oMath>
        <m:r>
          <m:t>τ</m:t>
        </m:r>
      </m:oMath>
      <w:r>
        <w:t xml:space="preserve"> </w:t>
      </w:r>
      <w:r>
        <w:t xml:space="preserve">does the edge service also resize the image and place it on the cloud’s queue (path 3), so the answer path never waits for the cloud.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71644"/>
            <wp:effectExtent b="0" l="0" r="0" t="0"/>
            <wp:docPr descr="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71644"/>
                    </a:xfrm>
                    <a:prstGeom prst="rect">
                      <a:avLst/>
                    </a:prstGeom>
                    <a:noFill/>
                    <a:ln w="9525">
                      <a:noFill/>
                      <a:headEnd/>
                      <a:tailEnd/>
                    </a:ln>
                  </pic:spPr>
                </pic:pic>
              </a:graphicData>
            </a:graphic>
          </wp:inline>
        </w:drawing>
      </w:r>
    </w:p>
    <w:p>
      <w:pPr>
        <w:pStyle w:val="ImageCaption"/>
      </w:pPr>
      <w:r>
        <w:t xml:space="preserve">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Donenfeld 2017</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places the image on the cloud node’s queue and immediately returns its own label, so the farmer is never blocked by the cloud; the ensemble’s diagnosis follows when the queue is processed (Section 5.4).</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Table 2 shows the trade-off measured with the reference cloud pipeline: at 448 px the cloud returns the same diagnosis as from the original photograph for 97.7 % of images, for 2.5</w:t>
      </w:r>
      <m:oMath>
        <m:r>
          <m:rPr>
            <m:sty m:val="p"/>
          </m:rPr>
          <m:t>×</m:t>
        </m:r>
      </m:oMath>
      <w:r>
        <w:t xml:space="preserve"> </w:t>
      </w:r>
      <w:r>
        <w:t xml:space="preserve">fewer bytes than a full-resolution upload.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 (300 test images, reference cloud pipeline). Agreement is the fraction of images for which the cloud’s diagnosis from the payload equals its diagnosis from the original file (162 KB on average).</w:t>
      </w:r>
    </w:p>
    <w:tbl>
      <w:tblPr>
        <w:tblStyle w:val="Table"/>
        <w:tblW w:type="auto" w:w="0"/>
        <w:tblLook w:firstRow="1" w:lastRow="0" w:firstColumn="0" w:lastColumn="0" w:noHBand="0" w:noVBand="0" w:val="0020"/>
        <w:tblCaption w:val="Table 2. Escalation payload policy (300 test images, reference cloud pipeline). Agreement is the fraction of images for which the cloud’s diagnosis from the payload equals its diagnosis from the original file (162 KB on average)."/>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Full resolution, JPEG q90</w:t>
            </w:r>
          </w:p>
        </w:tc>
        <w:tc>
          <w:tcPr/>
          <w:p>
            <w:pPr>
              <w:pStyle w:val="Compact"/>
              <w:jc w:val="right"/>
            </w:pPr>
            <w:r>
              <w:t xml:space="preserve">149.0</w:t>
            </w:r>
          </w:p>
        </w:tc>
        <w:tc>
          <w:tcPr/>
          <w:p>
            <w:pPr>
              <w:pStyle w:val="Compact"/>
              <w:jc w:val="right"/>
            </w:pPr>
            <w:r>
              <w:t xml:space="preserve">—</w:t>
            </w:r>
          </w:p>
        </w:tc>
        <w:tc>
          <w:tcPr/>
          <w:p>
            <w:pPr>
              <w:pStyle w:val="Compact"/>
              <w:jc w:val="right"/>
            </w:pPr>
            <w:r>
              <w:t xml:space="preserve">81.0 %</w:t>
            </w:r>
          </w:p>
        </w:tc>
      </w:tr>
      <w:tr>
        <w:tc>
          <w:tcPr/>
          <w:p>
            <w:pPr>
              <w:pStyle w:val="Compact"/>
              <w:jc w:val="left"/>
            </w:pPr>
            <w:r>
              <w:rPr>
                <w:b/>
                <w:bCs/>
              </w:rPr>
              <w:t xml:space="preserve">Shorter side 448 px, q90</w:t>
            </w:r>
          </w:p>
        </w:tc>
        <w:tc>
          <w:tcPr/>
          <w:p>
            <w:pPr>
              <w:pStyle w:val="Compact"/>
              <w:jc w:val="right"/>
            </w:pPr>
            <w:r>
              <w:rPr>
                <w:b/>
                <w:bCs/>
              </w:rPr>
              <w:t xml:space="preserve">59.7</w:t>
            </w:r>
          </w:p>
        </w:tc>
        <w:tc>
          <w:tcPr/>
          <w:p>
            <w:pPr>
              <w:pStyle w:val="Compact"/>
              <w:jc w:val="right"/>
            </w:pPr>
            <w:r>
              <w:rPr>
                <w:b/>
                <w:bCs/>
              </w:rPr>
              <w:t xml:space="preserve">97.7 %</w:t>
            </w:r>
          </w:p>
        </w:tc>
        <w:tc>
          <w:tcPr/>
          <w:p>
            <w:pPr>
              <w:pStyle w:val="Compact"/>
              <w:jc w:val="right"/>
            </w:pPr>
            <w:r>
              <w:rPr>
                <w:b/>
                <w:bCs/>
              </w:rPr>
              <w:t xml:space="preserve">82.0 %</w:t>
            </w:r>
          </w:p>
        </w:tc>
      </w:tr>
      <w:tr>
        <w:tc>
          <w:tcPr/>
          <w:p>
            <w:pPr>
              <w:pStyle w:val="Compact"/>
              <w:jc w:val="left"/>
            </w:pPr>
            <w:r>
              <w:t xml:space="preserve">Shorter side 336 px, q95</w:t>
            </w:r>
          </w:p>
        </w:tc>
        <w:tc>
          <w:tcPr/>
          <w:p>
            <w:pPr>
              <w:pStyle w:val="Compact"/>
              <w:jc w:val="right"/>
            </w:pPr>
            <w:r>
              <w:t xml:space="preserve">58.2</w:t>
            </w:r>
          </w:p>
        </w:tc>
        <w:tc>
          <w:tcPr/>
          <w:p>
            <w:pPr>
              <w:pStyle w:val="Compact"/>
              <w:jc w:val="right"/>
            </w:pPr>
            <w:r>
              <w:t xml:space="preserve">96.3 %</w:t>
            </w:r>
          </w:p>
        </w:tc>
        <w:tc>
          <w:tcPr/>
          <w:p>
            <w:pPr>
              <w:pStyle w:val="Compact"/>
              <w:jc w:val="right"/>
            </w:pPr>
            <w:r>
              <w:t xml:space="preserve">80.3 %</w:t>
            </w:r>
          </w:p>
        </w:tc>
      </w:tr>
      <w:tr>
        <w:tc>
          <w:tcPr/>
          <w:p>
            <w:pPr>
              <w:pStyle w:val="Compact"/>
              <w:jc w:val="left"/>
            </w:pPr>
            <w:r>
              <w:t xml:space="preserve">Shorter side 336 px, q90</w:t>
            </w:r>
          </w:p>
        </w:tc>
        <w:tc>
          <w:tcPr/>
          <w:p>
            <w:pPr>
              <w:pStyle w:val="Compact"/>
              <w:jc w:val="right"/>
            </w:pPr>
            <w:r>
              <w:t xml:space="preserve">42.7</w:t>
            </w:r>
          </w:p>
        </w:tc>
        <w:tc>
          <w:tcPr/>
          <w:p>
            <w:pPr>
              <w:pStyle w:val="Compact"/>
              <w:jc w:val="right"/>
            </w:pPr>
            <w:r>
              <w:t xml:space="preserve">95.7 %</w:t>
            </w:r>
          </w:p>
        </w:tc>
        <w:tc>
          <w:tcPr/>
          <w:p>
            <w:pPr>
              <w:pStyle w:val="Compact"/>
              <w:jc w:val="right"/>
            </w:pPr>
            <w:r>
              <w:t xml:space="preserve">80.0 %</w:t>
            </w:r>
          </w:p>
        </w:tc>
      </w:tr>
      <w:tr>
        <w:tc>
          <w:tcPr/>
          <w:p>
            <w:pPr>
              <w:pStyle w:val="Compact"/>
              <w:jc w:val="left"/>
            </w:pPr>
            <w:r>
              <w:t xml:space="preserve">Shorter side 224 px, q90</w:t>
            </w:r>
          </w:p>
        </w:tc>
        <w:tc>
          <w:tcPr/>
          <w:p>
            <w:pPr>
              <w:pStyle w:val="Compact"/>
              <w:jc w:val="right"/>
            </w:pPr>
            <w:r>
              <w:t xml:space="preserve">23.1</w:t>
            </w:r>
          </w:p>
        </w:tc>
        <w:tc>
          <w:tcPr/>
          <w:p>
            <w:pPr>
              <w:pStyle w:val="Compact"/>
              <w:jc w:val="right"/>
            </w:pPr>
            <w:r>
              <w:t xml:space="preserve">93.7 %</w:t>
            </w:r>
          </w:p>
        </w:tc>
        <w:tc>
          <w:tcPr/>
          <w:p>
            <w:pPr>
              <w:pStyle w:val="Compact"/>
              <w:jc w:val="right"/>
            </w:pPr>
            <w:r>
              <w:t xml:space="preserve">79.3 %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replayed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the</w:t>
      </w:r>
      <w:r>
        <w:t xml:space="preserve"> </w:t>
      </w:r>
      <w:r>
        <w:rPr>
          <w:i/>
          <w:iCs/>
        </w:rPr>
        <w:t xml:space="preserve">replay</w:t>
      </w:r>
      <w:r>
        <w:t xml:space="preserve"> </w:t>
      </w:r>
      <w:r>
        <w:t xml:space="preserve">below.</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replay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replay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0706"/>
            <wp:effectExtent b="0" l="0" r="0" t="0"/>
            <wp:docPr descr="Figure 3. Porting the cloud ensemble to the Jetson Nano. The model is decoupled from its framework on the workstation and compiled chunk by chunk on the device; the blue labels give the fidelity check passed at each stage (Table 5)."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0706"/>
                    </a:xfrm>
                    <a:prstGeom prst="rect">
                      <a:avLst/>
                    </a:prstGeom>
                    <a:noFill/>
                    <a:ln w="9525">
                      <a:noFill/>
                      <a:headEnd/>
                      <a:tailEnd/>
                    </a:ln>
                  </pic:spPr>
                </pic:pic>
              </a:graphicData>
            </a:graphic>
          </wp:inline>
        </w:drawing>
      </w:r>
    </w:p>
    <w:p>
      <w:pPr>
        <w:pStyle w:val="ImageCaption"/>
      </w:pPr>
      <w:r>
        <w:t xml:space="preserve">Figure 3. Porting the cloud ensemble to the Jetson Nano. The model is decoupled from its framework on the workstation and compiled chunk by chunk on the device; the blue labels give the fidelity check passed at each stage (Table 5).</w:t>
      </w:r>
    </w:p>
    <w:bookmarkEnd w:id="50"/>
    <w:bookmarkStart w:id="51" w:name="tab:port"/>
    <w:p>
      <w:pPr>
        <w:pStyle w:val="TableCaption"/>
      </w:pPr>
      <w:r>
        <w:t xml:space="preserve">Table 4. The decisive obstacles of the port, their causes and the adaptations that resolved them (all items: Appendix A).</w:t>
      </w:r>
    </w:p>
    <w:tbl>
      <w:tblPr>
        <w:tblStyle w:val="Table"/>
        <w:tblW w:type="pct" w:w="4959"/>
        <w:tblLayout w:type="fixed"/>
        <w:tblLook w:firstRow="1" w:lastRow="0" w:firstColumn="0" w:lastColumn="0" w:noHBand="0" w:noVBand="0" w:val="0020"/>
        <w:tblCaption w:val="Table 4. The decisive obstacles of the port, their causes and the adaptations that resolved them (all items: Appendix A)."/>
      </w:tblPr>
      <w:tblGrid>
        <w:gridCol w:w="1215"/>
        <w:gridCol w:w="2267"/>
        <w:gridCol w:w="2596"/>
        <w:gridCol w:w="1774"/>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chunk</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decodes JPEGs differently</w:t>
            </w:r>
          </w:p>
        </w:tc>
        <w:tc>
          <w:tcPr/>
          <w:p>
            <w:pPr>
              <w:pStyle w:val="Compact"/>
              <w:jc w:val="left"/>
            </w:pPr>
            <w:r>
              <w:t xml:space="preserve">isolated and measured, not correctable on JetPack 4</w:t>
            </w:r>
          </w:p>
        </w:tc>
        <w:tc>
          <w:tcPr/>
          <w:p>
            <w:pPr>
              <w:pStyle w:val="Compact"/>
              <w:jc w:val="left"/>
            </w:pPr>
            <w:r>
              <w:t xml:space="preserve">652/684 replay agreement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Bai et al.</w:t>
        </w:r>
        <w:r>
          <w:rPr>
            <w:rStyle w:val="Hyperlink"/>
          </w:rPr>
          <w:t xml:space="preserve"> </w:t>
        </w:r>
        <w:r>
          <w:rPr>
            <w:rStyle w:val="Hyperlink"/>
          </w:rPr>
          <w:t xml:space="preserve">2019</w:t>
        </w:r>
      </w:hyperlink>
      <w:r>
        <w:t xml:space="preserve">)</w:t>
      </w:r>
      <w:r>
        <w:t xml:space="preserve"> </w:t>
      </w:r>
      <w:r>
        <w:t xml:space="preserve">at opset 13, the newest opset that TensorRT 8.2 parses (Fig. 3).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(bicubic resize, centre crop, normalisation) and the QualityGate head of Eq. (1) are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NVIDIA Corporation 2022</w:t>
        </w:r>
      </w:hyperlink>
      <w:r>
        <w:t xml:space="preserve">)</w:t>
      </w:r>
      <w:r>
        <w:t xml:space="preserve"> </w:t>
      </w:r>
      <w:r>
        <w:t xml:space="preserve">one chunk at a time;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w:t>
      </w:r>
    </w:p>
    <w:bookmarkStart w:id="56" w:name="fig:port"/>
    <w:p>
      <w:pPr>
        <w:pStyle w:val="CaptionedFigure"/>
      </w:pPr>
      <w:r>
        <w:drawing>
          <wp:inline>
            <wp:extent cx="5334000" cy="2538487"/>
            <wp:effectExtent b="0" l="0" r="0" t="0"/>
            <wp:docPr descr="Figure 4. Why the port takes the shape it does. (a) Largest residual-stream activation per transformer block over 64 test images (fp32 reference): DINOv3 carries activations of about 1.6{\times}10^{5} from its first block onwards, above the largest fp16 value, whereas DINOv2 and CLIP stay below 500. (b) Memory needed at each step of the port against the board’s shared CPU/GPU memory; grey bars did not fi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538487"/>
                    </a:xfrm>
                    <a:prstGeom prst="rect">
                      <a:avLst/>
                    </a:prstGeom>
                    <a:noFill/>
                    <a:ln w="9525">
                      <a:noFill/>
                      <a:headEnd/>
                      <a:tailEnd/>
                    </a:ln>
                  </pic:spPr>
                </pic:pic>
              </a:graphicData>
            </a:graphic>
          </wp:inline>
        </w:drawing>
      </w:r>
    </w:p>
    <w:p>
      <w:pPr>
        <w:pStyle w:val="ImageCaption"/>
      </w:pPr>
      <w:r>
        <w:t xml:space="preserve">Figure 4. Why the port takes the shape it does. (a) Largest residual-stream activation per transformer block over 64 test images (fp32 reference): DINOv3 carries activations of about</w:t>
      </w:r>
      <w:r>
        <w:t xml:space="preserve"> </w:t>
      </w:r>
      <m:oMath>
        <m:r>
          <m:t>1.6</m:t>
        </m:r>
        <m:r>
          <m:rPr>
            <m:sty m:val="p"/>
          </m:rPr>
          <m:t>×</m:t>
        </m:r>
        <m:sSup>
          <m:e>
            <m:r>
              <m:t>10</m:t>
            </m:r>
          </m:e>
          <m:sup>
            <m:r>
              <m:t>5</m:t>
            </m:r>
          </m:sup>
        </m:sSup>
      </m:oMath>
      <w:r>
        <w:t xml:space="preserve"> </w:t>
      </w:r>
      <w:r>
        <w:t xml:space="preserve">from its first block onwards, above the largest fp16 value, whereas DINOv2 and CLIP stay below 500. (b) Memory needed at each step of the port against the board’s shared CPU/GPU memory; grey bars did not fit.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located the cause: DINOv3’s residual stream carries activations of up to 158 259 from its first block onwards, beyond the largest fp16 value (65 504), whereas DINOv2 and CLIP peak at 403 and 225. DINOv2 therefore runs in fp16 and DINOv3 in fp32.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replay reported here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that at most nine of the twelve chunks can be resident at once, even with a single activation buffer shared by all of them.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immediately. The cloud node processes its queue in batches, chunk by chunk: it loads the first chunk of DINOv2, passes every queued image through it, frees it, loads the next chunk, and so on through DINOv3 and CLIP, keeping the intermediate activations (about 2 MB per image) in host memory, and finally applies the head. At no time is more than one chunk engine resident. In the replay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replayed 2 batches of 48 escalated images — the median batch of the replay, with the same payload — while sampling RAM and the board’s input power rail with</w:t>
      </w:r>
      <w:r>
        <w:t xml:space="preserve"> </w:t>
      </w:r>
      <w:r>
        <w:rPr>
          <w:rStyle w:val="VerbatimChar"/>
        </w:rPr>
        <w:t xml:space="preserve">tegrastats</w:t>
      </w:r>
      <w:r>
        <w:t xml:space="preserve"> </w:t>
      </w:r>
      <w:r>
        <w:t xml:space="preserve">about eight times per second (Fig. 5). Memory use never exceeds 2.32 GB of the 3.86 GB (1.97 GB at idle, including the operating system and the idle server): processing a batch adds only about 0.34 GB, the footprint of one chunk engine.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Memory and power of the Jetson Nano during one batch of 48 escalated images, measured with tegrastats.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Memory and power of the Jetson Nano during one batch of 48 escalated images, measured with</w:t>
      </w:r>
      <w:r>
        <w:t xml:space="preserve"> </w:t>
      </w:r>
      <w:r>
        <w:rPr>
          <w:rStyle w:val="VerbatimChar"/>
        </w:rPr>
        <w:t xml:space="preserve">tegrastats</w:t>
      </w:r>
      <w:r>
        <w:t xml:space="preserve">.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decodes and resamples JPEGs slightly differently from the workstation’s Pillow 12, by up to 0.59 normalised units on some pixels. Over the replay, the Nano’s diagnosis matches the workstation’s offline prediction for 652/684 escalated images. Isolating causes in this way — engines fed identical tensors, then the complete pipeline — is what separated a correctable precision problem (DINOv3) from an uncorrectable library difference (Pillow).</w:t>
      </w:r>
    </w:p>
    <w:bookmarkStart w:id="64" w:name="tab:fidelity"/>
    <w:p>
      <w:pPr>
        <w:pStyle w:val="TableCaption"/>
      </w:pPr>
      <w:r>
        <w:t xml:space="preserve">Table 5. Fidelity of the embedded cloud pipeline, verified stage by stage. Desktop checks compare against the PyTorch reference; Nano checks compare TensorRT outputs against reference features computed on the desktop.</w:t>
      </w:r>
    </w:p>
    <w:tbl>
      <w:tblPr>
        <w:tblStyle w:val="Table"/>
        <w:tblW w:type="pct" w:w="4968"/>
        <w:tblLayout w:type="fixed"/>
        <w:tblLook w:firstRow="1" w:lastRow="0" w:firstColumn="0" w:lastColumn="0" w:noHBand="0" w:noVBand="0" w:val="0020"/>
        <w:tblCaption w:val="Table 5. Fidelity of the embedded cloud pipeline, verified stage by stage. Desktop checks compare against the PyTorch reference; Nano checks compare TensorRT outputs against reference features computed on the desktop."/>
      </w:tblPr>
      <w:tblGrid>
        <w:gridCol w:w="2211"/>
        <w:gridCol w:w="3394"/>
        <w:gridCol w:w="2262"/>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w:t>
            </w:r>
          </w:p>
        </w:tc>
        <w:tc>
          <w:tcPr/>
          <w:p>
            <w:pPr>
              <w:pStyle w:val="Compact"/>
              <w:jc w:val="right"/>
            </w:pPr>
            <m:oMath>
              <m:r>
                <m:rPr>
                  <m:sty m:val="p"/>
                </m:rPr>
                <m:t>≥</m:t>
              </m:r>
            </m:oMath>
            <w:r>
              <w:t xml:space="preserve"> 0.9999</w:t>
            </w:r>
          </w:p>
        </w:tc>
      </w:tr>
      <w:tr>
        <w:tc>
          <w:tcPr/>
          <w:p>
            <w:pPr>
              <w:pStyle w:val="Compact"/>
              <w:jc w:val="left"/>
            </w:pPr>
            <w:r>
              <w:t xml:space="preserve">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replay)</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0"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With MobileNetV3-Small as the edge (61.08 % top-1), the margin rule reaches the 95 % target only at 43.5 % escalation, failing the pre-specified criterion. This failure is not a weakness of the margin rule: a learned router trained on the same edge outputs gained only two points (41.4 % escalation), and adding 1 024-dimensional DINOv2 image features to the router overfitted. For this edge model, every edge-side signal we tried saturated at an AUC of about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20.5 %, comfortably passing the criterion. EfficientNet-B0 reaches the same edge accuracy (69.35 %) but needs slightly more escalation (21.7 %)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r>
        <w:t xml:space="preserve"> </w:t>
      </w:r>
      <w:r>
        <w:t xml:space="preserve">“Escalation @95 %”</w:t>
      </w:r>
      <w:r>
        <w:t xml:space="preserve"> </w:t>
      </w:r>
      <w:r>
        <w:t xml:space="preserve">is the smallest escalation rate at which margin escalation reaches 95 % of always-cloud accuracy (76.17 %).</w:t>
      </w:r>
    </w:p>
    <w:tbl>
      <w:tblPr>
        <w:tblStyle w:val="Table"/>
        <w:tblW w:type="auto" w:w="0"/>
        <w:tblLook w:firstRow="1" w:lastRow="0" w:firstColumn="0" w:lastColumn="0" w:noHBand="0" w:noVBand="0" w:val="0020"/>
        <w:tblCaption w:val="Table 6. Edge models on the PlantWild test split. “Escalation @95 %” is the smallest escalation rate at which margin escalation reaches 95 % of always-cloud accuracy (76.17 %)."/>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20.5 %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21.7 %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w:t>
      </w:r>
    </w:p>
    <w:bookmarkEnd w:id="71"/>
    <w:p>
      <w:pPr>
        <w:pStyle w:val="BodyText"/>
      </w:pPr>
      <w:r>
        <w:t xml:space="preserve">The oracle curve in Fig. 7 and the last column of Table 8 add a further observation. At 20 % escalation the oracle reaches 84.8 %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honest generalisation gap of a threshold fixed in advance. Read directly off the test curve, the 95 % line is crossed at 20.5 % escalation (12.4 KB). The curve is markedly concave: the first escalated images are the most valuable. Escalating 30 % of images already closes 81 % of the gap between edge and cloud accuracy (Table 8), so the last fifth of that gap costs the remaining 70 % of the traffic. Table 8 shows that the three scalar signals are within 1.5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 Absolute bandwidth uses the measured mean payload</w:t>
      </w:r>
      <w:r>
        <w:t xml:space="preserve"> </w:t>
      </w:r>
      <m:oMath>
        <m:r>
          <m:t>S</m:t>
        </m:r>
        <m:r>
          <m:rPr>
            <m:sty m:val="p"/>
          </m:rPr>
          <m:t>=</m:t>
        </m:r>
        <m:r>
          <m:t>60.2</m:t>
        </m:r>
      </m:oMath>
      <w:r>
        <w:t xml:space="preserve"> KB; the reduction factor does not depend on</w:t>
      </w:r>
      <w:r>
        <w:t xml:space="preserve"> </w:t>
      </w:r>
      <m:oMath>
        <m:r>
          <m:t>S</m:t>
        </m:r>
      </m:oMath>
      <w:r>
        <w:t xml:space="preserve">. The lower block reads both routers’ test curves at the same accuracy, for comparison only.</w:t>
      </w:r>
    </w:p>
    <w:tbl>
      <w:tblPr>
        <w:tblStyle w:val="Table"/>
        <w:tblW w:type="pct" w:w="4883"/>
        <w:tblLayout w:type="fixed"/>
        <w:tblLook w:firstRow="1" w:lastRow="0" w:firstColumn="0" w:lastColumn="0" w:noHBand="0" w:noVBand="0" w:val="0020"/>
        <w:tblCaption w:val="Table 7. Operating points on the PlantWild test split (offline). Absolute bandwidth uses the measured mean payload S{=}60.2 KB; the reduction factor does not depend on S. The lower block reads both routers’ test curves at the same accuracy, for comparison only."/>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12.4</w:t>
            </w:r>
          </w:p>
        </w:tc>
        <w:tc>
          <w:tcPr/>
          <w:p>
            <w:pPr>
              <w:pStyle w:val="Compact"/>
              <w:jc w:val="right"/>
            </w:pPr>
            <w:r>
              <w:t xml:space="preserve">20.5 %</w:t>
            </w:r>
          </w:p>
        </w:tc>
        <w:tc>
          <w:tcPr/>
          <w:p>
            <w:pPr>
              <w:pStyle w:val="Compact"/>
              <w:jc w:val="right"/>
            </w:pPr>
            <w:r>
              <w:t xml:space="preserve">76.26 %</w:t>
            </w:r>
          </w:p>
        </w:tc>
        <w:tc>
          <w:tcPr/>
          <w:p>
            <w:pPr>
              <w:pStyle w:val="Compact"/>
              <w:jc w:val="right"/>
            </w:pPr>
            <w:r>
              <w:t xml:space="preserve">95.1 %</w:t>
            </w:r>
          </w:p>
        </w:tc>
      </w:tr>
      <w:tr>
        <w:tc>
          <w:tcPr/>
          <w:p>
            <w:pPr>
              <w:pStyle w:val="Compact"/>
              <w:jc w:val="left"/>
            </w:pPr>
            <w:r>
              <w:t xml:space="preserve">Cloud-supervised verifier</w:t>
            </w:r>
          </w:p>
        </w:tc>
        <w:tc>
          <w:tcPr/>
          <w:p>
            <w:pPr>
              <w:pStyle w:val="Compact"/>
              <w:jc w:val="right"/>
            </w:pPr>
            <w:r>
              <w:t xml:space="preserve">20.7</w:t>
            </w:r>
          </w:p>
        </w:tc>
        <w:tc>
          <w:tcPr/>
          <w:p>
            <w:pPr>
              <w:pStyle w:val="Compact"/>
              <w:jc w:val="right"/>
            </w:pPr>
            <w:r>
              <w:t xml:space="preserve">29.9 %</w:t>
            </w:r>
          </w:p>
        </w:tc>
        <w:tc>
          <w:tcPr/>
          <w:p>
            <w:pPr>
              <w:pStyle w:val="Compact"/>
              <w:jc w:val="right"/>
            </w:pPr>
            <w:r>
              <w:t xml:space="preserve">76.29 %</w:t>
            </w:r>
          </w:p>
        </w:tc>
        <w:tc>
          <w:tcPr/>
          <w:p>
            <w:pPr>
              <w:pStyle w:val="Compact"/>
              <w:jc w:val="right"/>
            </w:pPr>
            <w:r>
              <w:t xml:space="preserve">95.2 %</w:t>
            </w:r>
          </w:p>
        </w:tc>
      </w:tr>
    </w:tbl>
    <w:bookmarkEnd w:id="73"/>
    <w:bookmarkStart w:id="77" w:name="fig:pareto"/>
    <w:p>
      <w:pPr>
        <w:pStyle w:val="CaptionedFigure"/>
      </w:pPr>
      <w:r>
        <w:drawing>
          <wp:inline>
            <wp:extent cx="5334000" cy="2870810"/>
            <wp:effectExtent b="0" l="0" r="0" t="0"/>
            <wp:docPr descr="Figure 7. Accuracy versus mean uplink traffic per diagnosis (offline, test split, measured mean payload S{=}60.2 KB). The ring marks the operating point of MobileNetV3-L with the validation-calibrated threshold; the shaded region is the pre-specified success criterion; the light curve is the oracle router, an upper bound for any escalation rule."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traffic per diagnosis (offline, test split, measured mean payload</w:t>
      </w:r>
      <w:r>
        <w:t xml:space="preserve"> </w:t>
      </w:r>
      <m:oMath>
        <m:r>
          <m:t>S</m:t>
        </m:r>
        <m:r>
          <m:rPr>
            <m:sty m:val="p"/>
          </m:rPr>
          <m:t>=</m:t>
        </m:r>
        <m:r>
          <m:t>60.2</m:t>
        </m:r>
      </m:oMath>
      <w:r>
        <w:t xml:space="preserve"> KB). The ring marks the operating point of MobileNetV3-L with the validation-calibrated threshold; the shaded region is the pre-specified success criterion; the light curve is the oracle router, an upper bound for any escalation rule.</w:t>
      </w:r>
    </w:p>
    <w:bookmarkEnd w:id="77"/>
    <w:bookmarkStart w:id="81" w:name="fig:flow"/>
    <w:p>
      <w:pPr>
        <w:pStyle w:val="CaptionedFigure"/>
      </w:pPr>
      <w:r>
        <w:drawing>
          <wp:inline>
            <wp:extent cx="5334000" cy="2327308"/>
            <wp:effectExtent b="0" l="0" r="0" t="0"/>
            <wp:docPr descr="Figure 8. Where the 3 677 test images go at the calibrated threshold. Band widths are proportional to image counts; blue bands are escalated images. Escalation rescues 289 edge errors and overturns 50 correct edge predictions."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Where the 3 677 test images go at the calibrated threshold. Band widths are proportional to image counts; blue bands are escalated images. Escalation rescues 289 edge errors and overturns 50 correct edge predictions.</w:t>
      </w:r>
    </w:p>
    <w:bookmarkEnd w:id="81"/>
    <w:p>
      <w:pPr>
        <w:pStyle w:val="BodyText"/>
      </w:pPr>
      <w:r>
        <w:t xml:space="preserve">Figure 8 follows every test image through the system.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208588"/>
            <wp:effectExtent b="0" l="0" r="0" t="0"/>
            <wp:docPr descr="Figure 9. Per-crop accuracy before and after escalation (left) and the share of images escalated (right), at the calibrated threshold. Letters give each crop’s farm in the replay (Section 4.4)."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208588"/>
                    </a:xfrm>
                    <a:prstGeom prst="rect">
                      <a:avLst/>
                    </a:prstGeom>
                    <a:noFill/>
                    <a:ln w="9525">
                      <a:noFill/>
                      <a:headEnd/>
                      <a:tailEnd/>
                    </a:ln>
                  </pic:spPr>
                </pic:pic>
              </a:graphicData>
            </a:graphic>
          </wp:inline>
        </w:drawing>
      </w:r>
    </w:p>
    <w:p>
      <w:pPr>
        <w:pStyle w:val="ImageCaption"/>
      </w:pPr>
      <w:r>
        <w:t xml:space="preserve">Figure 9. Per-crop accuracy before and after escalation (left) and the share of images escalated (right), at the calibrated threshold. Letters give each crop’s farm in the replay (Section 4.4).</w:t>
      </w:r>
    </w:p>
    <w:bookmarkEnd w:id="85"/>
    <w:p>
      <w:pPr>
        <w:pStyle w:val="BodyText"/>
      </w:pPr>
      <w:r>
        <w:t xml:space="preserve">The rule also adapts across crops without any per-crop tuning (Fig. 9).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71.99</w:t>
            </w:r>
          </w:p>
        </w:tc>
        <w:tc>
          <w:tcPr/>
          <w:p>
            <w:pPr>
              <w:pStyle w:val="Compact"/>
              <w:jc w:val="right"/>
            </w:pPr>
            <w:r>
              <w:t xml:space="preserve">71.85</w:t>
            </w:r>
          </w:p>
        </w:tc>
        <w:tc>
          <w:tcPr/>
          <w:p>
            <w:pPr>
              <w:pStyle w:val="Compact"/>
              <w:jc w:val="right"/>
            </w:pPr>
            <w:r>
              <w:t xml:space="preserve">71.85</w:t>
            </w:r>
          </w:p>
        </w:tc>
        <w:tc>
          <w:tcPr/>
          <w:p>
            <w:pPr>
              <w:pStyle w:val="Compact"/>
              <w:jc w:val="right"/>
            </w:pPr>
            <w:r>
              <w:t xml:space="preserve">73.92</w:t>
            </w:r>
          </w:p>
        </w:tc>
      </w:tr>
      <w:tr>
        <w:tc>
          <w:tcPr/>
          <w:p>
            <w:pPr>
              <w:pStyle w:val="Compact"/>
              <w:jc w:val="right"/>
            </w:pPr>
            <w:r>
              <w:t xml:space="preserve">10 %</w:t>
            </w:r>
          </w:p>
        </w:tc>
        <w:tc>
          <w:tcPr/>
          <w:p>
            <w:pPr>
              <w:pStyle w:val="Compact"/>
              <w:jc w:val="right"/>
            </w:pPr>
            <w:r>
              <w:t xml:space="preserve">72.91</w:t>
            </w:r>
          </w:p>
        </w:tc>
        <w:tc>
          <w:tcPr/>
          <w:p>
            <w:pPr>
              <w:pStyle w:val="Compact"/>
              <w:jc w:val="right"/>
            </w:pPr>
            <w:r>
              <w:t xml:space="preserve">73.21</w:t>
            </w:r>
          </w:p>
        </w:tc>
        <w:tc>
          <w:tcPr/>
          <w:p>
            <w:pPr>
              <w:pStyle w:val="Compact"/>
              <w:jc w:val="right"/>
            </w:pPr>
            <w:r>
              <w:t xml:space="preserve">72.69</w:t>
            </w:r>
          </w:p>
        </w:tc>
        <w:tc>
          <w:tcPr/>
          <w:p>
            <w:pPr>
              <w:pStyle w:val="Compact"/>
              <w:jc w:val="right"/>
            </w:pPr>
            <w:r>
              <w:t xml:space="preserve">79.90</w:t>
            </w:r>
          </w:p>
        </w:tc>
      </w:tr>
      <w:tr>
        <w:tc>
          <w:tcPr/>
          <w:p>
            <w:pPr>
              <w:pStyle w:val="Compact"/>
              <w:jc w:val="right"/>
            </w:pPr>
            <w:r>
              <w:t xml:space="preserve">15 %</w:t>
            </w:r>
          </w:p>
        </w:tc>
        <w:tc>
          <w:tcPr/>
          <w:p>
            <w:pPr>
              <w:pStyle w:val="Compact"/>
              <w:jc w:val="right"/>
            </w:pPr>
            <w:r>
              <w:t xml:space="preserve">74.41</w:t>
            </w:r>
          </w:p>
        </w:tc>
        <w:tc>
          <w:tcPr/>
          <w:p>
            <w:pPr>
              <w:pStyle w:val="Compact"/>
              <w:jc w:val="right"/>
            </w:pPr>
            <w:r>
              <w:t xml:space="preserve">74.08</w:t>
            </w:r>
          </w:p>
        </w:tc>
        <w:tc>
          <w:tcPr/>
          <w:p>
            <w:pPr>
              <w:pStyle w:val="Compact"/>
              <w:jc w:val="right"/>
            </w:pPr>
            <w:r>
              <w:t xml:space="preserve">73.95</w:t>
            </w:r>
          </w:p>
        </w:tc>
        <w:tc>
          <w:tcPr/>
          <w:p>
            <w:pPr>
              <w:pStyle w:val="Compact"/>
              <w:jc w:val="right"/>
            </w:pPr>
            <w:r>
              <w:t xml:space="preserve">84.42</w:t>
            </w:r>
          </w:p>
        </w:tc>
      </w:tr>
      <w:tr>
        <w:tc>
          <w:tcPr/>
          <w:p>
            <w:pPr>
              <w:pStyle w:val="Compact"/>
              <w:jc w:val="right"/>
            </w:pPr>
            <w:r>
              <w:t xml:space="preserve">20 %</w:t>
            </w:r>
          </w:p>
        </w:tc>
        <w:tc>
          <w:tcPr/>
          <w:p>
            <w:pPr>
              <w:pStyle w:val="Compact"/>
              <w:jc w:val="right"/>
            </w:pPr>
            <w:r>
              <w:t xml:space="preserve">76.07</w:t>
            </w:r>
          </w:p>
        </w:tc>
        <w:tc>
          <w:tcPr/>
          <w:p>
            <w:pPr>
              <w:pStyle w:val="Compact"/>
              <w:jc w:val="right"/>
            </w:pPr>
            <w:r>
              <w:t xml:space="preserve">75.96</w:t>
            </w:r>
          </w:p>
        </w:tc>
        <w:tc>
          <w:tcPr/>
          <w:p>
            <w:pPr>
              <w:pStyle w:val="Compact"/>
              <w:jc w:val="right"/>
            </w:pPr>
            <w:r>
              <w:t xml:space="preserve">75.82</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77.32</w:t>
            </w:r>
          </w:p>
        </w:tc>
        <w:tc>
          <w:tcPr/>
          <w:p>
            <w:pPr>
              <w:pStyle w:val="Compact"/>
              <w:jc w:val="right"/>
            </w:pPr>
            <w:r>
              <w:t xml:space="preserve">77.05</w:t>
            </w:r>
          </w:p>
        </w:tc>
        <w:tc>
          <w:tcPr/>
          <w:p>
            <w:pPr>
              <w:pStyle w:val="Compact"/>
              <w:jc w:val="right"/>
            </w:pPr>
            <w:r>
              <w:t xml:space="preserve">76.77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77.97</w:t>
            </w:r>
          </w:p>
        </w:tc>
        <w:tc>
          <w:tcPr/>
          <w:p>
            <w:pPr>
              <w:pStyle w:val="Compact"/>
              <w:jc w:val="right"/>
            </w:pPr>
            <w:r>
              <w:t xml:space="preserve">78.13</w:t>
            </w:r>
          </w:p>
        </w:tc>
        <w:tc>
          <w:tcPr/>
          <w:p>
            <w:pPr>
              <w:pStyle w:val="Compact"/>
              <w:jc w:val="right"/>
            </w:pPr>
            <w:r>
              <w:t xml:space="preserve">77.51</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(29.9 % versus 20.5 %)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9.4 points more. The tax grows as payloads shrink: the more efficiently escalated images are encoded, the larger an always-on message is relative to them. The embedding it consumes carries no routing information beyond what the edge posterior already exposes for free.</w:t>
      </w:r>
    </w:p>
    <w:bookmarkStart w:id="88" w:name="tab:auc"/>
    <w:p>
      <w:pPr>
        <w:pStyle w:val="TableCaption"/>
      </w:pPr>
      <w:r>
        <w:t xml:space="preserve">Table 9. Ranking quality of escalation signals for identifying useful escalations (edge wrong, cloud right), MobileNetV3-L edge.</w:t>
      </w:r>
    </w:p>
    <w:tbl>
      <w:tblPr>
        <w:tblStyle w:val="Table"/>
        <w:tblW w:type="auto" w:w="0"/>
        <w:tblLook w:firstRow="1" w:lastRow="0" w:firstColumn="0" w:lastColumn="0" w:noHBand="0" w:noVBand="0" w:val="0020"/>
        <w:tblCaption w:val="Table 9. Ranking quality of escalation signals for identifying useful escalations (edge wrong, cloud right), MobileNetV3-L edge."/>
      </w:tblPr>
      <w:tblGrid>
        <w:gridCol w:w="3960"/>
        <w:gridCol w:w="3960"/>
      </w:tblGrid>
      <w:tr>
        <w:trPr>
          <w:tblHeader w:val="on"/>
        </w:trPr>
        <w:tc>
          <w:tcPr/>
          <w:p>
            <w:pPr>
              <w:pStyle w:val="Compact"/>
              <w:jc w:val="left"/>
            </w:pPr>
            <w:r>
              <w:rPr>
                <w:b/>
                <w:bCs/>
              </w:rPr>
              <w:t xml:space="preserve">Signal</w:t>
            </w:r>
          </w:p>
        </w:tc>
        <w:tc>
          <w:tcPr/>
          <w:p>
            <w:pPr>
              <w:pStyle w:val="Compact"/>
              <w:jc w:val="right"/>
            </w:pPr>
            <w:r>
              <w:rPr>
                <w:b/>
                <w:bCs/>
              </w:rPr>
              <w:t xml:space="preserve">AUC</w:t>
            </w:r>
          </w:p>
        </w:tc>
      </w:tr>
      <w:tr>
        <w:tc>
          <w:tcPr/>
          <w:p>
            <w:pPr>
              <w:pStyle w:val="Compact"/>
              <w:jc w:val="left"/>
            </w:pPr>
            <m:oMath>
              <m:r>
                <m:t>1</m:t>
              </m:r>
              <m:r>
                <m:rPr>
                  <m:sty m:val="p"/>
                </m:rPr>
                <m:t>−</m:t>
              </m:r>
            </m:oMath>
            <w:r>
              <w:t xml:space="preserve"> </w:t>
            </w:r>
            <w:r>
              <w:t xml:space="preserve">margin</w:t>
            </w:r>
          </w:p>
        </w:tc>
        <w:tc>
          <w:tcPr/>
          <w:p>
            <w:pPr>
              <w:pStyle w:val="Compact"/>
              <w:jc w:val="right"/>
            </w:pPr>
            <w:r>
              <w:rPr>
                <w:b/>
                <w:bCs/>
              </w:rPr>
              <w:t xml:space="preserve">0.810</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0.807</w:t>
            </w:r>
          </w:p>
        </w:tc>
      </w:tr>
      <w:tr>
        <w:tc>
          <w:tcPr/>
          <w:p>
            <w:pPr>
              <w:pStyle w:val="Compact"/>
              <w:jc w:val="left"/>
            </w:pPr>
            <w:r>
              <w:t xml:space="preserve">Entropy</w:t>
            </w:r>
          </w:p>
        </w:tc>
        <w:tc>
          <w:tcPr/>
          <w:p>
            <w:pPr>
              <w:pStyle w:val="Compact"/>
              <w:jc w:val="right"/>
            </w:pPr>
            <w:r>
              <w:t xml:space="preserve">0.790</w:t>
            </w:r>
          </w:p>
        </w:tc>
      </w:tr>
      <w:tr>
        <w:tc>
          <w:tcPr/>
          <w:p>
            <w:pPr>
              <w:pStyle w:val="Compact"/>
              <w:jc w:val="left"/>
            </w:pPr>
            <w:r>
              <w:t xml:space="preserve">Cloud-supervised MLP verifier (best of 3 targets)</w:t>
            </w:r>
          </w:p>
        </w:tc>
        <w:tc>
          <w:tcPr/>
          <w:p>
            <w:pPr>
              <w:pStyle w:val="Compact"/>
              <w:jc w:val="right"/>
            </w:pPr>
            <w:r>
              <w:t xml:space="preserve">0.731</w:t>
            </w:r>
          </w:p>
        </w:tc>
      </w:tr>
    </w:tbl>
    <w:bookmarkEnd w:id="88"/>
    <w:bookmarkStart w:id="92" w:name="fig:verifier"/>
    <w:p>
      <w:pPr>
        <w:pStyle w:val="CaptionedFigure"/>
      </w:pPr>
      <w:r>
        <w:drawing>
          <wp:inline>
            <wp:extent cx="5334000" cy="2008544"/>
            <wp:effectExtent b="0" l="0" r="0" t="0"/>
            <wp:docPr descr="Figure 10. The cloud-supervised verifier against scalar signals. (a) AUC for identifying useful escalations. (b) Uplink per diagnosis at 95 % of cloud accuracy, read off the test curves: the verifier pays a 2.67 KB message for every image and still needs more escalations than the margin."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The cloud-supervised verifier against scalar signals. (a) AUC for identifying useful escalations. (b) Uplink per diagnosis at 95 % of cloud accuracy, read off the test curves: the verifier pays a 2.67 KB message for every image and still needs more escalations than the margin.</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Hinton et al. 2015</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69.4 % before distillation. With its threshold recalibrated on validation by the same rule (Section 3.4;</w:t>
      </w:r>
      <w:r>
        <w:t xml:space="preserve"> </w:t>
      </w:r>
      <m:oMath>
        <m:r>
          <m:t>τ</m:t>
        </m:r>
        <m:r>
          <m:rPr>
            <m:sty m:val="p"/>
          </m:rPr>
          <m:t>=</m:t>
        </m:r>
        <m:r>
          <m:t>0.073</m:t>
        </m:r>
      </m:oMath>
      <w:r>
        <w:t xml:space="preserve">), it escalates 12.5 % of test images instead of 18.7 % while delivering 94.0 % of cloud accuracy, so uplink traffic falls 8.0-fold instead of 5.3-fold; on the test curve the 95 % target is reached at 16.1 % escalation instead of 20.2 %.</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1 812 images, whose 344 escalated images are used to fine-tune the deployed model (eight short epochs, mixed with replayed training images), and a second week for evaluation. One week of escalations did not improve the edge model, whatever labels the escalated images carried, and the escalation needed for the target rose. A control that fine-tunes on replayed training images alone shows that part of this loss comes from the extra fine-tuning itself; but even farmer-confirmed labels do not help. The 344 images — about four per class, and the hardest the edge sees — are too few to move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Upper block: full test split, threshold calibrated on validation for each model (same evaluation pipeline for both; the original model’s figures agree with Table 7 to within 0.1 point). Lower block: one-week loop pilot, evaluated on the second week;</w:t>
      </w:r>
      <w:r>
        <w:t xml:space="preserve"> </w:t>
      </w:r>
      <w:r>
        <w:t xml:space="preserve">“escalation @95 %”</w:t>
      </w:r>
      <w:r>
        <w:t xml:space="preserve"> </w:t>
      </w:r>
      <w:r>
        <w:t xml:space="preserve">is read off the test curve.</w:t>
      </w:r>
    </w:p>
    <w:tbl>
      <w:tblPr>
        <w:tblStyle w:val="Table"/>
        <w:tblW w:type="pct" w:w="4836"/>
        <w:tblLayout w:type="fixed"/>
        <w:tblLook w:firstRow="0" w:lastRow="0" w:firstColumn="0" w:lastColumn="0" w:noHBand="0" w:noVBand="0" w:val="0000"/>
        <w:tblCaption w:val="Table 10. The ensemble as a teacher. Upper block: full test split, threshold calibrated on validation for each model (same evaluation pipeline for both; the original model’s figures agree with Table 7 to within 0.1 point). Lower block: one-week loop pilot, evaluated on the second week; “escalation @95 %” is read off the test curve."/>
      </w:tblPr>
      <w:tblGrid>
        <w:gridCol w:w="2207"/>
        <w:gridCol w:w="1038"/>
        <w:gridCol w:w="1038"/>
        <w:gridCol w:w="1298"/>
        <w:gridCol w:w="1038"/>
        <w:gridCol w:w="1038"/>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69.4 %</w:t>
            </w:r>
          </w:p>
        </w:tc>
        <w:tc>
          <w:tcPr/>
          <w:p>
            <w:pPr>
              <w:pStyle w:val="Compact"/>
              <w:jc w:val="right"/>
            </w:pPr>
            <w:r>
              <w:t xml:space="preserve">18.7 %</w:t>
            </w:r>
          </w:p>
        </w:tc>
        <w:tc>
          <w:tcPr/>
          <w:p>
            <w:pPr>
              <w:pStyle w:val="Compact"/>
              <w:jc w:val="right"/>
            </w:pPr>
            <w:r>
              <w:t xml:space="preserve">75.9 % (94.6)</w:t>
            </w:r>
          </w:p>
        </w:tc>
        <w:tc>
          <w:tcPr/>
          <w:p>
            <w:pPr>
              <w:pStyle w:val="Compact"/>
              <w:jc w:val="right"/>
            </w:pPr>
            <w:r>
              <w:t xml:space="preserve">5.3</w:t>
            </w:r>
          </w:p>
        </w:tc>
        <w:tc>
          <w:tcPr/>
          <w:p>
            <w:pPr>
              <w:pStyle w:val="Compact"/>
              <w:jc w:val="right"/>
            </w:pPr>
            <w:r>
              <w:t xml:space="preserve">20.2 %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12.5 %</w:t>
            </w:r>
          </w:p>
        </w:tc>
        <w:tc>
          <w:tcPr/>
          <w:p>
            <w:pPr>
              <w:pStyle w:val="Compact"/>
              <w:jc w:val="right"/>
            </w:pPr>
            <w:r>
              <w:rPr>
                <w:b/>
                <w:bCs/>
              </w:rPr>
              <w:t xml:space="preserve">75.4 % (94.0)</w:t>
            </w:r>
          </w:p>
        </w:tc>
        <w:tc>
          <w:tcPr/>
          <w:p>
            <w:pPr>
              <w:pStyle w:val="Compact"/>
              <w:jc w:val="right"/>
            </w:pPr>
            <w:r>
              <w:rPr>
                <w:b/>
                <w:bCs/>
              </w:rPr>
              <w:t xml:space="preserve">8.0</w:t>
            </w:r>
          </w:p>
        </w:tc>
        <w:tc>
          <w:tcPr/>
          <w:p>
            <w:pPr>
              <w:pStyle w:val="Compact"/>
              <w:jc w:val="right"/>
            </w:pPr>
            <w:r>
              <w:rPr>
                <w:b/>
                <w:bCs/>
              </w:rPr>
              <w:t xml:space="preserve">16.1 %</w:t>
            </w:r>
          </w:p>
        </w:tc>
      </w:tr>
      <w:tr>
        <w:tc>
          <w:tcPr>
            <w:gridSpan w:val="6"/>
          </w:tcPr>
          <w:p>
            <w:pPr>
              <w:pStyle w:val="Compact"/>
              <w:jc w:val="left"/>
            </w:pPr>
            <w:r>
              <w:rPr>
                <w:i/>
                <w:iCs/>
              </w:rPr>
              <w:t xml:space="preserve">Loop pilot: fine-tuning on one week’s 344 escalated images, labelled by</w:t>
            </w:r>
          </w:p>
        </w:tc>
      </w:tr>
      <w:tr>
        <w:tc>
          <w:tcPr/>
          <w:p>
            <w:pPr>
              <w:pStyle w:val="Compact"/>
              <w:jc w:val="left"/>
            </w:pPr>
            <w:r>
              <w:t xml:space="preserve">No update</w:t>
            </w:r>
          </w:p>
        </w:tc>
        <w:tc>
          <w:tcPr/>
          <w:p>
            <w:pPr>
              <w:pStyle w:val="Compact"/>
              <w:jc w:val="right"/>
            </w:pPr>
            <w:r>
              <w:t xml:space="preserve">69.1 %</w:t>
            </w:r>
          </w:p>
        </w:tc>
        <w:tc>
          <w:tcPr/>
          <w:p>
            <w:pPr>
              <w:pStyle w:val="Compact"/>
            </w:pPr>
          </w:p>
        </w:tc>
        <w:tc>
          <w:tcPr/>
          <w:p>
            <w:pPr>
              <w:pStyle w:val="Compact"/>
            </w:pPr>
          </w:p>
        </w:tc>
        <w:tc>
          <w:tcPr/>
          <w:p>
            <w:pPr>
              <w:pStyle w:val="Compact"/>
            </w:pPr>
          </w:p>
        </w:tc>
        <w:tc>
          <w:tcPr/>
          <w:p>
            <w:pPr>
              <w:pStyle w:val="Compact"/>
              <w:jc w:val="right"/>
            </w:pPr>
            <w:r>
              <w:t xml:space="preserve">18.9 %</w:t>
            </w:r>
          </w:p>
        </w:tc>
      </w:tr>
      <w:tr>
        <w:tc>
          <w:tcPr/>
          <w:p>
            <w:pPr>
              <w:pStyle w:val="Compact"/>
              <w:jc w:val="left"/>
            </w:pPr>
            <w:r>
              <w:t xml:space="preserve">No new images (control)</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21.4 %</w:t>
            </w:r>
          </w:p>
        </w:tc>
      </w:tr>
      <w:tr>
        <w:tc>
          <w:tcPr/>
          <w:p>
            <w:pPr>
              <w:pStyle w:val="Compact"/>
              <w:jc w:val="left"/>
            </w:pPr>
            <w:r>
              <w:t xml:space="preserve">Ensemble, top-1 label</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25.7 %</w:t>
            </w:r>
          </w:p>
        </w:tc>
      </w:tr>
      <w:tr>
        <w:tc>
          <w:tcPr/>
          <w:p>
            <w:pPr>
              <w:pStyle w:val="Compact"/>
              <w:jc w:val="left"/>
            </w:pPr>
            <w:r>
              <w:t xml:space="preserve">Ensemble, probabilities</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23.3 %</w:t>
            </w:r>
          </w:p>
        </w:tc>
      </w:tr>
      <w:tr>
        <w:tc>
          <w:tcPr/>
          <w:p>
            <w:pPr>
              <w:pStyle w:val="Compact"/>
              <w:jc w:val="left"/>
            </w:pPr>
            <w:r>
              <w:t xml:space="preserve">Ensemble, confident only (130)</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21.5 %</w:t>
            </w:r>
          </w:p>
        </w:tc>
      </w:tr>
      <w:tr>
        <w:tc>
          <w:tcPr/>
          <w:p>
            <w:pPr>
              <w:pStyle w:val="Compact"/>
              <w:jc w:val="left"/>
            </w:pPr>
            <w:r>
              <w:t xml:space="preserve">True label (farmer)</w:t>
            </w:r>
          </w:p>
        </w:tc>
        <w:tc>
          <w:tcPr/>
          <w:p>
            <w:pPr>
              <w:pStyle w:val="Compact"/>
              <w:jc w:val="right"/>
            </w:pPr>
            <w:r>
              <w:t xml:space="preserve">68.0 %</w:t>
            </w:r>
          </w:p>
        </w:tc>
        <w:tc>
          <w:tcPr/>
          <w:p>
            <w:pPr>
              <w:pStyle w:val="Compact"/>
            </w:pPr>
          </w:p>
        </w:tc>
        <w:tc>
          <w:tcPr/>
          <w:p>
            <w:pPr>
              <w:pStyle w:val="Compact"/>
            </w:pPr>
          </w:p>
        </w:tc>
        <w:tc>
          <w:tcPr/>
          <w:p>
            <w:pPr>
              <w:pStyle w:val="Compact"/>
            </w:pPr>
          </w:p>
        </w:tc>
        <w:tc>
          <w:tcPr/>
          <w:p>
            <w:pPr>
              <w:pStyle w:val="Compact"/>
              <w:jc w:val="right"/>
            </w:pPr>
            <w:r>
              <w:t xml:space="preserve">26.8 %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critical path: the farm answers in a median of 77 ms (95 % of images within 164 ms; 139 ms at the median for escalated images, which include the upload to the cloud queue), and the ensemble’s confirmation arrives with the next batch.</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 (single image, batch size 1). Replay values are medians over the seven-day replay.</w:t>
      </w:r>
    </w:p>
    <w:tbl>
      <w:tblPr>
        <w:tblStyle w:val="Table"/>
        <w:tblW w:type="pct" w:w="4880"/>
        <w:tblLayout w:type="fixed"/>
        <w:tblLook w:firstRow="1" w:lastRow="0" w:firstColumn="0" w:lastColumn="0" w:noHBand="0" w:noVBand="0" w:val="0020"/>
        <w:tblCaption w:val="Table 11. Latency measured on the embedded devices (single image, batch size 1). Replay values are medians over the seven-day replay."/>
      </w:tblPr>
      <w:tblGrid>
        <w:gridCol w:w="1622"/>
        <w:gridCol w:w="4771"/>
        <w:gridCol w:w="1335"/>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(replay)</w:t>
            </w:r>
          </w:p>
        </w:tc>
        <w:tc>
          <w:tcPr/>
          <w:p>
            <w:pPr>
              <w:pStyle w:val="Compact"/>
              <w:jc w:val="right"/>
            </w:pPr>
            <w:r>
              <w:t xml:space="preserve">70 ms</w:t>
            </w:r>
          </w:p>
        </w:tc>
      </w:tr>
      <w:tr>
        <w:tc>
          <w:tcPr/>
          <w:p>
            <w:pPr>
              <w:pStyle w:val="Compact"/>
            </w:pPr>
          </w:p>
        </w:tc>
        <w:tc>
          <w:tcPr/>
          <w:p>
            <w:pPr>
              <w:pStyle w:val="Compact"/>
              <w:jc w:val="left"/>
            </w:pPr>
            <w:r>
              <w:t xml:space="preserve">answer on the farm, end to end (replay)</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(replay)</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(replay)</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(replay)</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replay</w:t>
      </w:r>
    </w:p>
    <w:p>
      <w:pPr>
        <w:pStyle w:val="FirstParagraph"/>
      </w:pPr>
      <w:r>
        <w:t xml:space="preserve">Over the replayed week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reach 66.5 %, and the two agree on 652/684 images (95.3 %):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replay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Figure 14 shows the operations console at the end of the replay.</w:t>
      </w:r>
    </w:p>
    <w:bookmarkStart w:id="100" w:name="tab:fleet"/>
    <w:p>
      <w:pPr>
        <w:pStyle w:val="TableCaption"/>
      </w:pPr>
      <w:r>
        <w:t xml:space="preserve">Table 12. Measured results of the seven-day replay, per farm. Upload volumes are JPEG bytes actually sent;</w:t>
      </w:r>
      <w:r>
        <w:t xml:space="preserve"> </w:t>
      </w:r>
      <w:r>
        <w:t xml:space="preserve">“Always-cloud”</w:t>
      </w:r>
      <w:r>
        <w:t xml:space="preserve"> </w:t>
      </w:r>
      <w:r>
        <w:t xml:space="preserve">is the volume had every image been uploaded with the same payload (448 px shorter side, JPEG q90).</w:t>
      </w:r>
    </w:p>
    <w:tbl>
      <w:tblPr>
        <w:tblStyle w:val="Table"/>
        <w:tblW w:type="auto" w:w="0"/>
        <w:tblLook w:firstRow="0" w:lastRow="0" w:firstColumn="0" w:lastColumn="0" w:noHBand="0" w:noVBand="0" w:val="0000"/>
        <w:tblCaption w:val="Table 12. Measured results of the seven-day replay, per farm. Upload volumes are JPEG bytes actually sent; “Always-cloud” is the volume had every image been uploaded with the same payload (448 px shorter side, JPEG q90)."/>
      </w:tblPr>
      <w:tblGrid>
        <w:gridCol w:w="1131"/>
        <w:gridCol w:w="1131"/>
        <w:gridCol w:w="1131"/>
        <w:gridCol w:w="1131"/>
        <w:gridCol w:w="1131"/>
        <w:gridCol w:w="1131"/>
        <w:gridCol w:w="1131"/>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Always-cloud</w:t>
            </w:r>
          </w:p>
        </w:tc>
        <w:tc>
          <w:tcPr/>
          <w:p>
            <w:pPr>
              <w:pStyle w:val="Compact"/>
              <w:jc w:val="right"/>
            </w:pPr>
            <w:r>
              <w:rPr>
                <w:b/>
                <w:bCs/>
              </w:rPr>
              <w:t xml:space="preserve">Reduction</w:t>
            </w:r>
          </w:p>
        </w:tc>
        <w:tc>
          <w:tcPr/>
          <w:p>
            <w:pPr>
              <w:pStyle w:val="Compact"/>
              <w:jc w:val="right"/>
            </w:pPr>
            <w:r>
              <w:rPr>
                <w:b/>
                <w:bCs/>
              </w:rPr>
              <w:t xml:space="preserve">Top-1</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(MB)</w:t>
            </w:r>
          </w:p>
        </w:tc>
        <w:tc>
          <w:tcPr/>
          <w:p>
            <w:pPr>
              <w:pStyle w:val="Compact"/>
            </w:pPr>
          </w:p>
        </w:tc>
        <w:tc>
          <w:tcPr/>
          <w:p>
            <w:pPr>
              <w:pStyle w:val="Compact"/>
            </w:pP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r>
    </w:tbl>
    <w:bookmarkEnd w:id="100"/>
    <w:bookmarkStart w:id="104" w:name="fig:fleet"/>
    <w:p>
      <w:pPr>
        <w:pStyle w:val="CaptionedFigure"/>
      </w:pPr>
      <w:r>
        <w:drawing>
          <wp:inline>
            <wp:extent cx="5334000" cy="3043151"/>
            <wp:effectExtent b="0" l="0" r="0" t="0"/>
            <wp:docPr descr="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43151"/>
                    </a:xfrm>
                    <a:prstGeom prst="rect">
                      <a:avLst/>
                    </a:prstGeom>
                    <a:noFill/>
                    <a:ln w="9525">
                      <a:noFill/>
                      <a:headEnd/>
                      <a:tailEnd/>
                    </a:ln>
                  </pic:spPr>
                </pic:pic>
              </a:graphicData>
            </a:graphic>
          </wp:inline>
        </w:drawing>
      </w:r>
    </w:p>
    <w:p>
      <w:pPr>
        <w:pStyle w:val="ImageCaption"/>
      </w:pPr>
      <w:r>
        <w:t xml:space="preserve">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w:t>
      </w:r>
    </w:p>
    <w:bookmarkEnd w:id="104"/>
    <w:bookmarkStart w:id="108" w:name="fig:fleet-latency"/>
    <w:p>
      <w:pPr>
        <w:pStyle w:val="CaptionedFigure"/>
      </w:pPr>
      <w:r>
        <w:drawing>
          <wp:inline>
            <wp:extent cx="5334000" cy="2167646"/>
            <wp:effectExtent b="0" l="0" r="0" t="0"/>
            <wp:docPr descr="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w:t>
      </w:r>
    </w:p>
    <w:bookmarkEnd w:id="108"/>
    <w:bookmarkStart w:id="112" w:name="fig:fleet-offline"/>
    <w:p>
      <w:pPr>
        <w:pStyle w:val="CaptionedFigure"/>
      </w:pPr>
      <w:r>
        <w:drawing>
          <wp:inline>
            <wp:extent cx="4036816" cy="2266121"/>
            <wp:effectExtent b="0" l="0" r="0" t="0"/>
            <wp:docPr descr="Figure 13. Escalation rate per farm: predicted from the offline margins (grey) and measured on the devices (colour)."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predicted from the offline margins (grey) and measured on the devices (colour).</w:t>
      </w:r>
    </w:p>
    <w:bookmarkEnd w:id="112"/>
    <w:bookmarkStart w:id="116" w:name="fig:console"/>
    <w:p>
      <w:pPr>
        <w:pStyle w:val="CaptionedFigure"/>
      </w:pPr>
      <w:r>
        <w:drawing>
          <wp:inline>
            <wp:extent cx="5334000" cy="4300537"/>
            <wp:effectExtent b="0" l="0" r="0" t="0"/>
            <wp:docPr descr="Figure 14. Operations console during the replay: simulated clock and node status, fleet indicators, escalations per simulated hour, per-farm cards, topology, latency by stage and a feed of the most recent diagnoses."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replay: simulated clock and node status, fleet indicators, escalations per simulated hour, per-farm cards, topology, latency by stage and a feed of the most recent diagnoses.</w:t>
      </w:r>
    </w:p>
    <w:bookmarkEnd w:id="116"/>
    <w:bookmarkEnd w:id="117"/>
    <w:bookmarkStart w:id="119" w:name="sec:res-improved"/>
    <w:p>
      <w:pPr>
        <w:pStyle w:val="Heading2"/>
      </w:pPr>
      <w:r>
        <w:rPr>
          <w:rStyle w:val="SectionNumber"/>
        </w:rPr>
        <w:t xml:space="preserve">6.7</w:t>
      </w:r>
      <w:r>
        <w:tab/>
      </w:r>
      <w:r>
        <w:t xml:space="preserve">Improved configuration on the devices</w:t>
      </w:r>
    </w:p>
    <w:p>
      <w:pPr>
        <w:pStyle w:val="FirstParagraph"/>
      </w:pPr>
      <w:r>
        <w:t xml:space="preserve">The two improvements found after the first replay — the edge model distilled from the ensemble (Section 6.4) and CLIP in fp16 (Section 5) — change no interface, so we deployed them on the same devices (Appendix A, item C4) and repeated the seven-day replay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replays.</w:t>
      </w:r>
    </w:p>
    <w:p>
      <w:pPr>
        <w:pStyle w:val="BodyText"/>
      </w:pPr>
      <w:r>
        <w:t xml:space="preserve">The edge escalated 455 images (12.4 %, against the offline prediction of 12.3 %), and the farms uploaded 27.0 MB instead of 40.4 MB: 7.5 KB per diagnosis, an 8.0-fold reduction against always-cloud measured on the devices (Fig. 11). Every farm saved more than in the first replay, from 5.3-fold (solanaceae) to 11.3-fold (market garden). Delivered accuracy was 75.3 %, against 76.0 % in the first replay: both thresholds target 95 % of cloud accuracy on validation, so the stronger edge model spends its gain on bandwidth rather than on accuracy, trading a third of the uploaded bytes for under one point of accuracy. On the cloud node, fp16 CLIP shortened the compute per escalated image from 6.9 to 6.5 s, and the whole replay took 67 instead of 98 minutes of wall-clock time. With fewer and cheaper escalations, a diagnosis cost 6.4 J of device energy instead of 9.5 J, against 48 J for an always-cloud design on the same cloud node: 7.5 times less. The Nano’s diagnoses agreed with the workstation’s offline predictions on 429/455 escalated images.</w:t>
      </w:r>
    </w:p>
    <w:bookmarkStart w:id="118" w:name="tab:replays"/>
    <w:p>
      <w:pPr>
        <w:pStyle w:val="TableCaption"/>
      </w:pPr>
      <w:r>
        <w:t xml:space="preserve">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w:t>
      </w:r>
    </w:p>
    <w:tbl>
      <w:tblPr>
        <w:tblStyle w:val="Table"/>
        <w:tblW w:type="pct" w:w="4875"/>
        <w:tblLayout w:type="fixed"/>
        <w:tblLook w:firstRow="1" w:lastRow="0" w:firstColumn="0" w:lastColumn="0" w:noHBand="0" w:noVBand="0" w:val="0020"/>
        <w:tblCaption w:val="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
      </w:tblPr>
      <w:tblGrid>
        <w:gridCol w:w="4752"/>
        <w:gridCol w:w="1485"/>
        <w:gridCol w:w="1485"/>
      </w:tblGrid>
      <w:tr>
        <w:trPr>
          <w:tblHeader w:val="on"/>
        </w:trPr>
        <w:tc>
          <w:tcPr/>
          <w:p>
            <w:pPr>
              <w:pStyle w:val="Compact"/>
            </w:pPr>
          </w:p>
        </w:tc>
        <w:tc>
          <w:tcPr/>
          <w:p>
            <w:pPr>
              <w:pStyle w:val="Compact"/>
              <w:jc w:val="right"/>
            </w:pPr>
            <w:r>
              <w:rPr>
                <w:b/>
                <w:bCs/>
              </w:rPr>
              <w:t xml:space="preserve">Replay 1</w:t>
            </w:r>
          </w:p>
        </w:tc>
        <w:tc>
          <w:tcPr/>
          <w:p>
            <w:pPr>
              <w:pStyle w:val="Compact"/>
              <w:jc w:val="right"/>
            </w:pPr>
            <w:r>
              <w:rPr>
                <w:b/>
                <w:bCs/>
              </w:rPr>
              <w:t xml:space="preserve">Replay 2</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replay</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8"/>
    <w:bookmarkEnd w:id="119"/>
    <w:bookmarkEnd w:id="120"/>
    <w:bookmarkStart w:id="126" w:name="sec:discussion"/>
    <w:p>
      <w:pPr>
        <w:pStyle w:val="Heading1"/>
      </w:pPr>
      <w:r>
        <w:rPr>
          <w:rStyle w:val="SectionNumber"/>
        </w:rPr>
        <w:t xml:space="preserve">7</w:t>
      </w:r>
      <w:r>
        <w:tab/>
      </w:r>
      <w:r>
        <w:t xml:space="preserve">Discussion</w:t>
      </w:r>
    </w:p>
    <w:bookmarkStart w:id="121"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18.7 to 12.5 % (Section 6.4), and on the devices from 18.6 % to 12.4 %, an 8.0-fold uplink saving (Section 6.7). The reason is informational: an edge-side router can only re-express the edge model’s posterior, and the margin already summarises it well. The oracle shows that substantial headroom remains (84.8 % at 20 % escalation), but reaching it requires information the edge does not have; a cheaper path to it is a stronger edge model.</w:t>
      </w:r>
    </w:p>
    <w:bookmarkEnd w:id="121"/>
    <w:bookmarkStart w:id="122"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per month, against 177 MB for always-cloud with the same payload; on a 1 Mbit/s uplink an escalated image takes about 0.5 s to transmit.</w:t>
      </w:r>
    </w:p>
    <w:bookmarkEnd w:id="122"/>
    <w:bookmarkStart w:id="123"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replay a batch of 48 images also paid 36 s to load the three backbones, and the board spends 49 J per escalated image (Section 5.4). Selective escalation is what makes this affordable: at 18–19 % escalation the Nano sees one image in five, whereas an always-cloud design would multiply its workload, and its energy use, more than fivefold.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immediately. A node with more memory, such as an 8 GB module, could keep all engines resident and answer synchronously; the server implements this mode, but we have not tested it.</w:t>
      </w:r>
    </w:p>
    <w:bookmarkEnd w:id="123"/>
    <w:bookmarkStart w:id="124"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4"/>
    <w:bookmarkStart w:id="125"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replay compresses idle time and therefore does not capture diurnal effects, power cycling or connectivity outages, and its four farms share one physical Pi, so device-to-device variability is not represented. Each edge model was trained once, so we report no variance across training seeds; the same holds for the distillation and loop experiments.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replay-wide agreement quantify the deviation.</w:t>
      </w:r>
    </w:p>
    <w:bookmarkEnd w:id="125"/>
    <w:bookmarkEnd w:id="126"/>
    <w:bookmarkStart w:id="127"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replay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at no inference cost, raises the uplink saving measured on the same devices from 5.4- to 8.0-fold (7.5 KB per diagnosis) at 75.3 % delivered accuracy.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7"/>
    <w:bookmarkStart w:id="128"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28"/>
    <w:bookmarkStart w:id="1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9"/>
    <w:bookmarkStart w:id="130"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0"/>
    <w:bookmarkStart w:id="132"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Wei et al. 2024b</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1">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replays, the activation, memory and power profiles, the TensorRT verification reports and the sources of this manuscript.</w:t>
      </w:r>
    </w:p>
    <w:bookmarkEnd w:id="132"/>
    <w:bookmarkStart w:id="133"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3"/>
    <w:bookmarkStart w:id="207" w:name="references"/>
    <w:p>
      <w:pPr>
        <w:pStyle w:val="Heading1"/>
      </w:pPr>
      <w:r>
        <w:t xml:space="preserve">References</w:t>
      </w:r>
    </w:p>
    <w:bookmarkStart w:id="206" w:name="refs"/>
    <w:bookmarkStart w:id="135" w:name="ref-ahmad2023toward"/>
    <w:p>
      <w:pPr>
        <w:pStyle w:val="Bibliography"/>
      </w:pPr>
      <w:r>
        <w:t xml:space="preserve">Ahmad, Aanis, Aly El Gamal, and Dharmendra Saraswat. 2023.</w:t>
      </w:r>
      <w:r>
        <w:t xml:space="preserve"> </w:t>
      </w:r>
      <w:r>
        <w:t xml:space="preserve">“Toward Generalization of Deep Learning-Based Plant Disease Identification Under Controlled and Field Conditions.”</w:t>
      </w:r>
      <w:r>
        <w:t xml:space="preserve"> </w:t>
      </w:r>
      <w:r>
        <w:rPr>
          <w:i/>
          <w:iCs/>
        </w:rPr>
        <w:t xml:space="preserve">IEEE Access</w:t>
      </w:r>
      <w:r>
        <w:t xml:space="preserve"> </w:t>
      </w:r>
      <w:r>
        <w:t xml:space="preserve">11: 9042–57.</w:t>
      </w:r>
      <w:r>
        <w:t xml:space="preserve"> </w:t>
      </w:r>
      <w:hyperlink r:id="rId134">
        <w:r>
          <w:rPr>
            <w:rStyle w:val="Hyperlink"/>
          </w:rPr>
          <w:t xml:space="preserve">https://doi.org/10.1109/ACCESS.2023.3240100</w:t>
        </w:r>
      </w:hyperlink>
      <w:r>
        <w:t xml:space="preserve">.</w:t>
      </w:r>
    </w:p>
    <w:bookmarkEnd w:id="135"/>
    <w:bookmarkStart w:id="137" w:name="ref-onnx2019"/>
    <w:p>
      <w:pPr>
        <w:pStyle w:val="Bibliography"/>
      </w:pPr>
      <w:r>
        <w:t xml:space="preserve">Bai, Junjie, Fang Lu, Ke Zhang, et al.</w:t>
      </w:r>
      <w:r>
        <w:t xml:space="preserve"> 2019.</w:t>
      </w:r>
      <w:r>
        <w:t xml:space="preserve"> </w:t>
      </w:r>
      <w:r>
        <w:rPr>
          <w:i/>
          <w:iCs/>
        </w:rPr>
        <w:t xml:space="preserve">ONNX</w:t>
      </w:r>
      <w:r>
        <w:rPr>
          <w:i/>
          <w:iCs/>
        </w:rPr>
        <w:t xml:space="preserve">: Open Neural Network Exchange</w:t>
      </w:r>
      <w:r>
        <w:t xml:space="preserve">.</w:t>
      </w:r>
      <w:r>
        <w:t xml:space="preserve"> </w:t>
      </w:r>
      <w:hyperlink r:id="rId136">
        <w:r>
          <w:rPr>
            <w:rStyle w:val="Hyperlink"/>
          </w:rPr>
          <w:t xml:space="preserve">Https://github.com/onnx/onnx</w:t>
        </w:r>
      </w:hyperlink>
      <w:r>
        <w:t xml:space="preserve">.</w:t>
      </w:r>
    </w:p>
    <w:bookmarkEnd w:id="137"/>
    <w:bookmarkStart w:id="139" w:name="ref-barbedo2018impact"/>
    <w:p>
      <w:pPr>
        <w:pStyle w:val="Bibliography"/>
      </w:pPr>
      <w:r>
        <w:t xml:space="preserve">Barbedo, Jayme G. A. 2018.</w:t>
      </w:r>
      <w:r>
        <w:t xml:space="preserve"> </w:t>
      </w:r>
      <w:r>
        <w:t xml:space="preserve">“Impact of Dataset Size and Variety on the Effectiveness of Deep Learning and Transfer Learning for Plant Disease Classification.”</w:t>
      </w:r>
      <w:r>
        <w:t xml:space="preserve"> </w:t>
      </w:r>
      <w:r>
        <w:rPr>
          <w:i/>
          <w:iCs/>
        </w:rPr>
        <w:t xml:space="preserve">Computers and Electronics in Agriculture</w:t>
      </w:r>
      <w:r>
        <w:t xml:space="preserve"> </w:t>
      </w:r>
      <w:r>
        <w:t xml:space="preserve">153: 46–53.</w:t>
      </w:r>
      <w:r>
        <w:t xml:space="preserve"> </w:t>
      </w:r>
      <w:hyperlink r:id="rId138">
        <w:r>
          <w:rPr>
            <w:rStyle w:val="Hyperlink"/>
          </w:rPr>
          <w:t xml:space="preserve">https://doi.org/10.1016/j.compag.2018.08.013</w:t>
        </w:r>
      </w:hyperlink>
      <w:r>
        <w:t xml:space="preserve">.</w:t>
      </w:r>
    </w:p>
    <w:bookmarkEnd w:id="139"/>
    <w:bookmarkStart w:id="141" w:name="ref-chow1970reject"/>
    <w:p>
      <w:pPr>
        <w:pStyle w:val="Bibliography"/>
      </w:pPr>
      <w:r>
        <w:t xml:space="preserve">Chow, C. K. 1970.</w:t>
      </w:r>
      <w:r>
        <w:t xml:space="preserve"> </w:t>
      </w:r>
      <w:r>
        <w:t xml:space="preserve">“On Optimum Recognition Error and Reject Tradeoff.”</w:t>
      </w:r>
      <w:r>
        <w:t xml:space="preserve"> </w:t>
      </w:r>
      <w:r>
        <w:rPr>
          <w:i/>
          <w:iCs/>
        </w:rPr>
        <w:t xml:space="preserve">IEEE Transactions on Information Theory</w:t>
      </w:r>
      <w:r>
        <w:t xml:space="preserve"> </w:t>
      </w:r>
      <w:r>
        <w:t xml:space="preserve">16 (1): 41–46.</w:t>
      </w:r>
      <w:r>
        <w:t xml:space="preserve"> </w:t>
      </w:r>
      <w:hyperlink r:id="rId140">
        <w:r>
          <w:rPr>
            <w:rStyle w:val="Hyperlink"/>
          </w:rPr>
          <w:t xml:space="preserve">https://doi.org/10.1109/TIT.1970.1054406</w:t>
        </w:r>
      </w:hyperlink>
      <w:r>
        <w:t xml:space="preserve">.</w:t>
      </w:r>
    </w:p>
    <w:bookmarkEnd w:id="141"/>
    <w:bookmarkStart w:id="143" w:name="ref-donenfeld2017wireguard"/>
    <w:p>
      <w:pPr>
        <w:pStyle w:val="Bibliography"/>
      </w:pPr>
      <w:r>
        <w:t xml:space="preserve">Donenfeld, Jason A. 2017.</w:t>
      </w:r>
      <w:r>
        <w:t xml:space="preserve"> </w:t>
      </w:r>
      <w:r>
        <w:t xml:space="preserve">“</w:t>
      </w:r>
      <w:r>
        <w:t xml:space="preserve">WireGuard</w:t>
      </w:r>
      <w:r>
        <w:t xml:space="preserve">: Next Generation Kernel Network Tunnel.”</w:t>
      </w:r>
      <w:r>
        <w:t xml:space="preserve"> </w:t>
      </w:r>
      <w:r>
        <w:rPr>
          <w:i/>
          <w:iCs/>
        </w:rPr>
        <w:t xml:space="preserve">Network and Distributed System Security Symposium (NDSS)</w:t>
      </w:r>
      <w:r>
        <w:t xml:space="preserve">.</w:t>
      </w:r>
      <w:r>
        <w:t xml:space="preserve"> </w:t>
      </w:r>
      <w:hyperlink r:id="rId142">
        <w:r>
          <w:rPr>
            <w:rStyle w:val="Hyperlink"/>
          </w:rPr>
          <w:t xml:space="preserve">https://doi.org/10.14722/ndss.2017.23160</w:t>
        </w:r>
      </w:hyperlink>
      <w:r>
        <w:t xml:space="preserve">.</w:t>
      </w:r>
    </w:p>
    <w:bookmarkEnd w:id="143"/>
    <w:bookmarkStart w:id="144" w:name="ref-elkarch2025backbone"/>
    <w:p>
      <w:pPr>
        <w:pStyle w:val="Bibliography"/>
      </w:pPr>
      <w:r>
        <w:t xml:space="preserve">El Karch, Hajar, Youssef Natij, Mohamed Benaly, Rachid Elgouri, and Abdelkader Mezouari. 2025.</w:t>
      </w:r>
      <w:r>
        <w:t xml:space="preserve"> </w:t>
      </w:r>
      <w:r>
        <w:rPr>
          <w:i/>
          <w:iCs/>
        </w:rPr>
        <w:t xml:space="preserve">Backbone Diversity Beats Text Supervision: A Systematic Study of Frozen Multi-Foundation-Model Fusion for in-the-Wild Plant Disease Recognition</w:t>
      </w:r>
      <w:r>
        <w:t xml:space="preserve">.</w:t>
      </w:r>
    </w:p>
    <w:bookmarkEnd w:id="144"/>
    <w:bookmarkStart w:id="146" w:name="ref-ferentinos2018deep"/>
    <w:p>
      <w:pPr>
        <w:pStyle w:val="Bibliography"/>
      </w:pPr>
      <w:r>
        <w:t xml:space="preserve">Ferentinos, Konstantinos P. 2018.</w:t>
      </w:r>
      <w:r>
        <w:t xml:space="preserve"> </w:t>
      </w:r>
      <w:r>
        <w:t xml:space="preserve">“Deep Learning Models for Plant Disease Detection and Diagnosis.”</w:t>
      </w:r>
      <w:r>
        <w:t xml:space="preserve"> </w:t>
      </w:r>
      <w:r>
        <w:rPr>
          <w:i/>
          <w:iCs/>
        </w:rPr>
        <w:t xml:space="preserve">Computers and Electronics in Agriculture</w:t>
      </w:r>
      <w:r>
        <w:t xml:space="preserve"> </w:t>
      </w:r>
      <w:r>
        <w:t xml:space="preserve">145: 311–18.</w:t>
      </w:r>
      <w:r>
        <w:t xml:space="preserve"> </w:t>
      </w:r>
      <w:hyperlink r:id="rId145">
        <w:r>
          <w:rPr>
            <w:rStyle w:val="Hyperlink"/>
          </w:rPr>
          <w:t xml:space="preserve">https://doi.org/10.1016/j.compag.2018.01.009</w:t>
        </w:r>
      </w:hyperlink>
      <w:r>
        <w:t xml:space="preserve">.</w:t>
      </w:r>
    </w:p>
    <w:bookmarkEnd w:id="146"/>
    <w:bookmarkStart w:id="147"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147"/>
    <w:bookmarkStart w:id="148" w:name="ref-guo2017calibration"/>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Proceedings of the 34th International Conference on Machine Learning (ICML)</w:t>
      </w:r>
      <w:r>
        <w:t xml:space="preserve">, Proceedings of machine learning research, vol. 70: 1321–30.</w:t>
      </w:r>
    </w:p>
    <w:bookmarkEnd w:id="148"/>
    <w:bookmarkStart w:id="150" w:name="ref-hasan2025deployable"/>
    <w:p>
      <w:pPr>
        <w:pStyle w:val="Bibliography"/>
      </w:pPr>
      <w:r>
        <w:t xml:space="preserve">Hasan, Mohammad Junayed, Suvodeep Mazumdar, and Sifat Momen. 2025.</w:t>
      </w:r>
      <w:r>
        <w:t xml:space="preserve"> </w:t>
      </w:r>
      <w:r>
        <w:t xml:space="preserve">“Deployable Deep Learning for Cross-Domain Plant Leaf Disease Detection via Ensemble Learning, Knowledge Distillation, and Quantization.”</w:t>
      </w:r>
      <w:r>
        <w:t xml:space="preserve"> </w:t>
      </w:r>
      <w:r>
        <w:rPr>
          <w:i/>
          <w:iCs/>
        </w:rPr>
        <w:t xml:space="preserve">IEEE Access</w:t>
      </w:r>
      <w:r>
        <w:t xml:space="preserve"> </w:t>
      </w:r>
      <w:r>
        <w:t xml:space="preserve">13: 140313–36.</w:t>
      </w:r>
      <w:r>
        <w:t xml:space="preserve"> </w:t>
      </w:r>
      <w:hyperlink r:id="rId149">
        <w:r>
          <w:rPr>
            <w:rStyle w:val="Hyperlink"/>
          </w:rPr>
          <w:t xml:space="preserve">https://doi.org/10.1109/ACCESS.2025.3595390</w:t>
        </w:r>
      </w:hyperlink>
      <w:r>
        <w:t xml:space="preserve">.</w:t>
      </w:r>
    </w:p>
    <w:bookmarkEnd w:id="150"/>
    <w:bookmarkStart w:id="151" w:name="ref-hendrycks2017baseline"/>
    <w:p>
      <w:pPr>
        <w:pStyle w:val="Bibliography"/>
      </w:pPr>
      <w:r>
        <w:t xml:space="preserve">Hendrycks, Dan, and Kevin Gimpel. 2017.</w:t>
      </w:r>
      <w:r>
        <w:t xml:space="preserve"> </w:t>
      </w:r>
      <w:r>
        <w:t xml:space="preserve">“A Baseline for Detecting Misclassified and Out-of-Distribution Examples in Neural Networks.”</w:t>
      </w:r>
      <w:r>
        <w:t xml:space="preserve"> </w:t>
      </w:r>
      <w:r>
        <w:rPr>
          <w:i/>
          <w:iCs/>
        </w:rPr>
        <w:t xml:space="preserve">International Conference on Learning Representations (ICLR)</w:t>
      </w:r>
      <w:r>
        <w:t xml:space="preserve">.</w:t>
      </w:r>
    </w:p>
    <w:bookmarkEnd w:id="151"/>
    <w:bookmarkStart w:id="153" w:name="ref-hinton2015distilling"/>
    <w:p>
      <w:pPr>
        <w:pStyle w:val="Bibliography"/>
      </w:pPr>
      <w:r>
        <w:t xml:space="preserve">Hinton, Geoffrey, Oriol Vinyals, and Jeff Dean. 2015.</w:t>
      </w:r>
      <w:r>
        <w:t xml:space="preserve"> </w:t>
      </w:r>
      <w:r>
        <w:rPr>
          <w:i/>
          <w:iCs/>
        </w:rPr>
        <w:t xml:space="preserve">Distilling the Knowledge in a Neural Network</w:t>
      </w:r>
      <w:r>
        <w:t xml:space="preserve">.</w:t>
      </w:r>
      <w:r>
        <w:t xml:space="preserve"> </w:t>
      </w:r>
      <w:hyperlink r:id="rId152">
        <w:r>
          <w:rPr>
            <w:rStyle w:val="Hyperlink"/>
          </w:rPr>
          <w:t xml:space="preserve">https://doi.org/10.48550/arXiv.1503.02531</w:t>
        </w:r>
      </w:hyperlink>
      <w:r>
        <w:t xml:space="preserve">.</w:t>
      </w:r>
    </w:p>
    <w:bookmarkEnd w:id="153"/>
    <w:bookmarkStart w:id="155" w:name="ref-howard2019mobilenetv3"/>
    <w:p>
      <w:pPr>
        <w:pStyle w:val="Bibliography"/>
      </w:pPr>
      <w:r>
        <w:t xml:space="preserve">Howard, Andrew, Mark Sandler, Grace Chu, et al. 2019.</w:t>
      </w:r>
      <w:r>
        <w:t xml:space="preserve"> </w:t>
      </w:r>
      <w:r>
        <w:t xml:space="preserve">“Searching for</w:t>
      </w:r>
      <w:r>
        <w:t xml:space="preserve"> </w:t>
      </w:r>
      <w:r>
        <w:t xml:space="preserve">MobileNetV3</w:t>
      </w:r>
      <w:r>
        <w:t xml:space="preserve">.”</w:t>
      </w:r>
      <w:r>
        <w:t xml:space="preserve"> </w:t>
      </w:r>
      <w:r>
        <w:rPr>
          <w:i/>
          <w:iCs/>
        </w:rPr>
        <w:t xml:space="preserve">IEEE/CVF International Conference on Computer Vision (ICCV)</w:t>
      </w:r>
      <w:r>
        <w:t xml:space="preserve">, 1314–24.</w:t>
      </w:r>
      <w:r>
        <w:t xml:space="preserve"> </w:t>
      </w:r>
      <w:hyperlink r:id="rId154">
        <w:r>
          <w:rPr>
            <w:rStyle w:val="Hyperlink"/>
          </w:rPr>
          <w:t xml:space="preserve">https://doi.org/10.1109/ICCV.2019.00140</w:t>
        </w:r>
      </w:hyperlink>
      <w:r>
        <w:t xml:space="preserve">.</w:t>
      </w:r>
    </w:p>
    <w:bookmarkEnd w:id="155"/>
    <w:bookmarkStart w:id="157" w:name="ref-hughes2015plantvillage"/>
    <w:p>
      <w:pPr>
        <w:pStyle w:val="Bibliography"/>
      </w:pPr>
      <w:r>
        <w:t xml:space="preserve">Hughes, David P., and Marcel Salathé. 2015.</w:t>
      </w:r>
      <w:r>
        <w:t xml:space="preserve"> </w:t>
      </w:r>
      <w:r>
        <w:rPr>
          <w:i/>
          <w:iCs/>
        </w:rPr>
        <w:t xml:space="preserve">An Open Access Repository of Images on Plant Health to Enable the Development of Mobile Disease Diagnostics</w:t>
      </w:r>
      <w:r>
        <w:t xml:space="preserve">.</w:t>
      </w:r>
      <w:r>
        <w:t xml:space="preserve"> </w:t>
      </w:r>
      <w:hyperlink r:id="rId156">
        <w:r>
          <w:rPr>
            <w:rStyle w:val="Hyperlink"/>
          </w:rPr>
          <w:t xml:space="preserve">https://doi.org/10.48550/arXiv.1511.08060</w:t>
        </w:r>
      </w:hyperlink>
      <w:r>
        <w:t xml:space="preserve">.</w:t>
      </w:r>
    </w:p>
    <w:bookmarkEnd w:id="157"/>
    <w:bookmarkStart w:id="159" w:name="ref-jiang2025plantcafo"/>
    <w:p>
      <w:pPr>
        <w:pStyle w:val="Bibliography"/>
      </w:pPr>
      <w:r>
        <w:t xml:space="preserve">Jiang, Xue, Jiashi Wang, Kai Xie, et al. 2025.</w:t>
      </w:r>
      <w:r>
        <w:t xml:space="preserve"> </w:t>
      </w:r>
      <w:r>
        <w:t xml:space="preserve">“</w:t>
      </w:r>
      <w:r>
        <w:t xml:space="preserve">PlantCaFo</w:t>
      </w:r>
      <w:r>
        <w:t xml:space="preserve">: An Efficient Few-Shot Plant Disease Recognition Method Based on Foundation Models.”</w:t>
      </w:r>
      <w:r>
        <w:t xml:space="preserve"> </w:t>
      </w:r>
      <w:r>
        <w:rPr>
          <w:i/>
          <w:iCs/>
        </w:rPr>
        <w:t xml:space="preserve">Plant Phenomics</w:t>
      </w:r>
      <w:r>
        <w:t xml:space="preserve"> </w:t>
      </w:r>
      <w:r>
        <w:t xml:space="preserve">7: 100024.</w:t>
      </w:r>
      <w:r>
        <w:t xml:space="preserve"> </w:t>
      </w:r>
      <w:hyperlink r:id="rId158">
        <w:r>
          <w:rPr>
            <w:rStyle w:val="Hyperlink"/>
          </w:rPr>
          <w:t xml:space="preserve">https://doi.org/10.1016/j.plaphe.2025.100024</w:t>
        </w:r>
      </w:hyperlink>
      <w:r>
        <w:t xml:space="preserve">.</w:t>
      </w:r>
    </w:p>
    <w:bookmarkEnd w:id="159"/>
    <w:bookmarkStart w:id="160" w:name="ref-kag2023selective"/>
    <w:p>
      <w:pPr>
        <w:pStyle w:val="Bibliography"/>
      </w:pPr>
      <w:r>
        <w:t xml:space="preserve">Kag, Anil, Igor Fedorov, Aditya Gangrade, Paul Whatmough, and Venkatesh Saligrama. 2023.</w:t>
      </w:r>
      <w:r>
        <w:t xml:space="preserve"> </w:t>
      </w:r>
      <w:r>
        <w:t xml:space="preserve">“Efficient Edge Inference by Selective Query.”</w:t>
      </w:r>
      <w:r>
        <w:t xml:space="preserve"> </w:t>
      </w:r>
      <w:r>
        <w:rPr>
          <w:i/>
          <w:iCs/>
        </w:rPr>
        <w:t xml:space="preserve">International Conference on Learning Representations (ICLR)</w:t>
      </w:r>
      <w:r>
        <w:t xml:space="preserve">.</w:t>
      </w:r>
    </w:p>
    <w:bookmarkEnd w:id="160"/>
    <w:bookmarkStart w:id="162" w:name="ref-kamilaris2018survey"/>
    <w:p>
      <w:pPr>
        <w:pStyle w:val="Bibliography"/>
      </w:pPr>
      <w:r>
        <w:t xml:space="preserve">Kamilaris, Andreas, and Francesc X. Prenafeta-Boldú. 2018.</w:t>
      </w:r>
      <w:r>
        <w:t xml:space="preserve"> </w:t>
      </w:r>
      <w:r>
        <w:t xml:space="preserve">“Deep Learning in Agriculture: A Survey.”</w:t>
      </w:r>
      <w:r>
        <w:t xml:space="preserve"> </w:t>
      </w:r>
      <w:r>
        <w:rPr>
          <w:i/>
          <w:iCs/>
        </w:rPr>
        <w:t xml:space="preserve">Computers and Electronics in Agriculture</w:t>
      </w:r>
      <w:r>
        <w:t xml:space="preserve"> </w:t>
      </w:r>
      <w:r>
        <w:t xml:space="preserve">147: 70–90.</w:t>
      </w:r>
      <w:r>
        <w:t xml:space="preserve"> </w:t>
      </w:r>
      <w:hyperlink r:id="rId161">
        <w:r>
          <w:rPr>
            <w:rStyle w:val="Hyperlink"/>
          </w:rPr>
          <w:t xml:space="preserve">https://doi.org/10.1016/j.compag.2018.02.016</w:t>
        </w:r>
      </w:hyperlink>
      <w:r>
        <w:t xml:space="preserve">.</w:t>
      </w:r>
    </w:p>
    <w:bookmarkEnd w:id="162"/>
    <w:bookmarkStart w:id="164" w:name="ref-kang2017neurosurgeon"/>
    <w:p>
      <w:pPr>
        <w:pStyle w:val="Bibliography"/>
      </w:pPr>
      <w:r>
        <w:t xml:space="preserve">Kang, Yiping, Johann Hauswald, Cao Gao, et al. 2017.</w:t>
      </w:r>
      <w:r>
        <w:t xml:space="preserve"> </w:t>
      </w:r>
      <w:r>
        <w:t xml:space="preserve">“Neurosurgeon: Collaborative Intelligence Between the Cloud and Mobile Edge.”</w:t>
      </w:r>
      <w:r>
        <w:t xml:space="preserve"> </w:t>
      </w:r>
      <w:r>
        <w:rPr>
          <w:i/>
          <w:iCs/>
        </w:rPr>
        <w:t xml:space="preserve">Proceedings of the 22nd International Conference on Architectural Support for Programming Languages and Operating Systems (ASPLOS)</w:t>
      </w:r>
      <w:r>
        <w:t xml:space="preserve">, 615–29.</w:t>
      </w:r>
      <w:r>
        <w:t xml:space="preserve"> </w:t>
      </w:r>
      <w:hyperlink r:id="rId163">
        <w:r>
          <w:rPr>
            <w:rStyle w:val="Hyperlink"/>
          </w:rPr>
          <w:t xml:space="preserve">https://doi.org/10.1145/3037697.3037698</w:t>
        </w:r>
      </w:hyperlink>
      <w:r>
        <w:t xml:space="preserve">.</w:t>
      </w:r>
    </w:p>
    <w:bookmarkEnd w:id="164"/>
    <w:bookmarkStart w:id="166" w:name="ref-lin2017focal"/>
    <w:p>
      <w:pPr>
        <w:pStyle w:val="Bibliography"/>
      </w:pPr>
      <w:r>
        <w:t xml:space="preserve">Lin, Tsung-Yi, Priya Goyal, Ross Girshick, Kaiming He, and Piotr Dollár. 2017.</w:t>
      </w:r>
      <w:r>
        <w:t xml:space="preserve"> </w:t>
      </w:r>
      <w:r>
        <w:t xml:space="preserve">“Focal Loss for Dense Object Detection.”</w:t>
      </w:r>
      <w:r>
        <w:t xml:space="preserve"> </w:t>
      </w:r>
      <w:r>
        <w:rPr>
          <w:i/>
          <w:iCs/>
        </w:rPr>
        <w:t xml:space="preserve">IEEE International Conference on Computer Vision (ICCV)</w:t>
      </w:r>
      <w:r>
        <w:t xml:space="preserve">, 2999–3007.</w:t>
      </w:r>
      <w:r>
        <w:t xml:space="preserve"> </w:t>
      </w:r>
      <w:hyperlink r:id="rId165">
        <w:r>
          <w:rPr>
            <w:rStyle w:val="Hyperlink"/>
          </w:rPr>
          <w:t xml:space="preserve">https://doi.org/10.1109/ICCV.2017.324</w:t>
        </w:r>
      </w:hyperlink>
      <w:r>
        <w:t xml:space="preserve">.</w:t>
      </w:r>
    </w:p>
    <w:bookmarkEnd w:id="166"/>
    <w:bookmarkStart w:id="167" w:name="ref-loshchilov2019adamw"/>
    <w:p>
      <w:pPr>
        <w:pStyle w:val="Bibliography"/>
      </w:pPr>
      <w:r>
        <w:t xml:space="preserve">Loshchilov, Ilya, and Frank Hutter. 2019.</w:t>
      </w:r>
      <w:r>
        <w:t xml:space="preserve"> </w:t>
      </w:r>
      <w:r>
        <w:t xml:space="preserve">“Decoupled Weight Decay Regularization.”</w:t>
      </w:r>
      <w:r>
        <w:t xml:space="preserve"> </w:t>
      </w:r>
      <w:r>
        <w:rPr>
          <w:i/>
          <w:iCs/>
        </w:rPr>
        <w:t xml:space="preserve">International Conference on Learning Representations (ICLR)</w:t>
      </w:r>
      <w:r>
        <w:t xml:space="preserve">.</w:t>
      </w:r>
    </w:p>
    <w:bookmarkEnd w:id="167"/>
    <w:bookmarkStart w:id="169" w:name="ref-matsubara2022split"/>
    <w:p>
      <w:pPr>
        <w:pStyle w:val="Bibliography"/>
      </w:pPr>
      <w:r>
        <w:t xml:space="preserve">Matsubara, Yoshitomo, Marco Levorato, and Francesco Restuccia. 2022.</w:t>
      </w:r>
      <w:r>
        <w:t xml:space="preserve"> </w:t>
      </w:r>
      <w:r>
        <w:t xml:space="preserve">“Split Computing and Early Exiting for Deep Learning Applications: Survey and Research Challenges.”</w:t>
      </w:r>
      <w:r>
        <w:t xml:space="preserve"> </w:t>
      </w:r>
      <w:r>
        <w:rPr>
          <w:i/>
          <w:iCs/>
        </w:rPr>
        <w:t xml:space="preserve">ACM Computing Surveys</w:t>
      </w:r>
      <w:r>
        <w:t xml:space="preserve"> </w:t>
      </w:r>
      <w:r>
        <w:t xml:space="preserve">55 (5): 1–30.</w:t>
      </w:r>
      <w:r>
        <w:t xml:space="preserve"> </w:t>
      </w:r>
      <w:hyperlink r:id="rId168">
        <w:r>
          <w:rPr>
            <w:rStyle w:val="Hyperlink"/>
          </w:rPr>
          <w:t xml:space="preserve">https://doi.org/10.1145/3527155</w:t>
        </w:r>
      </w:hyperlink>
      <w:r>
        <w:t xml:space="preserve">.</w:t>
      </w:r>
    </w:p>
    <w:bookmarkEnd w:id="169"/>
    <w:bookmarkStart w:id="171" w:name="ref-mohanty2016deeplearning"/>
    <w:p>
      <w:pPr>
        <w:pStyle w:val="Bibliography"/>
      </w:pPr>
      <w:r>
        <w:t xml:space="preserve">Mohanty, Sharada P., David P. Hughes, and Marcel Salathé. 2016.</w:t>
      </w:r>
      <w:r>
        <w:t xml:space="preserve"> </w:t>
      </w:r>
      <w:r>
        <w:t xml:space="preserve">“Using Deep Learning for Image-Based Plant Disease Detection.”</w:t>
      </w:r>
      <w:r>
        <w:t xml:space="preserve"> </w:t>
      </w:r>
      <w:r>
        <w:rPr>
          <w:i/>
          <w:iCs/>
        </w:rPr>
        <w:t xml:space="preserve">Frontiers in Plant Science</w:t>
      </w:r>
      <w:r>
        <w:t xml:space="preserve"> </w:t>
      </w:r>
      <w:r>
        <w:t xml:space="preserve">7: 1419.</w:t>
      </w:r>
      <w:r>
        <w:t xml:space="preserve"> </w:t>
      </w:r>
      <w:hyperlink r:id="rId170">
        <w:r>
          <w:rPr>
            <w:rStyle w:val="Hyperlink"/>
          </w:rPr>
          <w:t xml:space="preserve">https://doi.org/10.3389/fpls.2016.01419</w:t>
        </w:r>
      </w:hyperlink>
      <w:r>
        <w:t xml:space="preserve">.</w:t>
      </w:r>
    </w:p>
    <w:bookmarkEnd w:id="171"/>
    <w:bookmarkStart w:id="173" w:name="ref-noyan2022uncovering"/>
    <w:p>
      <w:pPr>
        <w:pStyle w:val="Bibliography"/>
      </w:pPr>
      <w:r>
        <w:t xml:space="preserve">Noyan, Mehmet Alican. 2022.</w:t>
      </w:r>
      <w:r>
        <w:t xml:space="preserve"> </w:t>
      </w:r>
      <w:r>
        <w:rPr>
          <w:i/>
          <w:iCs/>
        </w:rPr>
        <w:t xml:space="preserve">Uncovering Bias in the</w:t>
      </w:r>
      <w:r>
        <w:rPr>
          <w:i/>
          <w:iCs/>
        </w:rPr>
        <w:t xml:space="preserve"> </w:t>
      </w:r>
      <w:r>
        <w:rPr>
          <w:i/>
          <w:iCs/>
        </w:rPr>
        <w:t xml:space="preserve">PlantVillage</w:t>
      </w:r>
      <w:r>
        <w:rPr>
          <w:i/>
          <w:iCs/>
        </w:rPr>
        <w:t xml:space="preserve"> </w:t>
      </w:r>
      <w:r>
        <w:rPr>
          <w:i/>
          <w:iCs/>
        </w:rPr>
        <w:t xml:space="preserve">Dataset</w:t>
      </w:r>
      <w:r>
        <w:t xml:space="preserve">.</w:t>
      </w:r>
      <w:r>
        <w:t xml:space="preserve"> </w:t>
      </w:r>
      <w:hyperlink r:id="rId172">
        <w:r>
          <w:rPr>
            <w:rStyle w:val="Hyperlink"/>
          </w:rPr>
          <w:t xml:space="preserve">https://doi.org/10.48550/arXiv.2206.04374</w:t>
        </w:r>
      </w:hyperlink>
      <w:r>
        <w:t xml:space="preserve">.</w:t>
      </w:r>
    </w:p>
    <w:bookmarkEnd w:id="173"/>
    <w:bookmarkStart w:id="175" w:name="ref-nvidia2022tensorrt"/>
    <w:p>
      <w:pPr>
        <w:pStyle w:val="Bibliography"/>
      </w:pPr>
      <w:r>
        <w:t xml:space="preserve">NVIDIA Corporation. 2022.</w:t>
      </w:r>
      <w:r>
        <w:t xml:space="preserve"> </w:t>
      </w:r>
      <w:r>
        <w:rPr>
          <w:i/>
          <w:iCs/>
        </w:rPr>
        <w:t xml:space="preserve">NVIDIA TensorRT</w:t>
      </w:r>
      <w:r>
        <w:rPr>
          <w:i/>
          <w:iCs/>
        </w:rPr>
        <w:t xml:space="preserve"> </w:t>
      </w:r>
      <w:r>
        <w:rPr>
          <w:i/>
          <w:iCs/>
        </w:rPr>
        <w:t xml:space="preserve">8.2 Developer Guide</w:t>
      </w:r>
      <w:r>
        <w:t xml:space="preserve">.</w:t>
      </w:r>
      <w:r>
        <w:t xml:space="preserve"> </w:t>
      </w:r>
      <w:hyperlink r:id="rId174">
        <w:r>
          <w:rPr>
            <w:rStyle w:val="Hyperlink"/>
          </w:rPr>
          <w:t xml:space="preserve">Https://docs.nvidia.com/deeplearning/tensorrt/archives/</w:t>
        </w:r>
      </w:hyperlink>
      <w:r>
        <w:t xml:space="preserve">.</w:t>
      </w:r>
    </w:p>
    <w:bookmarkEnd w:id="175"/>
    <w:bookmarkStart w:id="177" w:name="ref-ogrady2019edge"/>
    <w:p>
      <w:pPr>
        <w:pStyle w:val="Bibliography"/>
      </w:pPr>
      <w:r>
        <w:t xml:space="preserve">O’Grady, M. J., D. Langton, and G. M. P. O’Hare. 2019.</w:t>
      </w:r>
      <w:r>
        <w:t xml:space="preserve"> </w:t>
      </w:r>
      <w:r>
        <w:t xml:space="preserve">“Edge Computing: A Tractable Model for Smart Agriculture?”</w:t>
      </w:r>
      <w:r>
        <w:t xml:space="preserve"> </w:t>
      </w:r>
      <w:r>
        <w:rPr>
          <w:i/>
          <w:iCs/>
        </w:rPr>
        <w:t xml:space="preserve">Artificial Intelligence in Agriculture</w:t>
      </w:r>
      <w:r>
        <w:t xml:space="preserve"> </w:t>
      </w:r>
      <w:r>
        <w:t xml:space="preserve">3: 42–51.</w:t>
      </w:r>
      <w:r>
        <w:t xml:space="preserve"> </w:t>
      </w:r>
      <w:hyperlink r:id="rId176">
        <w:r>
          <w:rPr>
            <w:rStyle w:val="Hyperlink"/>
          </w:rPr>
          <w:t xml:space="preserve">https://doi.org/10.1016/j.aiia.2019.12.001</w:t>
        </w:r>
      </w:hyperlink>
      <w:r>
        <w:t xml:space="preserve">.</w:t>
      </w:r>
    </w:p>
    <w:bookmarkEnd w:id="177"/>
    <w:bookmarkStart w:id="178" w:name="ref-oquab2024dinov2"/>
    <w:p>
      <w:pPr>
        <w:pStyle w:val="Bibliography"/>
      </w:pPr>
      <w:r>
        <w:t xml:space="preserve">Oquab, Maxime, Timothée Darcet, Théo Moutakanni, et al.</w:t>
      </w:r>
      <w:r>
        <w:t xml:space="preserve"> 2024.</w:t>
      </w:r>
      <w:r>
        <w:t xml:space="preserve"> </w:t>
      </w:r>
      <w:r>
        <w:rPr>
          <w:i/>
          <w:iCs/>
        </w:rPr>
        <w:t xml:space="preserve">DINOv2</w:t>
      </w:r>
      <w:r>
        <w:rPr>
          <w:i/>
          <w:iCs/>
        </w:rPr>
        <w:t xml:space="preserve">: Learning Robust Visual Features Without Supervision</w:t>
      </w:r>
      <w:r>
        <w:t xml:space="preserve">. Transactions on Machine Learning Research (TMLR).</w:t>
      </w:r>
    </w:p>
    <w:bookmarkEnd w:id="178"/>
    <w:bookmarkStart w:id="179"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 (ICML)</w:t>
      </w:r>
      <w:r>
        <w:t xml:space="preserve">, 8748–63.</w:t>
      </w:r>
    </w:p>
    <w:bookmarkEnd w:id="179"/>
    <w:bookmarkStart w:id="181" w:name="ref-salman2025plantdisease"/>
    <w:p>
      <w:pPr>
        <w:pStyle w:val="Bibliography"/>
      </w:pPr>
      <w:r>
        <w:t xml:space="preserve">Salman, Zafar, Abdullah Muhammad, and Dongil Han. 2025.</w:t>
      </w:r>
      <w:r>
        <w:t xml:space="preserve"> </w:t>
      </w:r>
      <w:r>
        <w:t xml:space="preserve">“Plant Disease Classification in the Wild Using Vision Transformers and Mixture of Experts.”</w:t>
      </w:r>
      <w:r>
        <w:t xml:space="preserve"> </w:t>
      </w:r>
      <w:r>
        <w:rPr>
          <w:i/>
          <w:iCs/>
        </w:rPr>
        <w:t xml:space="preserve">Frontiers in Plant Science</w:t>
      </w:r>
      <w:r>
        <w:t xml:space="preserve"> </w:t>
      </w:r>
      <w:r>
        <w:t xml:space="preserve">16.</w:t>
      </w:r>
      <w:r>
        <w:t xml:space="preserve"> </w:t>
      </w:r>
      <w:hyperlink r:id="rId180">
        <w:r>
          <w:rPr>
            <w:rStyle w:val="Hyperlink"/>
          </w:rPr>
          <w:t xml:space="preserve">https://doi.org/10.3389/fpls.2025.1522985</w:t>
        </w:r>
      </w:hyperlink>
      <w:r>
        <w:t xml:space="preserve">.</w:t>
      </w:r>
    </w:p>
    <w:bookmarkEnd w:id="181"/>
    <w:bookmarkStart w:id="183" w:name="ref-savary2019global"/>
    <w:p>
      <w:pPr>
        <w:pStyle w:val="Bibliography"/>
      </w:pPr>
      <w:r>
        <w:t xml:space="preserve">Savary, Serge, Laetitia Willocquet, Sarah Jane Pethybridge, Paul Esker, Neil McRoberts, and Andy Nelson. 2019.</w:t>
      </w:r>
      <w:r>
        <w:t xml:space="preserve"> </w:t>
      </w:r>
      <w:r>
        <w:t xml:space="preserve">“The Global Burden of Pathogens and Pests on Major Food Crops.”</w:t>
      </w:r>
      <w:r>
        <w:t xml:space="preserve"> </w:t>
      </w:r>
      <w:r>
        <w:rPr>
          <w:i/>
          <w:iCs/>
        </w:rPr>
        <w:t xml:space="preserve">Nature Ecology &amp; Evolution</w:t>
      </w:r>
      <w:r>
        <w:t xml:space="preserve"> </w:t>
      </w:r>
      <w:r>
        <w:t xml:space="preserve">3 (3): 430–39.</w:t>
      </w:r>
      <w:r>
        <w:t xml:space="preserve"> </w:t>
      </w:r>
      <w:hyperlink r:id="rId182">
        <w:r>
          <w:rPr>
            <w:rStyle w:val="Hyperlink"/>
          </w:rPr>
          <w:t xml:space="preserve">https://doi.org/10.1038/s41559-018-0793-y</w:t>
        </w:r>
      </w:hyperlink>
      <w:r>
        <w:t xml:space="preserve">.</w:t>
      </w:r>
    </w:p>
    <w:bookmarkEnd w:id="183"/>
    <w:bookmarkStart w:id="185" w:name="ref-shi2016edge"/>
    <w:p>
      <w:pPr>
        <w:pStyle w:val="Bibliography"/>
      </w:pPr>
      <w:r>
        <w:t xml:space="preserve">Shi, Weisong, Jie Cao, Quan Zhang, Youhuizi Li, and Lanyu Xu. 2016.</w:t>
      </w:r>
      <w:r>
        <w:t xml:space="preserve"> </w:t>
      </w:r>
      <w:r>
        <w:t xml:space="preserve">“Edge Computing: Vision and Challenges.”</w:t>
      </w:r>
      <w:r>
        <w:t xml:space="preserve"> </w:t>
      </w:r>
      <w:r>
        <w:rPr>
          <w:i/>
          <w:iCs/>
        </w:rPr>
        <w:t xml:space="preserve">IEEE Internet of Things Journal</w:t>
      </w:r>
      <w:r>
        <w:t xml:space="preserve"> </w:t>
      </w:r>
      <w:r>
        <w:t xml:space="preserve">3 (5): 637–46.</w:t>
      </w:r>
      <w:r>
        <w:t xml:space="preserve"> </w:t>
      </w:r>
      <w:hyperlink r:id="rId184">
        <w:r>
          <w:rPr>
            <w:rStyle w:val="Hyperlink"/>
          </w:rPr>
          <w:t xml:space="preserve">https://doi.org/10.1109/JIOT.2016.2579198</w:t>
        </w:r>
      </w:hyperlink>
      <w:r>
        <w:t xml:space="preserve">.</w:t>
      </w:r>
    </w:p>
    <w:bookmarkEnd w:id="185"/>
    <w:bookmarkStart w:id="187" w:name="ref-simeoni2025dinov3"/>
    <w:p>
      <w:pPr>
        <w:pStyle w:val="Bibliography"/>
      </w:pPr>
      <w:r>
        <w:t xml:space="preserve">Siméoni, Oriane, Huy V. Vo, Maximilian Seitzer, Federico Baldassarre, Maxime Oquab, et al.</w:t>
      </w:r>
      <w:r>
        <w:t xml:space="preserve"> 2026.</w:t>
      </w:r>
      <w:r>
        <w:t xml:space="preserve"> </w:t>
      </w:r>
      <w:r>
        <w:rPr>
          <w:i/>
          <w:iCs/>
        </w:rPr>
        <w:t xml:space="preserve">DINOv3</w:t>
      </w:r>
      <w:r>
        <w:rPr>
          <w:i/>
          <w:iCs/>
        </w:rPr>
        <w:t xml:space="preserve">: A Versatile Vision Foundation Model</w:t>
      </w:r>
      <w:r>
        <w:t xml:space="preserve">. Transactions on Machine Learning Research (TMLR).</w:t>
      </w:r>
      <w:r>
        <w:t xml:space="preserve"> </w:t>
      </w:r>
      <w:hyperlink r:id="rId186">
        <w:r>
          <w:rPr>
            <w:rStyle w:val="Hyperlink"/>
          </w:rPr>
          <w:t xml:space="preserve">https://openreview.net/forum?id=2NlGyqNjns</w:t>
        </w:r>
      </w:hyperlink>
      <w:r>
        <w:t xml:space="preserve">.</w:t>
      </w:r>
    </w:p>
    <w:bookmarkEnd w:id="187"/>
    <w:bookmarkStart w:id="189" w:name="ref-singh2020plantdoc"/>
    <w:p>
      <w:pPr>
        <w:pStyle w:val="Bibliography"/>
      </w:pPr>
      <w:r>
        <w:t xml:space="preserve">Singh, Davinder, Naman Jain, Pranjali Jain, Pratik Kayal, Sudhakar Kumawat, and Nipun Batra. 2020.</w:t>
      </w:r>
      <w:r>
        <w:t xml:space="preserve"> </w:t>
      </w:r>
      <w:r>
        <w:t xml:space="preserve">“</w:t>
      </w:r>
      <w:r>
        <w:t xml:space="preserve">PlantDoc</w:t>
      </w:r>
      <w:r>
        <w:t xml:space="preserve">: A Dataset for Visual Plant Disease Detection.”</w:t>
      </w:r>
      <w:r>
        <w:t xml:space="preserve"> </w:t>
      </w:r>
      <w:r>
        <w:rPr>
          <w:i/>
          <w:iCs/>
        </w:rPr>
        <w:t xml:space="preserve">Proceedings of the 7th ACM IKDD CoDS and 25th COMAD</w:t>
      </w:r>
      <w:r>
        <w:t xml:space="preserve">, 249–53.</w:t>
      </w:r>
      <w:r>
        <w:t xml:space="preserve"> </w:t>
      </w:r>
      <w:hyperlink r:id="rId188">
        <w:r>
          <w:rPr>
            <w:rStyle w:val="Hyperlink"/>
          </w:rPr>
          <w:t xml:space="preserve">https://doi.org/10.1145/3371158.3371196</w:t>
        </w:r>
      </w:hyperlink>
      <w:r>
        <w:t xml:space="preserve">.</w:t>
      </w:r>
    </w:p>
    <w:bookmarkEnd w:id="189"/>
    <w:bookmarkStart w:id="190" w:name="ref-tan2019efficientnet"/>
    <w:p>
      <w:pPr>
        <w:pStyle w:val="Bibliography"/>
      </w:pPr>
      <w:r>
        <w:t xml:space="preserve">Tan, Mingxing, and Quoc V. Le. 2019.</w:t>
      </w:r>
      <w:r>
        <w:t xml:space="preserve"> </w:t>
      </w:r>
      <w:r>
        <w:t xml:space="preserve">“</w:t>
      </w:r>
      <w:r>
        <w:t xml:space="preserve">EfficientNet</w:t>
      </w:r>
      <w:r>
        <w:t xml:space="preserve">: Rethinking Model Scaling for Convolutional Neural Networks.”</w:t>
      </w:r>
      <w:r>
        <w:t xml:space="preserve"> </w:t>
      </w:r>
      <w:r>
        <w:rPr>
          <w:i/>
          <w:iCs/>
        </w:rPr>
        <w:t xml:space="preserve">International Conference on Machine Learning (ICML)</w:t>
      </w:r>
      <w:r>
        <w:t xml:space="preserve">, 6105–14.</w:t>
      </w:r>
    </w:p>
    <w:bookmarkEnd w:id="190"/>
    <w:bookmarkStart w:id="192" w:name="ref-teerapittayanon2016branchynet"/>
    <w:p>
      <w:pPr>
        <w:pStyle w:val="Bibliography"/>
      </w:pPr>
      <w:r>
        <w:t xml:space="preserve">Teerapittayanon, Surat, Bradley McDanel, and H. T. Kung. 2016.</w:t>
      </w:r>
      <w:r>
        <w:t xml:space="preserve"> </w:t>
      </w:r>
      <w:r>
        <w:t xml:space="preserve">“</w:t>
      </w:r>
      <w:r>
        <w:t xml:space="preserve">BranchyNet</w:t>
      </w:r>
      <w:r>
        <w:t xml:space="preserve">: Fast Inference via Early Exiting from Deep Neural Networks.”</w:t>
      </w:r>
      <w:r>
        <w:t xml:space="preserve"> </w:t>
      </w:r>
      <w:r>
        <w:rPr>
          <w:i/>
          <w:iCs/>
        </w:rPr>
        <w:t xml:space="preserve">23rd International Conference on Pattern Recognition (ICPR)</w:t>
      </w:r>
      <w:r>
        <w:t xml:space="preserve">, 2464–69.</w:t>
      </w:r>
      <w:r>
        <w:t xml:space="preserve"> </w:t>
      </w:r>
      <w:hyperlink r:id="rId191">
        <w:r>
          <w:rPr>
            <w:rStyle w:val="Hyperlink"/>
          </w:rPr>
          <w:t xml:space="preserve">https://doi.org/10.1109/ICPR.2016.7900006</w:t>
        </w:r>
      </w:hyperlink>
      <w:r>
        <w:t xml:space="preserve">.</w:t>
      </w:r>
    </w:p>
    <w:bookmarkEnd w:id="192"/>
    <w:bookmarkStart w:id="194" w:name="ref-teerapittayanon2017ddnn"/>
    <w:p>
      <w:pPr>
        <w:pStyle w:val="Bibliography"/>
      </w:pPr>
      <w:r>
        <w:t xml:space="preserve">Teerapittayanon, Surat, Bradley McDanel, and H. T. Kung. 2017.</w:t>
      </w:r>
      <w:r>
        <w:t xml:space="preserve"> </w:t>
      </w:r>
      <w:r>
        <w:t xml:space="preserve">“Distributed Deep Neural Networks over the Cloud, the Edge and End Devices.”</w:t>
      </w:r>
      <w:r>
        <w:t xml:space="preserve"> </w:t>
      </w:r>
      <w:r>
        <w:rPr>
          <w:i/>
          <w:iCs/>
        </w:rPr>
        <w:t xml:space="preserve">IEEE 37th International Conference on Distributed Computing Systems (ICDCS)</w:t>
      </w:r>
      <w:r>
        <w:t xml:space="preserve">, 328–39.</w:t>
      </w:r>
      <w:r>
        <w:t xml:space="preserve"> </w:t>
      </w:r>
      <w:hyperlink r:id="rId193">
        <w:r>
          <w:rPr>
            <w:rStyle w:val="Hyperlink"/>
          </w:rPr>
          <w:t xml:space="preserve">https://doi.org/10.1109/ICDCS.2017.226</w:t>
        </w:r>
      </w:hyperlink>
      <w:r>
        <w:t xml:space="preserve">.</w:t>
      </w:r>
    </w:p>
    <w:bookmarkEnd w:id="194"/>
    <w:bookmarkStart w:id="196" w:name="ref-viola2001cascade"/>
    <w:p>
      <w:pPr>
        <w:pStyle w:val="Bibliography"/>
      </w:pPr>
      <w:r>
        <w:t xml:space="preserve">Viola, Paul, and Michael Jones. 2001.</w:t>
      </w:r>
      <w:r>
        <w:t xml:space="preserve"> </w:t>
      </w:r>
      <w:r>
        <w:t xml:space="preserve">“Rapid Object Detection Using a Boosted Cascade of Simple Features.”</w:t>
      </w:r>
      <w:r>
        <w:t xml:space="preserve"> </w:t>
      </w:r>
      <w:r>
        <w:rPr>
          <w:i/>
          <w:iCs/>
        </w:rPr>
        <w:t xml:space="preserve">Proceedings of the IEEE Computer Society Conference on Computer Vision and Pattern Recognition (CVPR)</w:t>
      </w:r>
      <w:r>
        <w:t xml:space="preserve"> </w:t>
      </w:r>
      <w:r>
        <w:t xml:space="preserve">1: I-511-I-518.</w:t>
      </w:r>
      <w:r>
        <w:t xml:space="preserve"> </w:t>
      </w:r>
      <w:hyperlink r:id="rId195">
        <w:r>
          <w:rPr>
            <w:rStyle w:val="Hyperlink"/>
          </w:rPr>
          <w:t xml:space="preserve">https://doi.org/10.1109/CVPR.2001.990517</w:t>
        </w:r>
      </w:hyperlink>
      <w:r>
        <w:t xml:space="preserve">.</w:t>
      </w:r>
    </w:p>
    <w:bookmarkEnd w:id="196"/>
    <w:bookmarkStart w:id="197" w:name="ref-wang2018idk"/>
    <w:p>
      <w:pPr>
        <w:pStyle w:val="Bibliography"/>
      </w:pPr>
      <w:r>
        <w:t xml:space="preserve">Wang, Xin, Yujia Luo, Daniel Crankshaw, Alexey Tumanov, Fisher Yu, and Joseph E. Gonzalez. 2018.</w:t>
      </w:r>
      <w:r>
        <w:t xml:space="preserve"> </w:t>
      </w:r>
      <w:r>
        <w:t xml:space="preserve">“</w:t>
      </w:r>
      <w:r>
        <w:t xml:space="preserve">IDK</w:t>
      </w:r>
      <w:r>
        <w:t xml:space="preserve"> </w:t>
      </w:r>
      <w:r>
        <w:t xml:space="preserve">Cascades: Fast Deep Learning by Learning Not to Overthink.”</w:t>
      </w:r>
      <w:r>
        <w:t xml:space="preserve"> </w:t>
      </w:r>
      <w:r>
        <w:rPr>
          <w:i/>
          <w:iCs/>
        </w:rPr>
        <w:t xml:space="preserve">Proceedings of the Conference on Uncertainty in Artificial Intelligence (UAI)</w:t>
      </w:r>
      <w:r>
        <w:t xml:space="preserve">.</w:t>
      </w:r>
    </w:p>
    <w:bookmarkEnd w:id="197"/>
    <w:bookmarkStart w:id="199" w:name="ref-wei2024mvpdr"/>
    <w:p>
      <w:pPr>
        <w:pStyle w:val="Bibliography"/>
      </w:pPr>
      <w:r>
        <w:t xml:space="preserve">Wei, Tianqi, Zhi Chen, Zi Huang, and Xin Yu. 2024a.</w:t>
      </w:r>
      <w:r>
        <w:t xml:space="preserve"> </w:t>
      </w:r>
      <w:r>
        <w:t xml:space="preserve">“Benchmarking in-the-Wild Multimodal Disease Recognition and a Versatile Baseline.”</w:t>
      </w:r>
      <w:r>
        <w:t xml:space="preserve"> </w:t>
      </w:r>
      <w:r>
        <w:rPr>
          <w:i/>
          <w:iCs/>
        </w:rPr>
        <w:t xml:space="preserve">Proceedings of the 32nd ACM International Conference on Multimedia (MM ’24)</w:t>
      </w:r>
      <w:r>
        <w:t xml:space="preserve">, 1593–601.</w:t>
      </w:r>
      <w:r>
        <w:t xml:space="preserve"> </w:t>
      </w:r>
      <w:hyperlink r:id="rId198">
        <w:r>
          <w:rPr>
            <w:rStyle w:val="Hyperlink"/>
          </w:rPr>
          <w:t xml:space="preserve">https://doi.org/10.1145/3664647.3680599</w:t>
        </w:r>
      </w:hyperlink>
      <w:r>
        <w:t xml:space="preserve">.</w:t>
      </w:r>
    </w:p>
    <w:bookmarkEnd w:id="199"/>
    <w:bookmarkStart w:id="201" w:name="ref-wei2024plantwild"/>
    <w:p>
      <w:pPr>
        <w:pStyle w:val="Bibliography"/>
      </w:pPr>
      <w:r>
        <w:t xml:space="preserve">Wei, Tianqi, Zhi Chen, Zi Huang, and Xin Yu. 2024b.</w:t>
      </w:r>
      <w:r>
        <w:t xml:space="preserve"> </w:t>
      </w:r>
      <w:r>
        <w:t xml:space="preserve">“Plant Disease Recognition in the Wild.”</w:t>
      </w:r>
      <w:r>
        <w:t xml:space="preserve"> </w:t>
      </w:r>
      <w:r>
        <w:rPr>
          <w:i/>
          <w:iCs/>
        </w:rPr>
        <w:t xml:space="preserve">Proceedings of the 32nd ACM International Conference on Multimedia (MM ’24)</w:t>
      </w:r>
      <w:r>
        <w:t xml:space="preserve">.</w:t>
      </w:r>
      <w:r>
        <w:t xml:space="preserve"> </w:t>
      </w:r>
      <w:hyperlink r:id="rId200">
        <w:r>
          <w:rPr>
            <w:rStyle w:val="Hyperlink"/>
          </w:rPr>
          <w:t xml:space="preserve">https://doi.org/10.1145/3664647.3681614</w:t>
        </w:r>
      </w:hyperlink>
      <w:r>
        <w:t xml:space="preserve">.</w:t>
      </w:r>
    </w:p>
    <w:bookmarkEnd w:id="201"/>
    <w:bookmarkStart w:id="203" w:name="ref-wolfert2017bigdata"/>
    <w:p>
      <w:pPr>
        <w:pStyle w:val="Bibliography"/>
      </w:pPr>
      <w:r>
        <w:t xml:space="preserve">Wolfert, Sjaak, Lan Ge, Cor Verdouw, and Marc-Jeroen Bogaardt. 2017.</w:t>
      </w:r>
      <w:r>
        <w:t xml:space="preserve"> </w:t>
      </w:r>
      <w:r>
        <w:t xml:space="preserve">“Big Data in Smart Farming – a Review.”</w:t>
      </w:r>
      <w:r>
        <w:t xml:space="preserve"> </w:t>
      </w:r>
      <w:r>
        <w:rPr>
          <w:i/>
          <w:iCs/>
        </w:rPr>
        <w:t xml:space="preserve">Agricultural Systems</w:t>
      </w:r>
      <w:r>
        <w:t xml:space="preserve"> </w:t>
      </w:r>
      <w:r>
        <w:t xml:space="preserve">153: 69–80.</w:t>
      </w:r>
      <w:r>
        <w:t xml:space="preserve"> </w:t>
      </w:r>
      <w:hyperlink r:id="rId202">
        <w:r>
          <w:rPr>
            <w:rStyle w:val="Hyperlink"/>
          </w:rPr>
          <w:t xml:space="preserve">https://doi.org/10.1016/j.agsy.2017.01.023</w:t>
        </w:r>
      </w:hyperlink>
      <w:r>
        <w:t xml:space="preserve">.</w:t>
      </w:r>
    </w:p>
    <w:bookmarkEnd w:id="203"/>
    <w:bookmarkStart w:id="205" w:name="ref-wu2023fromlaboratoryto"/>
    <w:p>
      <w:pPr>
        <w:pStyle w:val="Bibliography"/>
      </w:pPr>
      <w:r>
        <w:t xml:space="preserve">Wu, Xinlu, Xijian Fan, Peng Luo, Sruti Das Choudhury, Tardi Tjahjadi, and Chunhua Hu. 2023.</w:t>
      </w:r>
      <w:r>
        <w:t xml:space="preserve"> </w:t>
      </w:r>
      <w:r>
        <w:t xml:space="preserve">“From Laboratory to Field: Unsupervised Domain Adaptation for Plant Disease Recognition in the Wild.”</w:t>
      </w:r>
      <w:r>
        <w:t xml:space="preserve"> </w:t>
      </w:r>
      <w:r>
        <w:rPr>
          <w:i/>
          <w:iCs/>
        </w:rPr>
        <w:t xml:space="preserve">Plant Phenomics</w:t>
      </w:r>
      <w:r>
        <w:t xml:space="preserve"> </w:t>
      </w:r>
      <w:r>
        <w:t xml:space="preserve">5: 0038.</w:t>
      </w:r>
      <w:r>
        <w:t xml:space="preserve"> </w:t>
      </w:r>
      <w:hyperlink r:id="rId204">
        <w:r>
          <w:rPr>
            <w:rStyle w:val="Hyperlink"/>
          </w:rPr>
          <w:t xml:space="preserve">https://doi.org/10.34133/plantphenomics.0038</w:t>
        </w:r>
      </w:hyperlink>
      <w:r>
        <w:t xml:space="preserve">.</w:t>
      </w:r>
    </w:p>
    <w:bookmarkEnd w:id="205"/>
    <w:bookmarkEnd w:id="206"/>
    <w:bookmarkEnd w:id="207"/>
    <w:bookmarkStart w:id="209"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08" w:name="tab:adaptations"/>
    <w:p>
      <w:pPr>
        <w:pStyle w:val="TableCaption"/>
      </w:pPr>
      <w:r>
        <w:t xml:space="preserve">Table A.1. Software adaptations, by node.</w:t>
      </w:r>
    </w:p>
    <w:tbl>
      <w:tblPr>
        <w:tblStyle w:val="Table"/>
        <w:tblW w:type="pct" w:w="4992"/>
        <w:tblLayout w:type="fixed"/>
        <w:tblLook w:firstRow="1" w:lastRow="0" w:firstColumn="0" w:lastColumn="0" w:noHBand="0" w:noVBand="0" w:val="0020"/>
        <w:tblCaption w:val="Table A.1. Software adaptations, by node."/>
      </w:tblPr>
      <w:tblGrid>
        <w:gridCol w:w="425"/>
        <w:gridCol w:w="3322"/>
        <w:gridCol w:w="4159"/>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Reference dependency pins (PyTorch 2.2, NumPy 1.26) have no Python 3.13 wheels for ARM64.</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NumPy/Pillow re-implementation of preprocessing (bit-identical) and of the QualityGate head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even with one shared activation buffer.</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decodes and resamples JPEGs differently from Pillow 12. Given identical input tensors the engines match the reference (cosine 0.99999–1.00000, 24/24 top-1). Not correctable on JetPack 4; documented and measured over the replay.</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replayed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A second, improved configuration (Section 6.7) had to run on the same devices without losing the first.</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bl>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174" Target="https://docs.nvidia.com/deeplearning/tensorrt/archives/" TargetMode="External" /><Relationship Type="http://schemas.openxmlformats.org/officeDocument/2006/relationships/hyperlink" Id="rId202" Target="https://doi.org/10.1016/j.agsy.2017.01.023" TargetMode="External" /><Relationship Type="http://schemas.openxmlformats.org/officeDocument/2006/relationships/hyperlink" Id="rId176" Target="https://doi.org/10.1016/j.aiia.2019.12.001" TargetMode="External" /><Relationship Type="http://schemas.openxmlformats.org/officeDocument/2006/relationships/hyperlink" Id="rId145" Target="https://doi.org/10.1016/j.compag.2018.01.009" TargetMode="External" /><Relationship Type="http://schemas.openxmlformats.org/officeDocument/2006/relationships/hyperlink" Id="rId161"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8" Target="https://doi.org/10.1016/j.plaphe.2025.100024" TargetMode="External" /><Relationship Type="http://schemas.openxmlformats.org/officeDocument/2006/relationships/hyperlink" Id="rId182"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49" Target="https://doi.org/10.1109/ACCESS.2025.3595390" TargetMode="External" /><Relationship Type="http://schemas.openxmlformats.org/officeDocument/2006/relationships/hyperlink" Id="rId195" Target="https://doi.org/10.1109/CVPR.2001.990517" TargetMode="External" /><Relationship Type="http://schemas.openxmlformats.org/officeDocument/2006/relationships/hyperlink" Id="rId165" Target="https://doi.org/10.1109/ICCV.2017.324" TargetMode="External" /><Relationship Type="http://schemas.openxmlformats.org/officeDocument/2006/relationships/hyperlink" Id="rId154" Target="https://doi.org/10.1109/ICCV.2019.00140" TargetMode="External" /><Relationship Type="http://schemas.openxmlformats.org/officeDocument/2006/relationships/hyperlink" Id="rId193" Target="https://doi.org/10.1109/ICDCS.2017.226" TargetMode="External" /><Relationship Type="http://schemas.openxmlformats.org/officeDocument/2006/relationships/hyperlink" Id="rId191" Target="https://doi.org/10.1109/ICPR.2016.7900006" TargetMode="External" /><Relationship Type="http://schemas.openxmlformats.org/officeDocument/2006/relationships/hyperlink" Id="rId184"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3" Target="https://doi.org/10.1145/3037697.3037698" TargetMode="External" /><Relationship Type="http://schemas.openxmlformats.org/officeDocument/2006/relationships/hyperlink" Id="rId188" Target="https://doi.org/10.1145/3371158.3371196" TargetMode="External" /><Relationship Type="http://schemas.openxmlformats.org/officeDocument/2006/relationships/hyperlink" Id="rId168" Target="https://doi.org/10.1145/3527155" TargetMode="External" /><Relationship Type="http://schemas.openxmlformats.org/officeDocument/2006/relationships/hyperlink" Id="rId198" Target="https://doi.org/10.1145/3664647.3680599" TargetMode="External" /><Relationship Type="http://schemas.openxmlformats.org/officeDocument/2006/relationships/hyperlink" Id="rId200"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0" Target="https://doi.org/10.3389/fpls.2016.01419" TargetMode="External" /><Relationship Type="http://schemas.openxmlformats.org/officeDocument/2006/relationships/hyperlink" Id="rId180" Target="https://doi.org/10.3389/fpls.2025.1522985" TargetMode="External" /><Relationship Type="http://schemas.openxmlformats.org/officeDocument/2006/relationships/hyperlink" Id="rId204" Target="https://doi.org/10.34133/plantphenomics.0038" TargetMode="External" /><Relationship Type="http://schemas.openxmlformats.org/officeDocument/2006/relationships/hyperlink" Id="rId152" Target="https://doi.org/10.48550/arXiv.1503.02531" TargetMode="External" /><Relationship Type="http://schemas.openxmlformats.org/officeDocument/2006/relationships/hyperlink" Id="rId156" Target="https://doi.org/10.48550/arXiv.1511.08060" TargetMode="External" /><Relationship Type="http://schemas.openxmlformats.org/officeDocument/2006/relationships/hyperlink" Id="rId172"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6"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174" Target="https://docs.nvidia.com/deeplearning/tensorrt/archives/" TargetMode="External" /><Relationship Type="http://schemas.openxmlformats.org/officeDocument/2006/relationships/hyperlink" Id="rId202" Target="https://doi.org/10.1016/j.agsy.2017.01.023" TargetMode="External" /><Relationship Type="http://schemas.openxmlformats.org/officeDocument/2006/relationships/hyperlink" Id="rId176" Target="https://doi.org/10.1016/j.aiia.2019.12.001" TargetMode="External" /><Relationship Type="http://schemas.openxmlformats.org/officeDocument/2006/relationships/hyperlink" Id="rId145" Target="https://doi.org/10.1016/j.compag.2018.01.009" TargetMode="External" /><Relationship Type="http://schemas.openxmlformats.org/officeDocument/2006/relationships/hyperlink" Id="rId161"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8" Target="https://doi.org/10.1016/j.plaphe.2025.100024" TargetMode="External" /><Relationship Type="http://schemas.openxmlformats.org/officeDocument/2006/relationships/hyperlink" Id="rId182"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49" Target="https://doi.org/10.1109/ACCESS.2025.3595390" TargetMode="External" /><Relationship Type="http://schemas.openxmlformats.org/officeDocument/2006/relationships/hyperlink" Id="rId195" Target="https://doi.org/10.1109/CVPR.2001.990517" TargetMode="External" /><Relationship Type="http://schemas.openxmlformats.org/officeDocument/2006/relationships/hyperlink" Id="rId165" Target="https://doi.org/10.1109/ICCV.2017.324" TargetMode="External" /><Relationship Type="http://schemas.openxmlformats.org/officeDocument/2006/relationships/hyperlink" Id="rId154" Target="https://doi.org/10.1109/ICCV.2019.00140" TargetMode="External" /><Relationship Type="http://schemas.openxmlformats.org/officeDocument/2006/relationships/hyperlink" Id="rId193" Target="https://doi.org/10.1109/ICDCS.2017.226" TargetMode="External" /><Relationship Type="http://schemas.openxmlformats.org/officeDocument/2006/relationships/hyperlink" Id="rId191" Target="https://doi.org/10.1109/ICPR.2016.7900006" TargetMode="External" /><Relationship Type="http://schemas.openxmlformats.org/officeDocument/2006/relationships/hyperlink" Id="rId184"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3" Target="https://doi.org/10.1145/3037697.3037698" TargetMode="External" /><Relationship Type="http://schemas.openxmlformats.org/officeDocument/2006/relationships/hyperlink" Id="rId188" Target="https://doi.org/10.1145/3371158.3371196" TargetMode="External" /><Relationship Type="http://schemas.openxmlformats.org/officeDocument/2006/relationships/hyperlink" Id="rId168" Target="https://doi.org/10.1145/3527155" TargetMode="External" /><Relationship Type="http://schemas.openxmlformats.org/officeDocument/2006/relationships/hyperlink" Id="rId198" Target="https://doi.org/10.1145/3664647.3680599" TargetMode="External" /><Relationship Type="http://schemas.openxmlformats.org/officeDocument/2006/relationships/hyperlink" Id="rId200"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0" Target="https://doi.org/10.3389/fpls.2016.01419" TargetMode="External" /><Relationship Type="http://schemas.openxmlformats.org/officeDocument/2006/relationships/hyperlink" Id="rId180" Target="https://doi.org/10.3389/fpls.2025.1522985" TargetMode="External" /><Relationship Type="http://schemas.openxmlformats.org/officeDocument/2006/relationships/hyperlink" Id="rId204" Target="https://doi.org/10.34133/plantphenomics.0038" TargetMode="External" /><Relationship Type="http://schemas.openxmlformats.org/officeDocument/2006/relationships/hyperlink" Id="rId152" Target="https://doi.org/10.48550/arXiv.1503.02531" TargetMode="External" /><Relationship Type="http://schemas.openxmlformats.org/officeDocument/2006/relationships/hyperlink" Id="rId156" Target="https://doi.org/10.48550/arXiv.1511.08060" TargetMode="External" /><Relationship Type="http://schemas.openxmlformats.org/officeDocument/2006/relationships/hyperlink" Id="rId172"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6"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2026-10-12T15:44:02Z</dcterms:created>
  <dcterms:modified xsi:type="dcterms:W3CDTF">2026-10-12T15:44:02Z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link-citations">
    <vt:lpwstr>True</vt:lpwstr>
  </property>
</Properties>
</file>