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8714"/>
        <w:spacing w:before="73" w:line="175" w:lineRule="exact"/>
        <w:rPr>
          <w:sz w:val="17"/>
          <w:szCs w:val="17"/>
        </w:rPr>
      </w:pPr>
      <w:r>
        <w:rPr>
          <w:sz w:val="17"/>
          <w:szCs w:val="17"/>
          <w:color w:val="306566"/>
          <w:spacing w:val="11"/>
          <w:position w:val="-1"/>
        </w:rPr>
        <w:t>理论与实践</w:t>
      </w:r>
    </w:p>
    <w:p>
      <w:pPr>
        <w:ind w:left="8723"/>
        <w:spacing w:before="30" w:line="18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6566"/>
          <w:spacing w:val="1"/>
        </w:rPr>
        <w:t>THINK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TANK:</w:t>
      </w:r>
      <w:r>
        <w:rPr>
          <w:rFonts w:ascii="Arial" w:hAnsi="Arial" w:eastAsia="Arial" w:cs="Arial"/>
          <w:sz w:val="5"/>
          <w:szCs w:val="5"/>
          <w:color w:val="306566"/>
          <w:spacing w:val="8"/>
          <w:w w:val="104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THEORY</w:t>
      </w:r>
      <w:r>
        <w:rPr>
          <w:rFonts w:ascii="Arial" w:hAnsi="Arial" w:eastAsia="Arial" w:cs="Arial"/>
          <w:sz w:val="5"/>
          <w:szCs w:val="5"/>
          <w:color w:val="306566"/>
          <w:spacing w:val="4"/>
          <w:w w:val="106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&amp;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PRACTICE</w:t>
      </w:r>
    </w:p>
    <w:p>
      <w:pPr>
        <w:ind w:left="6723"/>
        <w:spacing w:before="60" w:line="262" w:lineRule="exact"/>
        <w:rPr>
          <w:rFonts w:ascii="SimHei" w:hAnsi="SimHei" w:eastAsia="SimHei" w:cs="SimHei"/>
          <w:sz w:val="20"/>
          <w:szCs w:val="20"/>
        </w:rPr>
      </w:pPr>
      <w:r>
        <w:pict>
          <v:shape id="_x0000_s2" style="position:absolute;margin-left:6.1328pt;margin-top:18.377pt;mso-position-vertical-relative:text;mso-position-horizontal-relative:text;width:481.9pt;height:0.6pt;z-index:251661312;" fillcolor="#000000" filled="true" stroked="false" coordsize="9637,12" coordorigin="0,0" path="m9637,11l0,11l0,0l9637,0e"/>
        </w:pic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4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卷</w:t>
      </w:r>
      <w:r>
        <w:rPr>
          <w:rFonts w:ascii="SimHei" w:hAnsi="SimHei" w:eastAsia="SimHei" w:cs="SimHei"/>
          <w:sz w:val="20"/>
          <w:szCs w:val="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期</w:t>
      </w:r>
      <w:r>
        <w:rPr>
          <w:rFonts w:ascii="SimHei" w:hAnsi="SimHei" w:eastAsia="SimHei" w:cs="SimHei"/>
          <w:sz w:val="20"/>
          <w:szCs w:val="20"/>
          <w:spacing w:val="1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年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月</w:t>
      </w:r>
    </w:p>
    <w:p>
      <w:pPr>
        <w:ind w:firstLine="8262"/>
        <w:spacing w:before="56" w:line="428" w:lineRule="exact"/>
        <w:rPr/>
      </w:pPr>
      <w:r>
        <w:rPr>
          <w:position w:val="-8"/>
        </w:rPr>
        <w:pict>
          <v:shape id="_x0000_s4" style="mso-position-vertical-relative:line;mso-position-horizontal-relative:char;width:74.95pt;height:21.45pt;" fillcolor="#30656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68" w:line="225" w:lineRule="auto"/>
                    <w:rPr>
                      <w:rFonts w:ascii="SimHei" w:hAnsi="SimHei" w:eastAsia="SimHei" w:cs="SimHei"/>
                      <w:sz w:val="27"/>
                      <w:szCs w:val="27"/>
                    </w:rPr>
                  </w:pPr>
                  <w:r>
                    <w:rPr>
                      <w:rFonts w:ascii="SimHei" w:hAnsi="SimHei" w:eastAsia="SimHei" w:cs="SimHei"/>
                      <w:sz w:val="27"/>
                      <w:szCs w:val="27"/>
                      <w:color w:val="FFFFFF"/>
                      <w:spacing w:val="5"/>
                    </w:rPr>
                    <w:t>实践探索</w:t>
                  </w:r>
                </w:p>
              </w:txbxContent>
            </v:textbox>
          </v:shape>
        </w:pict>
      </w:r>
    </w:p>
    <w:p>
      <w:pPr>
        <w:pStyle w:val="BodyText"/>
        <w:ind w:left="128"/>
        <w:spacing w:before="353" w:line="187" w:lineRule="auto"/>
        <w:outlineLvl w:val="0"/>
        <w:rPr>
          <w:sz w:val="43"/>
          <w:szCs w:val="43"/>
        </w:rPr>
      </w:pPr>
      <w:r>
        <w:rPr>
          <w:sz w:val="43"/>
          <w:szCs w:val="43"/>
          <w:color w:val="306566"/>
          <w:spacing w:val="7"/>
        </w:rPr>
        <w:t>新时代高校智库竞争力建设的现状困境与</w:t>
      </w:r>
    </w:p>
    <w:p>
      <w:pPr>
        <w:pStyle w:val="BodyText"/>
        <w:ind w:left="130"/>
        <w:spacing w:before="85" w:line="18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sz w:val="43"/>
          <w:szCs w:val="43"/>
          <w:color w:val="306566"/>
          <w:spacing w:val="4"/>
        </w:rPr>
        <w:t>实践启示</w:t>
      </w:r>
      <w:r>
        <w:rPr>
          <w:sz w:val="43"/>
          <w:szCs w:val="43"/>
          <w:color w:val="306566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color w:val="306566"/>
          <w:spacing w:val="4"/>
        </w:rPr>
        <w:t>*</w:t>
      </w:r>
    </w:p>
    <w:p>
      <w:pPr>
        <w:ind w:left="140"/>
        <w:spacing w:before="106" w:line="283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SimHei" w:hAnsi="SimHei" w:eastAsia="SimHei" w:cs="SimHei"/>
          <w:sz w:val="21"/>
          <w:szCs w:val="21"/>
          <w:color w:val="306566"/>
          <w:spacing w:val="-2"/>
          <w:position w:val="1"/>
        </w:rPr>
        <w:t>■</w:t>
      </w:r>
      <w:r>
        <w:rPr>
          <w:rFonts w:ascii="SimHei" w:hAnsi="SimHei" w:eastAsia="SimHei" w:cs="SimHei"/>
          <w:sz w:val="21"/>
          <w:szCs w:val="21"/>
          <w:color w:val="306566"/>
          <w:spacing w:val="-2"/>
          <w:position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  <w:position w:val="1"/>
        </w:rPr>
        <w:t>徐清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  <w:position w:val="9"/>
        </w:rPr>
        <w:t>1       </w:t>
      </w:r>
      <w:r>
        <w:rPr>
          <w:rFonts w:ascii="SimHei" w:hAnsi="SimHei" w:eastAsia="SimHei" w:cs="SimHei"/>
          <w:sz w:val="21"/>
          <w:szCs w:val="21"/>
          <w:spacing w:val="-2"/>
          <w:position w:val="1"/>
        </w:rPr>
        <w:t>丁炫凯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  <w:position w:val="9"/>
        </w:rPr>
        <w:t>2</w:t>
      </w:r>
    </w:p>
    <w:p>
      <w:pPr>
        <w:pStyle w:val="BodyText"/>
        <w:ind w:left="139"/>
        <w:spacing w:before="150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3"/>
          <w:szCs w:val="13"/>
          <w:position w:val="9"/>
        </w:rPr>
        <w:t>1  </w:t>
      </w:r>
      <w:r>
        <w:rPr/>
        <w:t>盐城师范学院江苏沿海发展研究院  盐城</w:t>
      </w:r>
      <w:r>
        <w:rPr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2240</w:t>
      </w:r>
      <w:r>
        <w:rPr>
          <w:rFonts w:ascii="Times New Roman" w:hAnsi="Times New Roman" w:eastAsia="Times New Roman" w:cs="Times New Roman"/>
          <w:spacing w:val="-1"/>
        </w:rPr>
        <w:t>07</w:t>
      </w:r>
    </w:p>
    <w:p>
      <w:pPr>
        <w:pStyle w:val="BodyText"/>
        <w:ind w:left="125"/>
        <w:spacing w:line="366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  <w:position w:val="13"/>
        </w:rPr>
        <w:t xml:space="preserve">  </w:t>
      </w:r>
      <w:r>
        <w:rPr>
          <w:position w:val="4"/>
        </w:rPr>
        <w:t>盐城师范学院高等教育研究所  盐城</w:t>
      </w:r>
      <w:r>
        <w:rPr>
          <w:spacing w:val="9"/>
          <w:position w:val="4"/>
        </w:rPr>
        <w:t xml:space="preserve">  </w:t>
      </w:r>
      <w:r>
        <w:rPr>
          <w:rFonts w:ascii="Times New Roman" w:hAnsi="Times New Roman" w:eastAsia="Times New Roman" w:cs="Times New Roman"/>
          <w:position w:val="4"/>
        </w:rPr>
        <w:t>224007</w:t>
      </w:r>
    </w:p>
    <w:p>
      <w:pPr>
        <w:ind w:firstLine="122"/>
        <w:spacing w:before="235" w:line="343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100496</wp:posOffset>
            </wp:positionH>
            <wp:positionV relativeFrom="paragraph">
              <wp:posOffset>179834</wp:posOffset>
            </wp:positionV>
            <wp:extent cx="202795" cy="2027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795" cy="20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16052" cy="21786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52" cy="2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5" w:right="199" w:firstLine="428"/>
        <w:spacing w:before="1" w:line="220" w:lineRule="auto"/>
        <w:jc w:val="both"/>
        <w:rPr/>
      </w:pPr>
      <w:r>
        <w:pict>
          <v:group id="_x0000_s6" style="position:absolute;margin-left:6.1328pt;margin-top:-17.042pt;mso-position-vertical-relative:text;mso-position-horizontal-relative:text;width:484.75pt;height:193.7pt;z-index:-251657216;" filled="false" stroked="false" coordsize="9695,3873" coordorigin="0,0">
            <v:shape id="_x0000_s8" style="position:absolute;left:0;top:0;width:9632;height:3817;" fillcolor="#DCDDDF" filled="true" stroked="false" coordsize="9632,3817" coordorigin="0,0" path="m340,0l9632,0l9632,3817l340,3817em0,351l9632,351l9632,3817l0,3817e"/>
            <v:shape id="_x0000_s10" style="position:absolute;left:0;top:0;width:9695;height:3873;" fillcolor="#A8A9AD" filled="true" stroked="false" coordsize="9695,3873" coordorigin="0,0" path="m9694,56l9694,3873l9637,3817l9637,56em9694,3873l56,3873l56,3817l9637,3817em9637,0l9637,3817l9632,3817l9632,0em340,0l9632,0l9632,5l340,5em9632,3817l0,3817l5,3811l9632,3811em0,3817l0,351l5,351l5,3811e"/>
          </v:group>
        </w:pict>
      </w:r>
      <w:r>
        <w:rPr>
          <w:rFonts w:ascii="SimHei" w:hAnsi="SimHei" w:eastAsia="SimHei" w:cs="SimHei"/>
          <w:spacing w:val="4"/>
        </w:rPr>
        <w:t>摘要：[目的</w:t>
      </w:r>
      <w:r>
        <w:rPr>
          <w:rFonts w:ascii="SimHei" w:hAnsi="SimHei" w:eastAsia="SimHei" w:cs="SimHei"/>
          <w:spacing w:val="-62"/>
        </w:rPr>
        <w:t xml:space="preserve"> </w:t>
      </w:r>
      <w:r>
        <w:rPr>
          <w:rFonts w:ascii="SimHei" w:hAnsi="SimHei" w:eastAsia="SimHei" w:cs="SimHei"/>
          <w:spacing w:val="4"/>
        </w:rPr>
        <w:t>/</w:t>
      </w:r>
      <w:r>
        <w:rPr>
          <w:rFonts w:ascii="SimHei" w:hAnsi="SimHei" w:eastAsia="SimHei" w:cs="SimHei"/>
          <w:spacing w:val="-55"/>
        </w:rPr>
        <w:t xml:space="preserve"> </w:t>
      </w:r>
      <w:r>
        <w:rPr>
          <w:rFonts w:ascii="SimHei" w:hAnsi="SimHei" w:eastAsia="SimHei" w:cs="SimHei"/>
          <w:spacing w:val="4"/>
        </w:rPr>
        <w:t>意义]</w:t>
      </w:r>
      <w:r>
        <w:rPr>
          <w:spacing w:val="4"/>
        </w:rPr>
        <w:t>研究高校智库竞争力建设的实践与策略，有</w:t>
      </w:r>
      <w:r>
        <w:rPr>
          <w:spacing w:val="3"/>
        </w:rPr>
        <w:t>助于更好地推动中国特色新型高</w:t>
      </w:r>
      <w:r>
        <w:rPr/>
        <w:t>校智库的建设和发展，对推进国家治理体系和治理能力现代化、建设教育强国具有重要意义。</w:t>
      </w:r>
      <w:r>
        <w:rPr>
          <w:spacing w:val="58"/>
          <w:w w:val="101"/>
        </w:rPr>
        <w:t xml:space="preserve"> </w:t>
      </w:r>
      <w:r>
        <w:rPr>
          <w:rFonts w:ascii="SimHei" w:hAnsi="SimHei" w:eastAsia="SimHei" w:cs="SimHei"/>
        </w:rPr>
        <w:t>[方</w:t>
      </w:r>
      <w:r>
        <w:rPr>
          <w:rFonts w:ascii="SimHei" w:hAnsi="SimHei" w:eastAsia="SimHei" w:cs="SimHei"/>
          <w:spacing w:val="-1"/>
        </w:rPr>
        <w:t>法/</w:t>
      </w:r>
      <w:r>
        <w:rPr>
          <w:rFonts w:ascii="SimHei" w:hAnsi="SimHei" w:eastAsia="SimHei" w:cs="SimHei"/>
          <w:spacing w:val="1"/>
        </w:rPr>
        <w:t>过程]</w:t>
      </w:r>
      <w:r>
        <w:rPr>
          <w:spacing w:val="1"/>
        </w:rPr>
        <w:t>本文引入竞争力理论，通过文献研究和个案分析的方法，分析当前高校智库竞争力建设过程中存</w:t>
      </w:r>
      <w:r>
        <w:rPr>
          <w:spacing w:val="-2"/>
        </w:rPr>
        <w:t>在的问题。根据入围中国智库索引（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Chinese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Think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Tank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Index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CTTI</w:t>
      </w:r>
      <w:r>
        <w:rPr>
          <w:spacing w:val="-2"/>
        </w:rPr>
        <w:t>）的</w:t>
      </w:r>
      <w:r>
        <w:rPr>
          <w:rFonts w:ascii="Times New Roman" w:hAnsi="Times New Roman" w:eastAsia="Times New Roman" w:cs="Times New Roman"/>
          <w:spacing w:val="-2"/>
        </w:rPr>
        <w:t>795</w:t>
      </w:r>
      <w:r>
        <w:rPr>
          <w:spacing w:val="-2"/>
        </w:rPr>
        <w:t>家高校智库的排名、智库</w:t>
      </w:r>
      <w:r>
        <w:rPr/>
        <w:t>成果和综合影响及其实践路径，分析总结加强高校智库竞争力建设的经验启示。</w:t>
      </w:r>
      <w:r>
        <w:rPr>
          <w:spacing w:val="25"/>
          <w:w w:val="101"/>
        </w:rPr>
        <w:t xml:space="preserve">  </w:t>
      </w:r>
      <w:r>
        <w:rPr>
          <w:rFonts w:ascii="SimHei" w:hAnsi="SimHei" w:eastAsia="SimHei" w:cs="SimHei"/>
        </w:rPr>
        <w:t>[结果</w:t>
      </w:r>
      <w:r>
        <w:rPr>
          <w:rFonts w:ascii="SimHei" w:hAnsi="SimHei" w:eastAsia="SimHei" w:cs="SimHei"/>
          <w:spacing w:val="-63"/>
        </w:rPr>
        <w:t xml:space="preserve"> </w:t>
      </w:r>
      <w:r>
        <w:rPr>
          <w:rFonts w:ascii="SimHei" w:hAnsi="SimHei" w:eastAsia="SimHei" w:cs="SimHei"/>
        </w:rPr>
        <w:t>/</w:t>
      </w:r>
      <w:r>
        <w:rPr>
          <w:rFonts w:ascii="SimHei" w:hAnsi="SimHei" w:eastAsia="SimHei" w:cs="SimHei"/>
          <w:spacing w:val="-57"/>
        </w:rPr>
        <w:t xml:space="preserve"> </w:t>
      </w:r>
      <w:r>
        <w:rPr>
          <w:rFonts w:ascii="SimHei" w:hAnsi="SimHei" w:eastAsia="SimHei" w:cs="SimHei"/>
          <w:spacing w:val="-1"/>
        </w:rPr>
        <w:t>结论]</w:t>
      </w:r>
      <w:r>
        <w:rPr>
          <w:spacing w:val="-1"/>
        </w:rPr>
        <w:t>当前高</w:t>
      </w:r>
      <w:r>
        <w:rPr>
          <w:spacing w:val="4"/>
        </w:rPr>
        <w:t>校智库竞争力建设存在智库成果引领作用欠缺、成</w:t>
      </w:r>
      <w:r>
        <w:rPr>
          <w:spacing w:val="3"/>
        </w:rPr>
        <w:t>果发布渠道单一和主体身份认知偏差等三类共通性</w:t>
      </w:r>
      <w:r>
        <w:rPr>
          <w:spacing w:val="-1"/>
        </w:rPr>
        <w:t>问题，可以从打造旗舰产品、构建立体传播和推动学科建设三个路径进行优化突破。</w:t>
      </w:r>
    </w:p>
    <w:p>
      <w:pPr>
        <w:pStyle w:val="BodyText"/>
        <w:ind w:left="683"/>
        <w:spacing w:before="1" w:line="196" w:lineRule="auto"/>
        <w:rPr/>
      </w:pPr>
      <w:r>
        <w:rPr>
          <w:rFonts w:ascii="SimHei" w:hAnsi="SimHei" w:eastAsia="SimHei" w:cs="SimHei"/>
          <w:spacing w:val="-1"/>
        </w:rPr>
        <w:t>关键词：</w:t>
      </w:r>
      <w:r>
        <w:rPr>
          <w:spacing w:val="-1"/>
        </w:rPr>
        <w:t>高校智库  竞争力建设</w:t>
      </w:r>
      <w:r>
        <w:rPr>
          <w:spacing w:val="18"/>
        </w:rPr>
        <w:t xml:space="preserve">  </w:t>
      </w:r>
      <w:r>
        <w:rPr>
          <w:spacing w:val="-1"/>
        </w:rPr>
        <w:t>竞争力理论</w:t>
      </w:r>
    </w:p>
    <w:p>
      <w:pPr>
        <w:ind w:left="680"/>
        <w:spacing w:before="38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分类号：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G206</w:t>
      </w:r>
    </w:p>
    <w:p>
      <w:pPr>
        <w:pStyle w:val="BodyText"/>
        <w:ind w:left="670"/>
        <w:spacing w:before="50" w:line="21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DOI</w:t>
      </w:r>
      <w:r>
        <w:rPr>
          <w:spacing w:val="-1"/>
        </w:rPr>
        <w:t>：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10.19318/j.cnki.issn.2096-1634.20241126.0010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headerReference w:type="default" r:id="rId1"/>
          <w:pgSz w:w="11906" w:h="16838"/>
          <w:pgMar w:top="400" w:right="1053" w:bottom="0" w:left="1011" w:header="0" w:footer="0" w:gutter="0"/>
          <w:cols w:equalWidth="0" w:num="1">
            <w:col w:w="9841" w:space="0"/>
          </w:cols>
        </w:sectPr>
        <w:rPr/>
      </w:pPr>
    </w:p>
    <w:p>
      <w:pPr>
        <w:pStyle w:val="BodyText"/>
        <w:ind w:right="276" w:firstLine="556"/>
        <w:spacing w:before="41" w:line="221" w:lineRule="auto"/>
        <w:tabs>
          <w:tab w:val="left" w:pos="126"/>
        </w:tabs>
        <w:jc w:val="both"/>
        <w:rPr/>
      </w:pPr>
      <w:r>
        <w:pict>
          <v:shape id="_x0000_s12" style="position:absolute;margin-left:6.1328pt;margin-top:245.503pt;mso-position-vertical-relative:text;mso-position-horizontal-relative:text;width:481.9pt;height:0.4pt;z-index:251662336;" fillcolor="#306566" filled="true" stroked="false" coordsize="9637,8" coordorigin="0,0" path="m,l9637,0l9637,7l0,7e"/>
        </w:pict>
      </w:r>
      <w:r>
        <w:rPr>
          <w:spacing w:val="8"/>
        </w:rPr>
        <w:t>高校智库是中国特色新型智库的重要组成部</w:t>
      </w:r>
      <w:r>
        <w:rPr>
          <w:spacing w:val="13"/>
        </w:rPr>
        <w:t>分。自</w:t>
      </w:r>
      <w:r>
        <w:rPr>
          <w:rFonts w:ascii="Times New Roman" w:hAnsi="Times New Roman" w:eastAsia="Times New Roman" w:cs="Times New Roman"/>
          <w:spacing w:val="13"/>
        </w:rPr>
        <w:t>2013</w:t>
      </w:r>
      <w:r>
        <w:rPr>
          <w:spacing w:val="13"/>
        </w:rPr>
        <w:t>年颁布《中共中央关于全面深化改革</w:t>
      </w:r>
      <w:r>
        <w:rPr>
          <w:spacing w:val="14"/>
        </w:rPr>
        <w:t>若干重大问题的决定》（以下简称《决定》）以</w:t>
      </w:r>
      <w:r>
        <w:rPr>
          <w:spacing w:val="14"/>
        </w:rPr>
        <w:t>来，国家各部门相继出台系列文件推动新型智库</w:t>
      </w:r>
      <w:r>
        <w:rPr>
          <w:spacing w:val="8"/>
        </w:rPr>
        <w:t>建设，对智库建设方向和总体要求进行顶层设</w:t>
      </w:r>
      <w:r>
        <w:rPr>
          <w:spacing w:val="7"/>
        </w:rPr>
        <w:t>计。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7"/>
        </w:rPr>
        <w:t>2014</w:t>
      </w:r>
      <w:r>
        <w:rPr>
          <w:spacing w:val="7"/>
        </w:rPr>
        <w:t>年，教育部发布《中国特色新型高校智库建</w:t>
      </w:r>
      <w:r>
        <w:rPr>
          <w:spacing w:val="18"/>
        </w:rPr>
        <w:t>设推进计划》，对高校智库建设作出全面部署。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7"/>
        </w:rPr>
        <w:t>2015</w:t>
      </w:r>
      <w:r>
        <w:rPr>
          <w:spacing w:val="7"/>
        </w:rPr>
        <w:t>年，中共中央办公厅、国务院办公厅印发了</w:t>
      </w:r>
      <w:r>
        <w:rPr>
          <w:spacing w:val="3"/>
        </w:rPr>
        <w:t>《关于加强中国特色新型智库建设的意见》（以下</w:t>
      </w:r>
      <w:r>
        <w:rPr>
          <w:spacing w:val="14"/>
        </w:rPr>
        <w:t>简称《意见》</w:t>
      </w:r>
      <w:r>
        <w:rPr>
          <w:spacing w:val="18"/>
        </w:rPr>
        <w:t>），</w:t>
      </w:r>
      <w:r>
        <w:rPr>
          <w:spacing w:val="14"/>
        </w:rPr>
        <w:t>众多高校迅速推进智库建设工</w:t>
      </w:r>
      <w:r>
        <w:rPr>
          <w:spacing w:val="14"/>
        </w:rPr>
        <w:t>作。在此背景下，我国高校智库发展迅速，全国</w:t>
      </w:r>
      <w:r>
        <w:rPr>
          <w:spacing w:val="7"/>
        </w:rPr>
        <w:t>各地高校智库纷纷涌现。  </w:t>
      </w:r>
      <w:r>
        <w:rPr>
          <w:rFonts w:ascii="Times New Roman" w:hAnsi="Times New Roman" w:eastAsia="Times New Roman" w:cs="Times New Roman"/>
          <w:spacing w:val="7"/>
        </w:rPr>
        <w:t>2024</w:t>
      </w:r>
      <w:r>
        <w:rPr>
          <w:spacing w:val="7"/>
        </w:rPr>
        <w:t>年</w:t>
      </w:r>
      <w:r>
        <w:rPr>
          <w:rFonts w:ascii="Times New Roman" w:hAnsi="Times New Roman" w:eastAsia="Times New Roman" w:cs="Times New Roman"/>
          <w:spacing w:val="7"/>
        </w:rPr>
        <w:t>12</w:t>
      </w:r>
      <w:r>
        <w:rPr>
          <w:spacing w:val="7"/>
        </w:rPr>
        <w:t>月，入</w:t>
      </w:r>
      <w:r>
        <w:rPr>
          <w:spacing w:val="6"/>
        </w:rPr>
        <w:t>围中国</w:t>
      </w:r>
      <w:r>
        <w:rPr/>
        <w:t>智库索引（ </w:t>
      </w:r>
      <w:r>
        <w:rPr>
          <w:rFonts w:ascii="Times New Roman" w:hAnsi="Times New Roman" w:eastAsia="Times New Roman" w:cs="Times New Roman"/>
        </w:rPr>
        <w:t>Chinese Think Tank Index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/>
        <w:t>，</w:t>
      </w:r>
      <w:r>
        <w:rPr>
          <w:rFonts w:ascii="Times New Roman" w:hAnsi="Times New Roman" w:eastAsia="Times New Roman" w:cs="Times New Roman"/>
        </w:rPr>
        <w:t>CTTI</w:t>
      </w:r>
      <w:r>
        <w:rPr/>
        <w:t>）的高</w:t>
      </w:r>
      <w:r>
        <w:rPr>
          <w:spacing w:val="6"/>
        </w:rPr>
        <w:t>校智库</w:t>
      </w:r>
      <w:r>
        <w:rPr>
          <w:rFonts w:ascii="Times New Roman" w:hAnsi="Times New Roman" w:eastAsia="Times New Roman" w:cs="Times New Roman"/>
          <w:spacing w:val="6"/>
        </w:rPr>
        <w:t>795</w:t>
      </w:r>
      <w:r>
        <w:rPr>
          <w:spacing w:val="6"/>
        </w:rPr>
        <w:t>家，占全部入围智库的</w:t>
      </w:r>
      <w:r>
        <w:rPr>
          <w:rFonts w:ascii="Times New Roman" w:hAnsi="Times New Roman" w:eastAsia="Times New Roman" w:cs="Times New Roman"/>
          <w:spacing w:val="6"/>
        </w:rPr>
        <w:t>72.60%</w:t>
      </w:r>
      <w:r>
        <w:rPr>
          <w:spacing w:val="6"/>
        </w:rPr>
        <w:t>。由此可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7" w:lineRule="auto"/>
        <w:jc w:val="both"/>
        <w:rPr/>
      </w:pPr>
      <w:r>
        <w:rPr>
          <w:spacing w:val="12"/>
        </w:rPr>
        <w:t>见，高校智库在新型智库建设中占据重要份额。</w:t>
      </w:r>
      <w:r>
        <w:rPr>
          <w:spacing w:val="8"/>
        </w:rPr>
        <w:t>本文结合高校智库的具体实践，深入探析我国高</w:t>
      </w:r>
      <w:r>
        <w:rPr>
          <w:spacing w:val="8"/>
        </w:rPr>
        <w:t>校智库在竞争力建设过程中的优化路径，为新时</w:t>
      </w:r>
      <w:r>
        <w:rPr>
          <w:spacing w:val="-2"/>
        </w:rPr>
        <w:t>代高校智库建设提供一定的参考。</w:t>
      </w:r>
    </w:p>
    <w:p>
      <w:pPr>
        <w:ind w:left="52"/>
        <w:spacing w:before="106" w:line="312" w:lineRule="exact"/>
        <w:rPr>
          <w:rFonts w:ascii="SimHei" w:hAnsi="SimHei" w:eastAsia="SimHei" w:cs="SimHei"/>
          <w:sz w:val="23"/>
          <w:szCs w:val="23"/>
        </w:rPr>
      </w:pPr>
      <w:r>
        <w:rPr>
          <w:shd w:val="clear" w:fill="306566"/>
          <w:rFonts w:ascii="Times New Roman" w:hAnsi="Times New Roman" w:eastAsia="Times New Roman" w:cs="Times New Roman"/>
          <w:sz w:val="23"/>
          <w:szCs w:val="23"/>
          <w:b/>
          <w:bCs/>
          <w:color w:val="FFFFFF"/>
          <w:spacing w:val="7"/>
          <w:position w:val="1"/>
        </w:rPr>
        <w:t>1    </w:t>
      </w:r>
      <w:r>
        <w:rPr>
          <w:shd w:val="clear" w:fill="306566"/>
          <w:rFonts w:ascii="SimHei" w:hAnsi="SimHei" w:eastAsia="SimHei" w:cs="SimHei"/>
          <w:sz w:val="23"/>
          <w:szCs w:val="23"/>
          <w:color w:val="FFFFFF"/>
          <w:spacing w:val="7"/>
          <w:position w:val="1"/>
        </w:rPr>
        <w:t>理论与研究：高校智库竞争力的内涵</w:t>
      </w:r>
      <w:r>
        <w:rPr>
          <w:shd w:val="clear" w:fill="306566"/>
          <w:rFonts w:ascii="SimHei" w:hAnsi="SimHei" w:eastAsia="SimHei" w:cs="SimHei"/>
          <w:sz w:val="23"/>
          <w:szCs w:val="23"/>
          <w:color w:val="FFFFFF"/>
          <w:spacing w:val="6"/>
          <w:position w:val="1"/>
        </w:rPr>
        <w:t xml:space="preserve">   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10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1.1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竞争力理论</w:t>
      </w:r>
    </w:p>
    <w:p>
      <w:pPr>
        <w:pStyle w:val="BodyText"/>
        <w:ind w:right="80" w:firstLine="423"/>
        <w:spacing w:before="248" w:line="219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9"/>
        </w:rPr>
        <w:t>关于，竞争力理论由于研究视角的不同，学</w:t>
      </w:r>
      <w:r>
        <w:rPr>
          <w:spacing w:val="8"/>
        </w:rPr>
        <w:t>界主要认可市场结构学派、资源学派和能力学派</w:t>
      </w:r>
      <w:r>
        <w:rPr>
          <w:spacing w:val="-2"/>
        </w:rPr>
        <w:t>三种。以迈克尔 </w:t>
      </w:r>
      <w:r>
        <w:rPr>
          <w:rFonts w:ascii="SimSun" w:hAnsi="SimSun" w:eastAsia="SimSun" w:cs="SimSun"/>
          <w:spacing w:val="-2"/>
        </w:rPr>
        <w:t>•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-2"/>
        </w:rPr>
        <w:t>波特（</w:t>
      </w:r>
      <w:r>
        <w:rPr>
          <w:rFonts w:ascii="Times New Roman" w:hAnsi="Times New Roman" w:eastAsia="Times New Roman" w:cs="Times New Roman"/>
          <w:spacing w:val="-2"/>
        </w:rPr>
        <w:t>Michael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Porter</w:t>
      </w:r>
      <w:r>
        <w:rPr>
          <w:spacing w:val="-2"/>
        </w:rPr>
        <w:t>）为代表的</w:t>
      </w:r>
      <w:r>
        <w:rPr>
          <w:spacing w:val="8"/>
        </w:rPr>
        <w:t>市场结构学派将研究对象集中于企业产业，认为</w:t>
      </w:r>
      <w:r>
        <w:rPr>
          <w:spacing w:val="1"/>
        </w:rPr>
        <w:t>企业产业是竞争优势的关键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[1]</w:t>
      </w:r>
      <w:r>
        <w:rPr>
          <w:spacing w:val="1"/>
        </w:rPr>
        <w:t>；以伯格 </w:t>
      </w:r>
      <w:r>
        <w:rPr>
          <w:rFonts w:ascii="SimSun" w:hAnsi="SimSun" w:eastAsia="SimSun" w:cs="SimSun"/>
          <w:spacing w:val="1"/>
        </w:rPr>
        <w:t>•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1"/>
        </w:rPr>
        <w:t>沃</w:t>
      </w:r>
      <w:r>
        <w:rPr/>
        <w:t>纳菲尔</w:t>
      </w:r>
      <w:r>
        <w:rPr>
          <w:spacing w:val="8"/>
        </w:rPr>
        <w:t>特（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Birger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Wernerfelt</w:t>
      </w:r>
      <w:r>
        <w:rPr>
          <w:spacing w:val="8"/>
        </w:rPr>
        <w:t>）和艾迪斯 </w:t>
      </w:r>
      <w:r>
        <w:rPr>
          <w:rFonts w:ascii="SimSun" w:hAnsi="SimSun" w:eastAsia="SimSun" w:cs="SimSun"/>
          <w:spacing w:val="8"/>
        </w:rPr>
        <w:t>•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8"/>
        </w:rPr>
        <w:t>潘罗斯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Edith</w:t>
      </w:r>
    </w:p>
    <w:p>
      <w:pPr>
        <w:spacing w:line="219" w:lineRule="auto"/>
        <w:sectPr>
          <w:type w:val="continuous"/>
          <w:pgSz w:w="11906" w:h="16838"/>
          <w:pgMar w:top="400" w:right="1053" w:bottom="0" w:left="1011" w:header="0" w:footer="0" w:gutter="0"/>
          <w:cols w:equalWidth="0" w:num="2">
            <w:col w:w="5072" w:space="100"/>
            <w:col w:w="4670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5140920</wp:posOffset>
            </wp:positionH>
            <wp:positionV relativeFrom="paragraph">
              <wp:posOffset>-8359620</wp:posOffset>
            </wp:positionV>
            <wp:extent cx="375999" cy="18143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99" cy="18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485.188pt;margin-top:-659.004pt;mso-position-vertical-relative:text;mso-position-horizontal-relative:text;width:2.85pt;height:28.45pt;z-index:251663360;" fillcolor="#909FA0" filled="true" stroked="false" coordsize="56,569" coordorigin="0,0" path="m56,0l56,318l0,318l0,0em56,318l56,568l0,568l0,318e"/>
        </w:pict>
      </w:r>
      <w:r/>
    </w:p>
    <w:p>
      <w:pPr>
        <w:pStyle w:val="BodyText"/>
        <w:ind w:left="124" w:right="127" w:firstLine="10"/>
        <w:spacing w:before="74" w:line="222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*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31"/>
        </w:rPr>
        <w:t xml:space="preserve"> </w:t>
      </w:r>
      <w:r>
        <w:rPr>
          <w:sz w:val="17"/>
          <w:szCs w:val="17"/>
          <w:color w:val="306566"/>
          <w:spacing w:val="7"/>
        </w:rPr>
        <w:t>本文系国家社会科学基金一般项目“智库利用社交媒体影响政策过程的实证研究”（项目编号：  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20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BTQ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088</w:t>
      </w:r>
      <w:r>
        <w:rPr>
          <w:sz w:val="17"/>
          <w:szCs w:val="17"/>
          <w:color w:val="306566"/>
          <w:spacing w:val="7"/>
        </w:rPr>
        <w:t>）、江苏省社</w:t>
      </w:r>
      <w:r>
        <w:rPr>
          <w:sz w:val="17"/>
          <w:szCs w:val="17"/>
          <w:color w:val="306566"/>
          <w:spacing w:val="7"/>
        </w:rPr>
        <w:t>会科学基金一般项目“新质生产力视域下江苏高校科技创新能力实践样本研究”（项目编号：  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24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JYD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002</w:t>
      </w:r>
      <w:r>
        <w:rPr>
          <w:sz w:val="17"/>
          <w:szCs w:val="17"/>
          <w:color w:val="306566"/>
          <w:spacing w:val="7"/>
        </w:rPr>
        <w:t>）研究成果之一</w:t>
      </w:r>
      <w:r>
        <w:rPr>
          <w:sz w:val="17"/>
          <w:szCs w:val="17"/>
          <w:color w:val="306566"/>
          <w:spacing w:val="-23"/>
        </w:rPr>
        <w:t xml:space="preserve"> </w:t>
      </w:r>
      <w:r>
        <w:rPr>
          <w:sz w:val="17"/>
          <w:szCs w:val="17"/>
          <w:color w:val="306566"/>
          <w:spacing w:val="7"/>
        </w:rPr>
        <w:t>。</w:t>
      </w:r>
      <w:r>
        <w:rPr>
          <w:rFonts w:ascii="SimHei" w:hAnsi="SimHei" w:eastAsia="SimHei" w:cs="SimHei"/>
          <w:sz w:val="17"/>
          <w:szCs w:val="17"/>
          <w:color w:val="306566"/>
          <w:spacing w:val="9"/>
        </w:rPr>
        <w:t>作者简介：</w:t>
      </w:r>
      <w:r>
        <w:rPr>
          <w:rFonts w:ascii="SimHei" w:hAnsi="SimHei" w:eastAsia="SimHei" w:cs="SimHei"/>
          <w:sz w:val="17"/>
          <w:szCs w:val="17"/>
          <w:color w:val="306566"/>
          <w:spacing w:val="-35"/>
        </w:rPr>
        <w:t xml:space="preserve"> </w:t>
      </w:r>
      <w:r>
        <w:rPr>
          <w:sz w:val="17"/>
          <w:szCs w:val="17"/>
          <w:color w:val="306566"/>
          <w:spacing w:val="9"/>
        </w:rPr>
        <w:t>徐清，盐城师范学院院长办公室主任科员，盐城师范学院江苏沿海发展研究院研究员，盐城师范学</w:t>
      </w:r>
      <w:r>
        <w:rPr>
          <w:sz w:val="17"/>
          <w:szCs w:val="17"/>
          <w:color w:val="306566"/>
          <w:spacing w:val="8"/>
        </w:rPr>
        <w:t>院高等教育</w:t>
      </w:r>
      <w:r>
        <w:rPr>
          <w:sz w:val="17"/>
          <w:szCs w:val="17"/>
          <w:color w:val="306566"/>
          <w:spacing w:val="8"/>
        </w:rPr>
        <w:t>研究所兼职研究员，助理研究员，硕士， </w:t>
      </w:r>
      <w:r>
        <w:rPr>
          <w:sz w:val="17"/>
          <w:szCs w:val="17"/>
          <w:color w:val="30656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E-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mail</w:t>
      </w:r>
      <w:r>
        <w:rPr>
          <w:sz w:val="17"/>
          <w:szCs w:val="17"/>
          <w:color w:val="306566"/>
          <w:spacing w:val="7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qingfxl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7"/>
        </w:rPr>
        <w:t>@163.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com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-20"/>
        </w:rPr>
        <w:t xml:space="preserve"> </w:t>
      </w:r>
      <w:r>
        <w:rPr>
          <w:sz w:val="17"/>
          <w:szCs w:val="17"/>
          <w:color w:val="306566"/>
          <w:spacing w:val="7"/>
        </w:rPr>
        <w:t>；丁炫凯，盐城师范学院高等教育研究所所长，副研究</w:t>
      </w:r>
      <w:r>
        <w:rPr>
          <w:sz w:val="17"/>
          <w:szCs w:val="17"/>
          <w:color w:val="306566"/>
          <w:spacing w:val="6"/>
        </w:rPr>
        <w:t>员，博士， 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6"/>
        </w:rPr>
        <w:t>E-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mail</w:t>
      </w:r>
      <w:r>
        <w:rPr>
          <w:sz w:val="17"/>
          <w:szCs w:val="17"/>
          <w:color w:val="306566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xk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6"/>
        </w:rPr>
        <w:t>_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ding</w:t>
      </w:r>
      <w:r>
        <w:rPr>
          <w:rFonts w:ascii="Times New Roman" w:hAnsi="Times New Roman" w:eastAsia="Times New Roman" w:cs="Times New Roman"/>
          <w:sz w:val="17"/>
          <w:szCs w:val="17"/>
          <w:color w:val="306566"/>
          <w:spacing w:val="6"/>
        </w:rPr>
        <w:t>@163.</w:t>
      </w:r>
      <w:r>
        <w:rPr>
          <w:rFonts w:ascii="Times New Roman" w:hAnsi="Times New Roman" w:eastAsia="Times New Roman" w:cs="Times New Roman"/>
          <w:sz w:val="17"/>
          <w:szCs w:val="17"/>
          <w:color w:val="306566"/>
        </w:rPr>
        <w:t>com</w:t>
      </w:r>
      <w:r>
        <w:rPr>
          <w:sz w:val="17"/>
          <w:szCs w:val="17"/>
          <w:color w:val="306566"/>
          <w:spacing w:val="6"/>
        </w:rPr>
        <w:t>。</w:t>
      </w:r>
    </w:p>
    <w:p>
      <w:pPr>
        <w:ind w:left="9527"/>
        <w:spacing w:before="212" w:line="19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>97</w:t>
      </w:r>
    </w:p>
    <w:p>
      <w:pPr>
        <w:ind w:left="1"/>
        <w:spacing w:before="289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838"/>
          <w:pgMar w:top="400" w:right="1053" w:bottom="0" w:left="1011" w:header="0" w:footer="0" w:gutter="0"/>
          <w:cols w:equalWidth="0" w:num="1">
            <w:col w:w="9841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3" w:line="175" w:lineRule="exact"/>
        <w:rPr>
          <w:sz w:val="17"/>
          <w:szCs w:val="17"/>
        </w:rPr>
      </w:pPr>
      <w:r>
        <w:rPr>
          <w:sz w:val="17"/>
          <w:szCs w:val="17"/>
          <w:color w:val="306566"/>
          <w:spacing w:val="11"/>
          <w:position w:val="-1"/>
        </w:rPr>
        <w:t>理论与实践</w:t>
      </w:r>
    </w:p>
    <w:p>
      <w:pPr>
        <w:ind w:left="884"/>
        <w:spacing w:before="30" w:line="18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6566"/>
          <w:spacing w:val="1"/>
        </w:rPr>
        <w:t>THINK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TANK:</w:t>
      </w:r>
      <w:r>
        <w:rPr>
          <w:rFonts w:ascii="Arial" w:hAnsi="Arial" w:eastAsia="Arial" w:cs="Arial"/>
          <w:sz w:val="5"/>
          <w:szCs w:val="5"/>
          <w:color w:val="306566"/>
          <w:spacing w:val="7"/>
          <w:w w:val="102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THEORY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&amp;</w:t>
      </w:r>
      <w:r>
        <w:rPr>
          <w:rFonts w:ascii="Arial" w:hAnsi="Arial" w:eastAsia="Arial" w:cs="Arial"/>
          <w:sz w:val="5"/>
          <w:szCs w:val="5"/>
          <w:color w:val="306566"/>
          <w:spacing w:val="6"/>
          <w:w w:val="10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PRACTICE</w:t>
      </w:r>
    </w:p>
    <w:p>
      <w:pPr>
        <w:ind w:left="265"/>
        <w:spacing w:before="60" w:line="262" w:lineRule="exact"/>
        <w:rPr>
          <w:rFonts w:ascii="SimHei" w:hAnsi="SimHei" w:eastAsia="SimHei" w:cs="SimHei"/>
          <w:sz w:val="20"/>
          <w:szCs w:val="20"/>
        </w:rPr>
      </w:pPr>
      <w:r>
        <w:pict>
          <v:shape id="_x0000_s16" style="position:absolute;margin-left:6.0629pt;margin-top:18.377pt;mso-position-vertical-relative:text;mso-position-horizontal-relative:text;width:481.9pt;height:0.6pt;z-index:251665408;" fillcolor="#000000" filled="true" stroked="false" coordsize="9637,12" coordorigin="0,0" path="m9637,11l0,11l0,0l9637,0e"/>
        </w:pic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4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卷</w:t>
      </w:r>
      <w:r>
        <w:rPr>
          <w:rFonts w:ascii="SimHei" w:hAnsi="SimHei" w:eastAsia="SimHei" w:cs="SimHei"/>
          <w:sz w:val="20"/>
          <w:szCs w:val="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期</w:t>
      </w:r>
      <w:r>
        <w:rPr>
          <w:rFonts w:ascii="SimHei" w:hAnsi="SimHei" w:eastAsia="SimHei" w:cs="SimHei"/>
          <w:sz w:val="20"/>
          <w:szCs w:val="20"/>
          <w:spacing w:val="1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年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月</w:t>
      </w:r>
    </w:p>
    <w:p>
      <w:pPr>
        <w:spacing w:before="23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400" w:right="1065" w:bottom="471" w:left="1012" w:header="0" w:footer="232" w:gutter="0"/>
          <w:cols w:equalWidth="0" w:num="1">
            <w:col w:w="9828" w:space="0"/>
          </w:cols>
        </w:sectPr>
        <w:rPr/>
      </w:pPr>
    </w:p>
    <w:p>
      <w:pPr>
        <w:pStyle w:val="BodyText"/>
        <w:ind w:left="122" w:right="162" w:firstLine="1"/>
        <w:spacing w:before="48" w:line="222" w:lineRule="auto"/>
        <w:jc w:val="both"/>
        <w:rPr/>
      </w:pPr>
      <w:r>
        <w:rPr>
          <w:rFonts w:ascii="Times New Roman" w:hAnsi="Times New Roman" w:eastAsia="Times New Roman" w:cs="Times New Roman"/>
        </w:rPr>
        <w:t>Penrose</w:t>
      </w:r>
      <w:r>
        <w:rPr>
          <w:rFonts w:ascii="Times New Roman" w:hAnsi="Times New Roman" w:eastAsia="Times New Roman" w:cs="Times New Roman"/>
          <w:spacing w:val="15"/>
        </w:rPr>
        <w:t>)</w:t>
      </w:r>
      <w:r>
        <w:rPr>
          <w:spacing w:val="15"/>
        </w:rPr>
        <w:t>为代表的资源学派，强调内部资源的作</w:t>
      </w:r>
      <w:r>
        <w:rPr/>
        <w:t>用，将资源作为企业获得竞争优势的关键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[2]</w:t>
      </w:r>
      <w:r>
        <w:rPr/>
        <w:t>；以克</w:t>
      </w:r>
      <w:r>
        <w:rPr>
          <w:spacing w:val="-2"/>
        </w:rPr>
        <w:t>里斯托夫 </w:t>
      </w:r>
      <w:r>
        <w:rPr>
          <w:rFonts w:ascii="SimSun" w:hAnsi="SimSun" w:eastAsia="SimSun" w:cs="SimSun"/>
          <w:spacing w:val="-2"/>
        </w:rPr>
        <w:t>•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-2"/>
        </w:rPr>
        <w:t>库马尔 </w:t>
      </w:r>
      <w:r>
        <w:rPr>
          <w:rFonts w:ascii="SimSun" w:hAnsi="SimSun" w:eastAsia="SimSun" w:cs="SimSun"/>
          <w:spacing w:val="-2"/>
        </w:rPr>
        <w:t>•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-2"/>
        </w:rPr>
        <w:t>普拉哈拉德（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Christo</w:t>
      </w:r>
      <w:r>
        <w:rPr>
          <w:rFonts w:ascii="Times New Roman" w:hAnsi="Times New Roman" w:eastAsia="Times New Roman" w:cs="Times New Roman"/>
          <w:spacing w:val="-3"/>
        </w:rPr>
        <w:t>pher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rFonts w:ascii="Times New Roman" w:hAnsi="Times New Roman" w:eastAsia="Times New Roman" w:cs="Times New Roman"/>
          <w:spacing w:val="-3"/>
        </w:rPr>
        <w:t>Ku-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mar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rFonts w:ascii="Times New Roman" w:hAnsi="Times New Roman" w:eastAsia="Times New Roman" w:cs="Times New Roman"/>
        </w:rPr>
        <w:t>Prahald</w:t>
      </w:r>
      <w:r>
        <w:rPr>
          <w:spacing w:val="12"/>
        </w:rPr>
        <w:t>）、克莱顿 </w:t>
      </w:r>
      <w:r>
        <w:rPr>
          <w:rFonts w:ascii="SimSun" w:hAnsi="SimSun" w:eastAsia="SimSun" w:cs="SimSun"/>
          <w:spacing w:val="12"/>
        </w:rPr>
        <w:t>•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2"/>
        </w:rPr>
        <w:t>克里斯坦森（ </w:t>
      </w:r>
      <w:r>
        <w:rPr>
          <w:rFonts w:ascii="Times New Roman" w:hAnsi="Times New Roman" w:eastAsia="Times New Roman" w:cs="Times New Roman"/>
        </w:rPr>
        <w:t>Clayton </w:t>
      </w:r>
      <w:r>
        <w:rPr>
          <w:rFonts w:ascii="Times New Roman" w:hAnsi="Times New Roman" w:eastAsia="Times New Roman" w:cs="Times New Roman"/>
        </w:rPr>
        <w:t>Christensen</w:t>
      </w:r>
      <w:r>
        <w:rPr>
          <w:spacing w:val="1"/>
        </w:rPr>
        <w:t>）为代表的能力学派，将能力视为企业</w:t>
      </w:r>
      <w:r>
        <w:rPr/>
        <w:t>竞争的关键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[3]</w:t>
      </w:r>
      <w:r>
        <w:rPr>
          <w:rFonts w:ascii="Times New Roman" w:hAnsi="Times New Roman" w:eastAsia="Times New Roman" w:cs="Times New Roman"/>
          <w:sz w:val="13"/>
          <w:szCs w:val="13"/>
          <w:spacing w:val="-8"/>
          <w:position w:val="8"/>
        </w:rPr>
        <w:t xml:space="preserve"> </w:t>
      </w:r>
      <w:r>
        <w:rPr/>
        <w:t>。综合三个学派的学术观</w:t>
      </w:r>
      <w:r>
        <w:rPr>
          <w:spacing w:val="-1"/>
        </w:rPr>
        <w:t>点，可以得</w:t>
      </w:r>
      <w:r>
        <w:rPr>
          <w:spacing w:val="8"/>
        </w:rPr>
        <w:t>知，竞争力理论是一个系统性理论。高校智库引</w:t>
      </w:r>
      <w:r>
        <w:rPr>
          <w:spacing w:val="1"/>
        </w:rPr>
        <w:t>入竞争力理论，将智库比作生产决策产品的企业，</w:t>
      </w:r>
      <w:r>
        <w:rPr>
          <w:spacing w:val="8"/>
        </w:rPr>
        <w:t>从而分析影响高校智库竞争力的具体因素，激发</w:t>
      </w:r>
      <w:r>
        <w:rPr>
          <w:spacing w:val="8"/>
        </w:rPr>
        <w:t>高校智库的竞争优势，进而更好地发挥智库咨政</w:t>
      </w:r>
      <w:r>
        <w:rPr>
          <w:spacing w:val="8"/>
        </w:rPr>
        <w:t>建言、理论创新、舆论引导、社会服务和公共外</w:t>
      </w:r>
      <w:r>
        <w:rPr>
          <w:spacing w:val="8"/>
        </w:rPr>
        <w:t>交五大功能。与企业相比，高校智库更注重知识</w:t>
      </w:r>
      <w:r>
        <w:rPr>
          <w:spacing w:val="1"/>
        </w:rPr>
        <w:t>的创新与利用，但在行业属性上二者有共通之处，</w:t>
      </w:r>
      <w:r>
        <w:rPr>
          <w:spacing w:val="8"/>
        </w:rPr>
        <w:t>即高校智库将决策市场视为其行业。因此，本文</w:t>
      </w:r>
      <w:r>
        <w:rPr>
          <w:spacing w:val="8"/>
        </w:rPr>
        <w:t>将竞争力理论三种学派的学术观点进行融合，根</w:t>
      </w:r>
      <w:r>
        <w:rPr>
          <w:spacing w:val="11"/>
        </w:rPr>
        <w:t>据身份主体、内部资源和生产产品等不同方面，</w:t>
      </w:r>
      <w:r>
        <w:rPr>
          <w:spacing w:val="-2"/>
        </w:rPr>
        <w:t>对高校智库竞争力进行针对性分析探究。</w:t>
      </w:r>
    </w:p>
    <w:p>
      <w:pPr>
        <w:ind w:left="135"/>
        <w:spacing w:before="15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1.2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高校智库竞争力的定义、价值和研究现状</w:t>
      </w:r>
    </w:p>
    <w:p>
      <w:pPr>
        <w:pStyle w:val="BodyText"/>
        <w:ind w:left="121" w:right="150" w:firstLine="429"/>
        <w:spacing w:before="235" w:line="222" w:lineRule="auto"/>
        <w:jc w:val="both"/>
        <w:rPr/>
      </w:pPr>
      <w:r>
        <w:rPr>
          <w:spacing w:val="9"/>
        </w:rPr>
        <w:t>智库竞争力是专家学者将竞争力理论引入智</w:t>
      </w:r>
      <w:r>
        <w:rPr>
          <w:spacing w:val="8"/>
        </w:rPr>
        <w:t>库研究领域形成的新概念，其主要目标是借鉴理</w:t>
      </w:r>
      <w:r>
        <w:rPr>
          <w:spacing w:val="1"/>
        </w:rPr>
        <w:t>论提升智库的竞争优势、弥补发展过程中的不足，</w:t>
      </w:r>
      <w:r>
        <w:rPr>
          <w:spacing w:val="-1"/>
        </w:rPr>
        <w:t>从根本上提升智库的综合实力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8"/>
        </w:rPr>
        <w:t>[4]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  <w:position w:val="8"/>
        </w:rPr>
        <w:t xml:space="preserve"> </w:t>
      </w:r>
      <w:r>
        <w:rPr>
          <w:spacing w:val="-1"/>
        </w:rPr>
        <w:t>。当前，智库竞争</w:t>
      </w:r>
      <w:r>
        <w:rPr>
          <w:spacing w:val="2"/>
        </w:rPr>
        <w:t>力理论涌现出了较为丰富的研究成果，具体如下。</w:t>
      </w:r>
      <w:r>
        <w:rPr>
          <w:spacing w:val="1"/>
        </w:rPr>
        <w:t>一是，强调智力产品。周静等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[5]</w:t>
      </w:r>
      <w:r>
        <w:rPr>
          <w:spacing w:val="1"/>
        </w:rPr>
        <w:t>认为，智库以智力</w:t>
      </w:r>
      <w:r>
        <w:rPr>
          <w:spacing w:val="8"/>
        </w:rPr>
        <w:t>产品为核心竞争力。二是，强调智力资本。王莉</w:t>
      </w:r>
      <w:r>
        <w:rPr>
          <w:spacing w:val="1"/>
        </w:rPr>
        <w:t>丽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[6]</w:t>
      </w:r>
      <w:r>
        <w:rPr>
          <w:spacing w:val="1"/>
        </w:rPr>
        <w:t>认为，智库的核心竞争力就是智力资本，包括</w:t>
      </w:r>
      <w:r>
        <w:rPr>
          <w:spacing w:val="1"/>
        </w:rPr>
        <w:t>人才、制度及关系三大要素。柏必成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[7]</w:t>
      </w:r>
      <w:r>
        <w:rPr>
          <w:spacing w:val="1"/>
        </w:rPr>
        <w:t>认为，智库</w:t>
      </w:r>
      <w:r>
        <w:rPr>
          <w:spacing w:val="8"/>
        </w:rPr>
        <w:t>建设的关键在于培育智库核心竞争力，应明确自</w:t>
      </w:r>
      <w:r>
        <w:rPr>
          <w:spacing w:val="11"/>
        </w:rPr>
        <w:t>身专业定位，补齐资源要素和能力要素的短板，</w:t>
      </w:r>
      <w:r>
        <w:rPr>
          <w:spacing w:val="8"/>
        </w:rPr>
        <w:t>积极融入同行之间的竞争。三是，强调细分影响</w:t>
      </w:r>
      <w:r>
        <w:rPr>
          <w:spacing w:val="1"/>
        </w:rPr>
        <w:t>力类型，并构建评价模型。朱旭峰等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[8]</w:t>
      </w:r>
      <w:r>
        <w:rPr>
          <w:spacing w:val="1"/>
        </w:rPr>
        <w:t>较早从社会</w:t>
      </w:r>
      <w:r>
        <w:rPr>
          <w:spacing w:val="19"/>
        </w:rPr>
        <w:t>结构范式的角度，将智库影响力分为三个层次</w:t>
      </w:r>
      <w:r>
        <w:rPr>
          <w:spacing w:val="7"/>
        </w:rPr>
        <w:t>——决策（核心）影响力、精英（中心）影响力</w:t>
      </w:r>
      <w:r>
        <w:rPr>
          <w:spacing w:val="8"/>
        </w:rPr>
        <w:t>和大众（边缘）影响力，并构建了智库“决策核</w:t>
      </w:r>
      <w:r>
        <w:rPr>
          <w:spacing w:val="12"/>
        </w:rPr>
        <w:t>心、精英中心、大众边缘”的影响力评价模型。</w:t>
      </w:r>
      <w:r>
        <w:rPr>
          <w:spacing w:val="8"/>
        </w:rPr>
        <w:t>以李刚等为代表的研究团队，研究视角主要集中</w:t>
      </w:r>
      <w:r>
        <w:rPr>
          <w:spacing w:val="19"/>
        </w:rPr>
        <w:t>在影响力评价和评价指标构建上，如传播力评</w:t>
      </w:r>
      <w:r>
        <w:rPr>
          <w:spacing w:val="4"/>
          <w:position w:val="-2"/>
        </w:rPr>
        <w:t>价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[9] </w:t>
      </w:r>
      <w:r>
        <w:rPr>
          <w:spacing w:val="4"/>
          <w:position w:val="-2"/>
        </w:rPr>
        <w:t>、政策影响力评价</w:t>
      </w:r>
      <w:r>
        <w:rPr>
          <w:spacing w:val="-1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[10] </w:t>
      </w:r>
      <w:r>
        <w:rPr>
          <w:spacing w:val="4"/>
          <w:position w:val="-2"/>
        </w:rPr>
        <w:t>、智库专家评价体系构</w:t>
      </w:r>
      <w:r>
        <w:rPr>
          <w:spacing w:val="8"/>
          <w:position w:val="-2"/>
        </w:rPr>
        <w:t>建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7"/>
        </w:rPr>
        <w:t>[11]</w:t>
      </w:r>
      <w:r>
        <w:rPr>
          <w:rFonts w:ascii="Times New Roman" w:hAnsi="Times New Roman" w:eastAsia="Times New Roman" w:cs="Times New Roman"/>
          <w:sz w:val="13"/>
          <w:szCs w:val="13"/>
          <w:spacing w:val="-13"/>
          <w:position w:val="7"/>
        </w:rPr>
        <w:t xml:space="preserve"> </w:t>
      </w:r>
      <w:r>
        <w:rPr>
          <w:spacing w:val="8"/>
          <w:position w:val="-2"/>
        </w:rPr>
        <w:t>等。四是，强调综合影响力。王健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7"/>
        </w:rPr>
        <w:t>[12]</w:t>
      </w:r>
      <w:r>
        <w:rPr>
          <w:spacing w:val="8"/>
          <w:position w:val="-2"/>
        </w:rPr>
        <w:t>认为，</w:t>
      </w:r>
      <w:r>
        <w:rPr>
          <w:spacing w:val="8"/>
        </w:rPr>
        <w:t>智库竞争力具体表现为智库的内部组织运作优势</w:t>
      </w:r>
      <w:r>
        <w:rPr>
          <w:spacing w:val="-3"/>
        </w:rPr>
        <w:t>和各种影响力。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76"/>
        <w:spacing w:before="35" w:line="222" w:lineRule="auto"/>
        <w:jc w:val="both"/>
        <w:rPr/>
      </w:pPr>
      <w:r>
        <w:rPr>
          <w:spacing w:val="19"/>
        </w:rPr>
        <w:t>回到高校智库这一研究本体，应充分结合</w:t>
      </w:r>
      <w:r>
        <w:rPr>
          <w:spacing w:val="3"/>
        </w:rPr>
        <w:t>《意见》对高校智库发展的定位和要求，即高校要</w:t>
      </w:r>
      <w:r>
        <w:rPr>
          <w:spacing w:val="7"/>
        </w:rPr>
        <w:t>发挥学科齐全、人才密集和对外交流广泛的优势，</w:t>
      </w:r>
      <w:r>
        <w:rPr>
          <w:spacing w:val="17"/>
        </w:rPr>
        <w:t>深入实施中国特色新型高校智库建设推进计划，</w:t>
      </w:r>
      <w:r>
        <w:rPr>
          <w:spacing w:val="14"/>
        </w:rPr>
        <w:t>推动高校智力服务能力整体提升。当前，对高校</w:t>
      </w:r>
      <w:r>
        <w:rPr>
          <w:spacing w:val="25"/>
        </w:rPr>
        <w:t>智库竞争力的研究也有一定成果。例如，庞丽</w:t>
      </w:r>
      <w:r>
        <w:rPr>
          <w:spacing w:val="12"/>
          <w:position w:val="-1"/>
        </w:rPr>
        <w:t>娟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7"/>
        </w:rPr>
        <w:t>[13]</w:t>
      </w:r>
      <w:r>
        <w:rPr>
          <w:spacing w:val="12"/>
          <w:position w:val="-1"/>
        </w:rPr>
        <w:t>提出，要充分发挥新型教育智库在国家战略</w:t>
      </w:r>
      <w:r>
        <w:rPr>
          <w:spacing w:val="14"/>
        </w:rPr>
        <w:t>与教育改革发展中的决策咨询与支持作用；王小</w:t>
      </w:r>
      <w:r>
        <w:rPr>
          <w:spacing w:val="12"/>
          <w:position w:val="-1"/>
        </w:rPr>
        <w:t>飞等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7"/>
        </w:rPr>
        <w:t>[14]</w:t>
      </w:r>
      <w:r>
        <w:rPr>
          <w:spacing w:val="12"/>
          <w:position w:val="-1"/>
        </w:rPr>
        <w:t>分析了政府教育智库服务教育决策的路径</w:t>
      </w:r>
      <w:r>
        <w:rPr>
          <w:spacing w:val="11"/>
          <w:position w:val="-1"/>
        </w:rPr>
        <w:t>依赖与突破；王轶珍等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8"/>
        </w:rPr>
        <w:t>[15]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 xml:space="preserve"> </w:t>
      </w:r>
      <w:r>
        <w:rPr>
          <w:spacing w:val="11"/>
          <w:position w:val="-1"/>
        </w:rPr>
        <w:t>以厦门大学高等教育发</w:t>
      </w:r>
      <w:r>
        <w:rPr>
          <w:spacing w:val="14"/>
        </w:rPr>
        <w:t>展研究中心、清华大学教育战略决策与国家规划</w:t>
      </w:r>
      <w:r>
        <w:rPr>
          <w:spacing w:val="14"/>
        </w:rPr>
        <w:t>研究中心、华东师范大学国家教育宏观政策研究</w:t>
      </w:r>
      <w:r>
        <w:rPr>
          <w:spacing w:val="14"/>
        </w:rPr>
        <w:t>院、华南师范大学粤港澳大湾区教育发展高等研</w:t>
      </w:r>
      <w:r>
        <w:rPr>
          <w:spacing w:val="9"/>
        </w:rPr>
        <w:t>究院等</w:t>
      </w:r>
      <w:r>
        <w:rPr>
          <w:rFonts w:ascii="Times New Roman" w:hAnsi="Times New Roman" w:eastAsia="Times New Roman" w:cs="Times New Roman"/>
          <w:spacing w:val="9"/>
        </w:rPr>
        <w:t>7</w:t>
      </w:r>
      <w:r>
        <w:rPr>
          <w:spacing w:val="9"/>
        </w:rPr>
        <w:t>个高校智库为例，构建高校教育智库竞争</w:t>
      </w:r>
      <w:r>
        <w:rPr>
          <w:spacing w:val="7"/>
        </w:rPr>
        <w:t>力建设影响因素模型。在综合前人研究的基础上，</w:t>
      </w:r>
      <w:r>
        <w:rPr>
          <w:spacing w:val="14"/>
        </w:rPr>
        <w:t>借鉴竞争力理论，结合《意见》对高校智库发展</w:t>
      </w:r>
      <w:r>
        <w:rPr>
          <w:spacing w:val="14"/>
        </w:rPr>
        <w:t>的定位和要求，本文认为高校智库竞争力是指高</w:t>
      </w:r>
      <w:r>
        <w:rPr>
          <w:spacing w:val="14"/>
        </w:rPr>
        <w:t>校智库运用自身的学科优势、人才优势等资源优</w:t>
      </w:r>
      <w:r>
        <w:rPr>
          <w:spacing w:val="14"/>
        </w:rPr>
        <w:t>势，并将其转化为高质量产品、产生影响力的综</w:t>
      </w:r>
      <w:r>
        <w:rPr>
          <w:spacing w:val="24"/>
        </w:rPr>
        <w:t>合能力。</w:t>
      </w:r>
    </w:p>
    <w:p>
      <w:pPr>
        <w:pStyle w:val="BodyText"/>
        <w:ind w:left="16" w:right="67" w:firstLine="533"/>
        <w:spacing w:before="10" w:line="221" w:lineRule="auto"/>
        <w:tabs>
          <w:tab w:val="left" w:pos="126"/>
        </w:tabs>
        <w:jc w:val="both"/>
        <w:rPr/>
      </w:pPr>
      <w:r>
        <w:rPr>
          <w:spacing w:val="9"/>
        </w:rPr>
        <w:t>新型高校智库历经十年的发展，粗放式以量</w:t>
      </w:r>
      <w:r>
        <w:rPr>
          <w:spacing w:val="13"/>
        </w:rPr>
        <w:t>取胜的要求已经无法满足政策市场的需求。事实</w:t>
      </w:r>
      <w:r>
        <w:rPr>
          <w:spacing w:val="13"/>
        </w:rPr>
        <w:t>证明，新时代高校智库建设过程中应遵循教育部</w:t>
      </w:r>
      <w:r>
        <w:rPr>
          <w:spacing w:val="3"/>
        </w:rPr>
        <w:t>“总体设计、点面结合、突出重点、分类实施”要</w:t>
      </w:r>
      <w:r>
        <w:rPr>
          <w:spacing w:val="7"/>
          <w:position w:val="-2"/>
        </w:rPr>
        <w:t>求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6"/>
        </w:rPr>
        <w:t>[16] </w:t>
      </w:r>
      <w:r>
        <w:rPr>
          <w:spacing w:val="7"/>
          <w:position w:val="-2"/>
        </w:rPr>
        <w:t>，应当从粗放式经营转向集约式经营</w:t>
      </w:r>
      <w:r>
        <w:rPr>
          <w:spacing w:val="-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6"/>
        </w:rPr>
        <w:t>[17]</w:t>
      </w:r>
      <w:r>
        <w:rPr>
          <w:spacing w:val="7"/>
          <w:position w:val="-2"/>
        </w:rPr>
        <w:t>，主</w:t>
      </w:r>
      <w:r>
        <w:rPr>
          <w:spacing w:val="24"/>
        </w:rPr>
        <w:t>要抓手是重视竞争力建设。在具体实践中，自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7"/>
        </w:rPr>
        <w:t>2018</w:t>
      </w:r>
      <w:r>
        <w:rPr>
          <w:spacing w:val="7"/>
        </w:rPr>
        <w:t>年开始，随着浙江工业大学全球智库研究中</w:t>
      </w:r>
      <w:r>
        <w:rPr>
          <w:spacing w:val="5"/>
        </w:rPr>
        <w:t>心发布中国大学智库机构百强排行榜，  </w:t>
      </w:r>
      <w:r>
        <w:rPr>
          <w:rFonts w:ascii="Times New Roman" w:hAnsi="Times New Roman" w:eastAsia="Times New Roman" w:cs="Times New Roman"/>
        </w:rPr>
        <w:t>CTTI</w:t>
      </w:r>
      <w:r>
        <w:rPr>
          <w:spacing w:val="5"/>
        </w:rPr>
        <w:t>南京</w:t>
      </w:r>
      <w:r>
        <w:rPr>
          <w:spacing w:val="13"/>
        </w:rPr>
        <w:t>大学中国智库研究与评价中心每年发布高校智库</w:t>
      </w:r>
      <w:r>
        <w:rPr>
          <w:spacing w:val="13"/>
        </w:rPr>
        <w:t>百强榜，部分研究机构和省份开始评选高校智库</w:t>
      </w:r>
      <w:r>
        <w:rPr>
          <w:spacing w:val="4"/>
        </w:rPr>
        <w:t>榜单，更加突出智库的核心竞争力，具体见表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spacing w:val="4"/>
        </w:rPr>
        <w:t>。</w:t>
      </w:r>
    </w:p>
    <w:p>
      <w:pPr>
        <w:pStyle w:val="BodyText"/>
        <w:ind w:left="126" w:right="67" w:firstLine="424"/>
        <w:spacing w:before="8" w:line="224" w:lineRule="auto"/>
        <w:jc w:val="both"/>
        <w:rPr/>
      </w:pPr>
      <w:r>
        <w:rPr>
          <w:spacing w:val="9"/>
        </w:rPr>
        <w:t>无论从学理层面还是从实践层面，都充分说</w:t>
      </w:r>
      <w:r>
        <w:rPr>
          <w:spacing w:val="8"/>
        </w:rPr>
        <w:t>明加强竞争力建设是推动高校智库实现高质量发</w:t>
      </w:r>
      <w:r>
        <w:rPr>
          <w:spacing w:val="8"/>
        </w:rPr>
        <w:t>展的必由之路。高校智库竞争力是智库机构的综</w:t>
      </w:r>
      <w:r>
        <w:rPr>
          <w:spacing w:val="8"/>
        </w:rPr>
        <w:t>合实力的重要证明。高校智库只有不断提升自身</w:t>
      </w:r>
      <w:r>
        <w:rPr>
          <w:spacing w:val="8"/>
        </w:rPr>
        <w:t>的竞争力，才能更好地在全国乃至世界范围内的</w:t>
      </w:r>
      <w:r>
        <w:rPr>
          <w:spacing w:val="8"/>
        </w:rPr>
        <w:t>海量智库中脱颖而出，为党和国家科学决策提供</w:t>
      </w:r>
      <w:r>
        <w:rPr>
          <w:spacing w:val="-4"/>
        </w:rPr>
        <w:t>重要的智力支持。</w:t>
      </w:r>
    </w:p>
    <w:p>
      <w:pPr>
        <w:ind w:left="166" w:right="179" w:firstLine="1"/>
        <w:spacing w:before="103" w:line="267" w:lineRule="auto"/>
        <w:shd w:val="clear" w:fill="306566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color w:val="FFFFFF"/>
          <w:spacing w:val="8"/>
        </w:rPr>
        <w:t>2    </w:t>
      </w:r>
      <w:r>
        <w:rPr>
          <w:rFonts w:ascii="SimHei" w:hAnsi="SimHei" w:eastAsia="SimHei" w:cs="SimHei"/>
          <w:sz w:val="23"/>
          <w:szCs w:val="23"/>
          <w:color w:val="FFFFFF"/>
          <w:spacing w:val="8"/>
        </w:rPr>
        <w:t>不足与困境：高校智库竞争力建设的存</w:t>
      </w:r>
      <w:r>
        <w:rPr>
          <w:rFonts w:ascii="SimHei" w:hAnsi="SimHei" w:eastAsia="SimHei" w:cs="SimHei"/>
          <w:sz w:val="23"/>
          <w:szCs w:val="23"/>
          <w:color w:val="FFFFFF"/>
          <w:spacing w:val="8"/>
        </w:rPr>
        <w:t>在问题</w:t>
      </w:r>
    </w:p>
    <w:p>
      <w:pPr>
        <w:pStyle w:val="BodyText"/>
        <w:ind w:left="554"/>
        <w:spacing w:before="198" w:line="181" w:lineRule="auto"/>
        <w:rPr/>
      </w:pPr>
      <w:r>
        <w:rPr>
          <w:spacing w:val="8"/>
        </w:rPr>
        <w:t>经历十年发展，我国高校智库实现了蓬勃发</w:t>
      </w:r>
    </w:p>
    <w:p>
      <w:pPr>
        <w:spacing w:line="181" w:lineRule="auto"/>
        <w:sectPr>
          <w:type w:val="continuous"/>
          <w:pgSz w:w="11906" w:h="16838"/>
          <w:pgMar w:top="400" w:right="1065" w:bottom="471" w:left="1012" w:header="0" w:footer="232" w:gutter="0"/>
          <w:cols w:equalWidth="0" w:num="2">
            <w:col w:w="4945" w:space="100"/>
            <w:col w:w="4783" w:space="0"/>
          </w:cols>
        </w:sectPr>
        <w:rPr/>
      </w:pPr>
    </w:p>
    <w:p>
      <w:pPr>
        <w:ind w:left="128"/>
        <w:spacing w:before="198" w:line="168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163399</wp:posOffset>
            </wp:positionH>
            <wp:positionV relativeFrom="paragraph">
              <wp:posOffset>-9443246</wp:posOffset>
            </wp:positionV>
            <wp:extent cx="375999" cy="18143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99" cy="18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6.0629pt;margin-top:-744.329pt;mso-position-vertical-relative:text;mso-position-horizontal-relative:text;width:2.85pt;height:28.45pt;z-index:251666432;" fillcolor="#909FA0" filled="true" stroked="false" coordsize="56,569" coordorigin="0,0" path="m0,318l0,0l56,0l56,318em0,568l0,318l56,318l56,568e"/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  <w:position w:val="-3"/>
        </w:rPr>
        <w:t>98</w:t>
      </w:r>
    </w:p>
    <w:p>
      <w:pPr>
        <w:spacing w:line="168" w:lineRule="exact"/>
        <w:sectPr>
          <w:type w:val="continuous"/>
          <w:pgSz w:w="11906" w:h="16838"/>
          <w:pgMar w:top="400" w:right="1065" w:bottom="471" w:left="1012" w:header="0" w:footer="232" w:gutter="0"/>
          <w:cols w:equalWidth="0" w:num="1">
            <w:col w:w="9828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ind w:left="126"/>
        <w:spacing w:before="65"/>
        <w:rPr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306566"/>
          <w:spacing w:val="-2"/>
        </w:rPr>
        <w:t>徐清</w:t>
      </w:r>
      <w:r>
        <w:rPr>
          <w:rFonts w:ascii="KaiTi" w:hAnsi="KaiTi" w:eastAsia="KaiTi" w:cs="KaiTi"/>
          <w:sz w:val="20"/>
          <w:szCs w:val="20"/>
          <w:color w:val="306566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30"/>
        </w:rPr>
        <w:t xml:space="preserve"> </w:t>
      </w:r>
      <w:r>
        <w:rPr>
          <w:rFonts w:ascii="KaiTi" w:hAnsi="KaiTi" w:eastAsia="KaiTi" w:cs="KaiTi"/>
          <w:sz w:val="20"/>
          <w:szCs w:val="20"/>
          <w:color w:val="306566"/>
          <w:spacing w:val="-2"/>
        </w:rPr>
        <w:t>丁炫凯</w:t>
      </w:r>
      <w:r>
        <w:rPr>
          <w:rFonts w:ascii="KaiTi" w:hAnsi="KaiTi" w:eastAsia="KaiTi" w:cs="KaiTi"/>
          <w:sz w:val="20"/>
          <w:szCs w:val="20"/>
          <w:color w:val="306566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8"/>
        </w:rPr>
        <w:t xml:space="preserve"> </w:t>
      </w:r>
      <w:r>
        <w:rPr>
          <w:rFonts w:ascii="KaiTi" w:hAnsi="KaiTi" w:eastAsia="KaiTi" w:cs="KaiTi"/>
          <w:sz w:val="20"/>
          <w:szCs w:val="20"/>
          <w:color w:val="306566"/>
          <w:spacing w:val="-2"/>
        </w:rPr>
        <w:t>新时代高校智库竞争力建设的现</w:t>
      </w:r>
      <w:r>
        <w:rPr>
          <w:rFonts w:ascii="KaiTi" w:hAnsi="KaiTi" w:eastAsia="KaiTi" w:cs="KaiTi"/>
          <w:sz w:val="20"/>
          <w:szCs w:val="20"/>
          <w:color w:val="306566"/>
          <w:spacing w:val="-3"/>
        </w:rPr>
        <w:t>状困境与实践启示</w:t>
      </w:r>
      <w:r>
        <w:rPr>
          <w:rFonts w:ascii="KaiTi" w:hAnsi="KaiTi" w:eastAsia="KaiTi" w:cs="KaiTi"/>
          <w:sz w:val="20"/>
          <w:szCs w:val="20"/>
          <w:color w:val="306566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3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6"/>
        </w:rPr>
        <w:t xml:space="preserve"> </w:t>
      </w:r>
      <w:r>
        <w:rPr>
          <w:rFonts w:ascii="KaiTi" w:hAnsi="KaiTi" w:eastAsia="KaiTi" w:cs="KaiTi"/>
          <w:sz w:val="20"/>
          <w:szCs w:val="20"/>
          <w:color w:val="306566"/>
          <w:spacing w:val="-3"/>
        </w:rPr>
        <w:t>智库理论与实践，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3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306566"/>
          <w:spacing w:val="-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3"/>
        </w:rPr>
        <w:t>10(5)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color w:val="306566"/>
          <w:spacing w:val="-3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3"/>
        </w:rPr>
        <w:t>97-104.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10"/>
        </w:rPr>
        <w:t xml:space="preserve"> </w:t>
      </w:r>
      <w:r>
        <w:rPr>
          <w:sz w:val="20"/>
          <w:szCs w:val="20"/>
          <w:position w:val="-15"/>
        </w:rPr>
        <w:drawing>
          <wp:inline distT="0" distB="0" distL="0" distR="0">
            <wp:extent cx="36004" cy="3606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3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38"/>
        <w:spacing w:before="178" w:line="215" w:lineRule="auto"/>
        <w:rPr>
          <w:sz w:val="17"/>
          <w:szCs w:val="17"/>
        </w:rPr>
      </w:pPr>
      <w:r>
        <w:rPr>
          <w:sz w:val="17"/>
          <w:szCs w:val="17"/>
          <w:color w:val="306566"/>
          <w:spacing w:val="7"/>
        </w:rPr>
        <w:t>表1</w:t>
      </w:r>
      <w:r>
        <w:rPr>
          <w:sz w:val="17"/>
          <w:szCs w:val="17"/>
          <w:color w:val="306566"/>
          <w:spacing w:val="17"/>
        </w:rPr>
        <w:t xml:space="preserve">   </w:t>
      </w:r>
      <w:r>
        <w:rPr>
          <w:sz w:val="17"/>
          <w:szCs w:val="17"/>
          <w:color w:val="306566"/>
          <w:spacing w:val="7"/>
        </w:rPr>
        <w:t>高校智库排行榜不完全统计</w:t>
      </w:r>
    </w:p>
    <w:p>
      <w:pPr>
        <w:pStyle w:val="BodyText"/>
        <w:ind w:left="2798"/>
        <w:spacing w:before="23" w:line="198" w:lineRule="auto"/>
        <w:rPr>
          <w:sz w:val="17"/>
          <w:szCs w:val="17"/>
        </w:rPr>
      </w:pPr>
      <w:r>
        <w:rPr>
          <w:sz w:val="17"/>
          <w:szCs w:val="17"/>
          <w:color w:val="306566"/>
          <w:spacing w:val="-4"/>
        </w:rPr>
        <w:t>Table</w:t>
      </w:r>
      <w:r>
        <w:rPr>
          <w:sz w:val="17"/>
          <w:szCs w:val="17"/>
          <w:color w:val="306566"/>
          <w:spacing w:val="31"/>
        </w:rPr>
        <w:t xml:space="preserve"> </w:t>
      </w:r>
      <w:r>
        <w:rPr>
          <w:sz w:val="17"/>
          <w:szCs w:val="17"/>
          <w:color w:val="306566"/>
          <w:spacing w:val="-4"/>
        </w:rPr>
        <w:t>1    Incomplete</w:t>
      </w:r>
      <w:r>
        <w:rPr>
          <w:sz w:val="17"/>
          <w:szCs w:val="17"/>
          <w:color w:val="306566"/>
          <w:spacing w:val="23"/>
          <w:w w:val="101"/>
        </w:rPr>
        <w:t xml:space="preserve"> </w:t>
      </w:r>
      <w:r>
        <w:rPr>
          <w:sz w:val="17"/>
          <w:szCs w:val="17"/>
          <w:color w:val="306566"/>
          <w:spacing w:val="-4"/>
        </w:rPr>
        <w:t>ranking</w:t>
      </w:r>
      <w:r>
        <w:rPr>
          <w:sz w:val="17"/>
          <w:szCs w:val="17"/>
          <w:color w:val="306566"/>
          <w:spacing w:val="17"/>
        </w:rPr>
        <w:t xml:space="preserve"> </w:t>
      </w:r>
      <w:r>
        <w:rPr>
          <w:sz w:val="17"/>
          <w:szCs w:val="17"/>
          <w:color w:val="306566"/>
          <w:spacing w:val="-4"/>
        </w:rPr>
        <w:t>of</w:t>
      </w:r>
      <w:r>
        <w:rPr>
          <w:sz w:val="17"/>
          <w:szCs w:val="17"/>
          <w:color w:val="306566"/>
          <w:spacing w:val="23"/>
        </w:rPr>
        <w:t xml:space="preserve"> </w:t>
      </w:r>
      <w:r>
        <w:rPr>
          <w:sz w:val="17"/>
          <w:szCs w:val="17"/>
          <w:color w:val="306566"/>
          <w:spacing w:val="-4"/>
        </w:rPr>
        <w:t>university</w:t>
      </w:r>
      <w:r>
        <w:rPr>
          <w:sz w:val="17"/>
          <w:szCs w:val="17"/>
          <w:color w:val="306566"/>
          <w:spacing w:val="13"/>
          <w:w w:val="101"/>
        </w:rPr>
        <w:t xml:space="preserve"> </w:t>
      </w:r>
      <w:r>
        <w:rPr>
          <w:sz w:val="17"/>
          <w:szCs w:val="17"/>
          <w:color w:val="306566"/>
          <w:spacing w:val="-5"/>
        </w:rPr>
        <w:t>think</w:t>
      </w:r>
      <w:r>
        <w:rPr>
          <w:sz w:val="17"/>
          <w:szCs w:val="17"/>
          <w:color w:val="306566"/>
          <w:spacing w:val="14"/>
        </w:rPr>
        <w:t xml:space="preserve"> </w:t>
      </w:r>
      <w:r>
        <w:rPr>
          <w:sz w:val="17"/>
          <w:szCs w:val="17"/>
          <w:color w:val="306566"/>
          <w:spacing w:val="-5"/>
        </w:rPr>
        <w:t>tanks</w:t>
      </w:r>
    </w:p>
    <w:p>
      <w:pPr>
        <w:spacing w:line="31" w:lineRule="exact"/>
        <w:rPr/>
      </w:pPr>
      <w:r/>
    </w:p>
    <w:tbl>
      <w:tblPr>
        <w:tblStyle w:val="TableNormal"/>
        <w:tblW w:w="9637" w:type="dxa"/>
        <w:tblInd w:w="1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68"/>
        <w:gridCol w:w="3035"/>
        <w:gridCol w:w="1428"/>
        <w:gridCol w:w="1106"/>
      </w:tblGrid>
      <w:tr>
        <w:trPr>
          <w:trHeight w:val="291" w:hRule="atLeast"/>
        </w:trPr>
        <w:tc>
          <w:tcPr>
            <w:tcW w:w="406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714"/>
              <w:spacing w:before="74" w:line="17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评选名称</w:t>
            </w:r>
          </w:p>
        </w:tc>
        <w:tc>
          <w:tcPr>
            <w:tcW w:w="303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214"/>
              <w:spacing w:before="73" w:line="17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发布机构</w:t>
            </w:r>
          </w:p>
        </w:tc>
        <w:tc>
          <w:tcPr>
            <w:tcW w:w="142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79"/>
              <w:spacing w:before="73" w:line="17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发布年份（年）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78"/>
              <w:spacing w:before="73" w:line="17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收录数量</w:t>
            </w:r>
          </w:p>
        </w:tc>
      </w:tr>
      <w:tr>
        <w:trPr>
          <w:trHeight w:val="295" w:hRule="atLeast"/>
        </w:trPr>
        <w:tc>
          <w:tcPr>
            <w:tcW w:w="4068" w:type="dxa"/>
            <w:vAlign w:val="top"/>
            <w:tcBorders>
              <w:top w:val="single" w:color="000000" w:sz="2" w:space="0"/>
            </w:tcBorders>
          </w:tcPr>
          <w:p>
            <w:pPr>
              <w:ind w:left="924"/>
              <w:spacing w:before="57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中国大学智库机构百强排行榜</w:t>
            </w:r>
          </w:p>
        </w:tc>
        <w:tc>
          <w:tcPr>
            <w:tcW w:w="3035" w:type="dxa"/>
            <w:vAlign w:val="top"/>
            <w:tcBorders>
              <w:top w:val="single" w:color="000000" w:sz="2" w:space="0"/>
            </w:tcBorders>
          </w:tcPr>
          <w:p>
            <w:pPr>
              <w:ind w:left="88"/>
              <w:spacing w:before="68" w:line="17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浙江工业大学全球智库研究中心</w:t>
            </w:r>
          </w:p>
        </w:tc>
        <w:tc>
          <w:tcPr>
            <w:tcW w:w="14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7"/>
              <w:spacing w:before="39" w:line="236" w:lineRule="exact"/>
              <w:rPr/>
            </w:pPr>
            <w:r>
              <w:rPr>
                <w:spacing w:val="4"/>
                <w:position w:val="1"/>
              </w:rPr>
              <w:t>2018</w:t>
            </w:r>
          </w:p>
        </w:tc>
        <w:tc>
          <w:tcPr>
            <w:tcW w:w="11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4"/>
              <w:spacing w:before="39" w:line="236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5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29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2018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58" w:line="17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28" w:line="237" w:lineRule="exact"/>
              <w:rPr/>
            </w:pPr>
            <w:r>
              <w:rPr>
                <w:spacing w:val="4"/>
                <w:position w:val="1"/>
              </w:rPr>
              <w:t>2018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28" w:line="237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29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2019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58" w:line="17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29" w:line="237" w:lineRule="exact"/>
              <w:rPr/>
            </w:pPr>
            <w:r>
              <w:rPr>
                <w:spacing w:val="4"/>
                <w:position w:val="1"/>
              </w:rPr>
              <w:t>2019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29" w:line="237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29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2020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58" w:line="17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0" w:line="236" w:lineRule="exact"/>
              <w:rPr/>
            </w:pPr>
            <w:r>
              <w:rPr>
                <w:spacing w:val="4"/>
                <w:position w:val="1"/>
              </w:rPr>
              <w:t>2020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30" w:line="236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30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2021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60" w:line="17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0" w:line="237" w:lineRule="exact"/>
              <w:rPr/>
            </w:pPr>
            <w:r>
              <w:rPr>
                <w:spacing w:val="4"/>
                <w:position w:val="1"/>
              </w:rPr>
              <w:t>2021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30" w:line="237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ind w:left="636"/>
              <w:spacing w:before="60" w:line="17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河南省高校新型智库影响力十强名单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61" w:line="17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河南省教育厅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1" w:line="236" w:lineRule="exact"/>
              <w:rPr/>
            </w:pPr>
            <w:r>
              <w:rPr>
                <w:spacing w:val="4"/>
                <w:position w:val="1"/>
              </w:rPr>
              <w:t>2022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59"/>
              <w:spacing w:before="31" w:line="236" w:lineRule="exact"/>
              <w:rPr/>
            </w:pPr>
            <w:r>
              <w:rPr>
                <w:spacing w:val="-3"/>
                <w:position w:val="1"/>
              </w:rPr>
              <w:t>10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3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2022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61" w:line="17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2" w:line="236" w:lineRule="exact"/>
              <w:rPr/>
            </w:pPr>
            <w:r>
              <w:rPr>
                <w:spacing w:val="4"/>
                <w:position w:val="1"/>
              </w:rPr>
              <w:t>2022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32" w:line="236" w:lineRule="exact"/>
              <w:rPr/>
            </w:pPr>
            <w:r>
              <w:rPr>
                <w:spacing w:val="-2"/>
                <w:position w:val="1"/>
              </w:rPr>
              <w:t>101</w:t>
            </w:r>
          </w:p>
        </w:tc>
      </w:tr>
      <w:tr>
        <w:trPr>
          <w:trHeight w:val="285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086"/>
              <w:spacing w:before="3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2023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63" w:line="17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3" w:line="237" w:lineRule="exact"/>
              <w:rPr/>
            </w:pPr>
            <w:r>
              <w:rPr>
                <w:spacing w:val="4"/>
                <w:position w:val="1"/>
              </w:rPr>
              <w:t>2023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14"/>
              <w:spacing w:before="33" w:line="237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456"/>
              <w:spacing w:before="3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7"/>
              </w:rPr>
              <w:t>河南省新型高校品牌智库（</w:t>
            </w:r>
            <w:r>
              <w:rPr>
                <w:spacing w:val="7"/>
              </w:rPr>
              <w:t>2024</w:t>
            </w:r>
            <w:r>
              <w:rPr>
                <w:rFonts w:ascii="Microsoft YaHei" w:hAnsi="Microsoft YaHei" w:eastAsia="Microsoft YaHei" w:cs="Microsoft YaHei"/>
                <w:spacing w:val="7"/>
              </w:rPr>
              <w:t>—</w:t>
            </w:r>
            <w:r>
              <w:rPr>
                <w:spacing w:val="7"/>
              </w:rPr>
              <w:t>2025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）</w:t>
            </w:r>
          </w:p>
        </w:tc>
        <w:tc>
          <w:tcPr>
            <w:tcW w:w="3035" w:type="dxa"/>
            <w:vAlign w:val="top"/>
          </w:tcPr>
          <w:p>
            <w:pPr>
              <w:ind w:left="87"/>
              <w:spacing w:before="63" w:line="17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河南省教育厅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3" w:line="236" w:lineRule="exact"/>
              <w:rPr/>
            </w:pPr>
            <w:r>
              <w:rPr>
                <w:spacing w:val="4"/>
                <w:position w:val="1"/>
              </w:rPr>
              <w:t>2023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42"/>
              <w:spacing w:before="33" w:line="236" w:lineRule="exact"/>
              <w:rPr/>
            </w:pPr>
            <w:r>
              <w:rPr>
                <w:spacing w:val="3"/>
                <w:position w:val="1"/>
              </w:rPr>
              <w:t>23</w:t>
            </w:r>
          </w:p>
        </w:tc>
      </w:tr>
      <w:tr>
        <w:trPr>
          <w:trHeight w:val="2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289"/>
              <w:spacing w:before="34" w:line="197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中国教育智库榜单（ </w:t>
            </w:r>
            <w:r>
              <w:rPr/>
              <w:t>China</w:t>
            </w:r>
            <w:r>
              <w:rPr>
                <w:spacing w:val="33"/>
              </w:rPr>
              <w:t xml:space="preserve"> </w:t>
            </w:r>
            <w:r>
              <w:rPr/>
              <w:t>education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think</w:t>
            </w:r>
            <w:r>
              <w:rPr>
                <w:spacing w:val="18"/>
              </w:rPr>
              <w:t xml:space="preserve"> </w:t>
            </w:r>
            <w:r>
              <w:rPr/>
              <w:t>tank</w:t>
            </w:r>
          </w:p>
        </w:tc>
        <w:tc>
          <w:tcPr>
            <w:tcW w:w="3035" w:type="dxa"/>
            <w:vAlign w:val="top"/>
          </w:tcPr>
          <w:p>
            <w:pPr>
              <w:ind w:left="89"/>
              <w:spacing w:before="63" w:line="17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长江教育研究院、华中师范大学国家</w:t>
            </w:r>
          </w:p>
        </w:tc>
        <w:tc>
          <w:tcPr>
            <w:tcW w:w="14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64"/>
              <w:spacing w:before="34" w:line="198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evaluation</w:t>
            </w:r>
            <w:r>
              <w:rPr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，</w:t>
            </w:r>
            <w:r>
              <w:rPr/>
              <w:t>CETTE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）高校类教育智库（综合性大</w:t>
            </w:r>
          </w:p>
        </w:tc>
        <w:tc>
          <w:tcPr>
            <w:tcW w:w="3035" w:type="dxa"/>
            <w:vAlign w:val="top"/>
          </w:tcPr>
          <w:p>
            <w:pPr>
              <w:ind w:left="88"/>
              <w:spacing w:before="64" w:line="17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教育治理研究院、北京外国语大学国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27"/>
              <w:spacing w:before="34" w:line="237" w:lineRule="exact"/>
              <w:rPr/>
            </w:pPr>
            <w:r>
              <w:rPr>
                <w:spacing w:val="4"/>
                <w:position w:val="1"/>
              </w:rPr>
              <w:t>2023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41"/>
              <w:spacing w:before="34" w:line="237" w:lineRule="exact"/>
              <w:rPr/>
            </w:pPr>
            <w:r>
              <w:rPr>
                <w:spacing w:val="3"/>
                <w:position w:val="1"/>
              </w:rPr>
              <w:t>40</w:t>
            </w:r>
          </w:p>
        </w:tc>
      </w:tr>
      <w:tr>
        <w:trPr>
          <w:trHeight w:val="282" w:hRule="atLeast"/>
        </w:trPr>
        <w:tc>
          <w:tcPr>
            <w:tcW w:w="4068" w:type="dxa"/>
            <w:vAlign w:val="top"/>
          </w:tcPr>
          <w:p>
            <w:pPr>
              <w:ind w:left="1447"/>
              <w:spacing w:before="64" w:line="17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学、师范院校）</w:t>
            </w:r>
          </w:p>
        </w:tc>
        <w:tc>
          <w:tcPr>
            <w:tcW w:w="3035" w:type="dxa"/>
            <w:vAlign w:val="top"/>
          </w:tcPr>
          <w:p>
            <w:pPr>
              <w:ind w:left="98"/>
              <w:spacing w:before="62" w:line="17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际教育学院</w:t>
            </w:r>
          </w:p>
        </w:tc>
        <w:tc>
          <w:tcPr>
            <w:tcW w:w="14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40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86"/>
              <w:spacing w:before="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2024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年度高校智库百强榜</w:t>
            </w:r>
          </w:p>
        </w:tc>
        <w:tc>
          <w:tcPr>
            <w:tcW w:w="3035" w:type="dxa"/>
            <w:vAlign w:val="top"/>
            <w:tcBorders>
              <w:bottom w:val="single" w:color="000000" w:sz="4" w:space="0"/>
            </w:tcBorders>
          </w:tcPr>
          <w:p>
            <w:pPr>
              <w:ind w:left="87"/>
              <w:spacing w:before="65" w:line="17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南京大学中国智库研究与评价中心</w:t>
            </w:r>
          </w:p>
        </w:tc>
        <w:tc>
          <w:tcPr>
            <w:tcW w:w="14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27"/>
              <w:spacing w:before="36" w:line="237" w:lineRule="exact"/>
              <w:rPr/>
            </w:pPr>
            <w:r>
              <w:rPr>
                <w:spacing w:val="4"/>
                <w:position w:val="1"/>
              </w:rPr>
              <w:t>2024</w:t>
            </w:r>
          </w:p>
        </w:tc>
        <w:tc>
          <w:tcPr>
            <w:tcW w:w="11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4"/>
              <w:spacing w:before="36" w:line="237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60"/>
        <w:rPr/>
      </w:pPr>
      <w:r/>
    </w:p>
    <w:p>
      <w:pPr>
        <w:sectPr>
          <w:footerReference w:type="default" r:id="rId8"/>
          <w:pgSz w:w="11906" w:h="16838"/>
          <w:pgMar w:top="400" w:right="1053" w:bottom="471" w:left="1012" w:header="0" w:footer="232" w:gutter="0"/>
          <w:cols w:equalWidth="0" w:num="1">
            <w:col w:w="9840" w:space="0"/>
          </w:cols>
        </w:sectPr>
        <w:rPr/>
      </w:pPr>
    </w:p>
    <w:p>
      <w:pPr>
        <w:pStyle w:val="BodyText"/>
        <w:ind w:left="123" w:right="285" w:firstLine="1"/>
        <w:spacing w:before="42" w:line="222" w:lineRule="auto"/>
        <w:rPr/>
      </w:pPr>
      <w:r>
        <w:rPr>
          <w:spacing w:val="8"/>
        </w:rPr>
        <w:t>展，产出大量决策咨询研究报告，为推进国家治</w:t>
      </w:r>
      <w:r>
        <w:rPr>
          <w:spacing w:val="8"/>
        </w:rPr>
        <w:t>理体系和治理能力现代化、建设教育强国做出重</w:t>
      </w:r>
      <w:r>
        <w:rPr>
          <w:spacing w:val="4"/>
          <w:position w:val="-1"/>
        </w:rPr>
        <w:t>要贡献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[18] </w:t>
      </w:r>
      <w:r>
        <w:rPr>
          <w:spacing w:val="4"/>
          <w:position w:val="-1"/>
        </w:rPr>
        <w:t>。与此同时，也带来诸多问题与挑战：</w:t>
      </w:r>
      <w:r>
        <w:rPr>
          <w:spacing w:val="11"/>
        </w:rPr>
        <w:t>一是，缺乏具有广泛影响力的高质量智库成果；</w:t>
      </w:r>
      <w:r>
        <w:rPr>
          <w:spacing w:val="8"/>
        </w:rPr>
        <w:t>二是，智库的成果发布渠道较为单一，限制其综</w:t>
      </w:r>
      <w:r>
        <w:rPr>
          <w:spacing w:val="8"/>
        </w:rPr>
        <w:t>合影响力；三是，高校智库的从业者存在主体身</w:t>
      </w:r>
      <w:r>
        <w:rPr>
          <w:spacing w:val="8"/>
        </w:rPr>
        <w:t>份认知偏差，学科建设有待完善。部分高校智库</w:t>
      </w:r>
      <w:r>
        <w:rPr>
          <w:spacing w:val="8"/>
        </w:rPr>
        <w:t>缺乏对自身的准确定位和建设方案，不利于核心</w:t>
      </w:r>
      <w:r>
        <w:rPr>
          <w:spacing w:val="-3"/>
        </w:rPr>
        <w:t>竞争力的形成和长足发展。</w:t>
      </w:r>
    </w:p>
    <w:p>
      <w:pPr>
        <w:ind w:left="126"/>
        <w:spacing w:before="165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2.1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成果水平质量有限，引领作用欠缺</w:t>
      </w:r>
    </w:p>
    <w:p>
      <w:pPr>
        <w:pStyle w:val="BodyText"/>
        <w:ind w:left="123" w:right="271" w:firstLine="430"/>
        <w:spacing w:before="248" w:line="222" w:lineRule="auto"/>
        <w:jc w:val="both"/>
        <w:rPr/>
      </w:pPr>
      <w:r>
        <w:rPr>
          <w:spacing w:val="8"/>
        </w:rPr>
        <w:t>高校智库的五大功能，尤其是咨政建言和理</w:t>
      </w:r>
      <w:r>
        <w:rPr>
          <w:spacing w:val="8"/>
        </w:rPr>
        <w:t>论创新两个功能，都离不开优质的智库成果。虽</w:t>
      </w:r>
      <w:r>
        <w:rPr>
          <w:spacing w:val="8"/>
        </w:rPr>
        <w:t>然高校智库已获得长足发展，其成果被决策层频</w:t>
      </w:r>
      <w:r>
        <w:rPr>
          <w:spacing w:val="12"/>
        </w:rPr>
        <w:t>繁称赞，但是从总体上看，存在成果水平有限、</w:t>
      </w:r>
      <w:r>
        <w:rPr>
          <w:spacing w:val="-3"/>
        </w:rPr>
        <w:t>引领作用欠缺的问题。</w:t>
      </w:r>
    </w:p>
    <w:p>
      <w:pPr>
        <w:pStyle w:val="BodyText"/>
        <w:ind w:left="122" w:right="271" w:firstLine="426"/>
        <w:spacing w:before="11" w:line="221" w:lineRule="auto"/>
        <w:jc w:val="both"/>
        <w:rPr/>
      </w:pPr>
      <w:r>
        <w:rPr>
          <w:spacing w:val="2"/>
        </w:rPr>
        <w:t>具体表现，可以分为以下三类。  一是，内部</w:t>
      </w:r>
      <w:r>
        <w:rPr>
          <w:spacing w:val="8"/>
        </w:rPr>
        <w:t>存在智库同质化倾向。沃纳菲尔特等强调充分发</w:t>
      </w:r>
      <w:r>
        <w:rPr>
          <w:spacing w:val="1"/>
        </w:rPr>
        <w:t>挥内部资源的作用，获得竞争优势。在现实层面，</w:t>
      </w:r>
      <w:r>
        <w:rPr>
          <w:spacing w:val="8"/>
        </w:rPr>
        <w:t>高校受限于各层各级的“指标魔咒”，导致一所</w:t>
      </w:r>
      <w:r>
        <w:rPr>
          <w:spacing w:val="8"/>
        </w:rPr>
        <w:t>高校内部拥有多个智库，研究人员彼此交叉，研</w:t>
      </w:r>
      <w:r>
        <w:rPr>
          <w:spacing w:val="12"/>
        </w:rPr>
        <w:t>究成果相互重叠，造成重复研究现象，浪费人、</w:t>
      </w:r>
      <w:r>
        <w:rPr>
          <w:spacing w:val="2"/>
        </w:rPr>
        <w:t>财、物等科研资源，导致智库难以产生质量上乘、</w:t>
      </w:r>
      <w:r>
        <w:rPr>
          <w:spacing w:val="11"/>
        </w:rPr>
        <w:t>特色鲜明的研究成果。尤其是高水平高校智库，</w:t>
      </w:r>
      <w:r>
        <w:rPr>
          <w:spacing w:val="8"/>
        </w:rPr>
        <w:t>应当锚定国家重大战略需求，聚焦牵动全局的重</w:t>
      </w:r>
      <w:r>
        <w:rPr>
          <w:spacing w:val="1"/>
        </w:rPr>
        <w:t>要课题，开展前瞻性、针对性和储备性政策研究，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23" w:line="223" w:lineRule="auto"/>
        <w:jc w:val="both"/>
        <w:rPr/>
      </w:pPr>
      <w:r>
        <w:rPr>
          <w:spacing w:val="8"/>
        </w:rPr>
        <w:t>直接为党中央、国务院决策服务。然而，当该类</w:t>
      </w:r>
      <w:r>
        <w:rPr>
          <w:spacing w:val="8"/>
        </w:rPr>
        <w:t>高校内部建有多个智库时，则在一定程度上弱化</w:t>
      </w:r>
      <w:r>
        <w:rPr>
          <w:spacing w:val="8"/>
        </w:rPr>
        <w:t>和消解集聚优势，势必难以形成与国际知名智库</w:t>
      </w:r>
      <w:r>
        <w:rPr>
          <w:spacing w:val="12"/>
        </w:rPr>
        <w:t>相抗衡的拳头产品，最终制约高校智库的发展。</w:t>
      </w:r>
      <w:r>
        <w:rPr>
          <w:spacing w:val="8"/>
        </w:rPr>
        <w:t>二是，成果呈现表象化、具体化、碎片化。对于</w:t>
      </w:r>
      <w:r>
        <w:rPr>
          <w:spacing w:val="8"/>
        </w:rPr>
        <w:t>大部分高校智库而言，其成果主要是对既有政策</w:t>
      </w:r>
      <w:r>
        <w:rPr>
          <w:spacing w:val="8"/>
        </w:rPr>
        <w:t>的阐释，在推动政策走向、引领舆论等方面的作</w:t>
      </w:r>
      <w:r>
        <w:rPr>
          <w:spacing w:val="6"/>
          <w:position w:val="-1"/>
        </w:rPr>
        <w:t>用发挥较为欠缺，甚至出现“情报政治化”</w:t>
      </w:r>
      <w:r>
        <w:rPr>
          <w:spacing w:val="-3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8"/>
        </w:rPr>
        <w:t>[19]</w:t>
      </w:r>
      <w:r>
        <w:rPr>
          <w:spacing w:val="6"/>
          <w:position w:val="-1"/>
        </w:rPr>
        <w:t>现</w:t>
      </w:r>
      <w:r>
        <w:rPr>
          <w:spacing w:val="8"/>
        </w:rPr>
        <w:t>象。部分高校智库热衷于对政府发布的文件、政</w:t>
      </w:r>
      <w:r>
        <w:rPr>
          <w:spacing w:val="8"/>
        </w:rPr>
        <w:t>策和热点事件进行解读，成果呈现表象化、具体</w:t>
      </w:r>
      <w:r>
        <w:rPr>
          <w:spacing w:val="8"/>
        </w:rPr>
        <w:t>化、碎片化等特征，缺乏战略性、前瞻性、引领</w:t>
      </w:r>
      <w:r>
        <w:rPr>
          <w:spacing w:val="8"/>
        </w:rPr>
        <w:t>性。三是，缺乏源发性、引领性智库成果。波特</w:t>
      </w:r>
      <w:r>
        <w:rPr>
          <w:spacing w:val="8"/>
        </w:rPr>
        <w:t>强调企业产业是竞争优势的关键。相对于智库而</w:t>
      </w:r>
      <w:r>
        <w:rPr>
          <w:spacing w:val="8"/>
        </w:rPr>
        <w:t>言，决策市场就是智库面对的产业。优质的智库</w:t>
      </w:r>
      <w:r>
        <w:rPr>
          <w:spacing w:val="8"/>
        </w:rPr>
        <w:t>需要发布源发性、引领性的产品，方可抢占决策</w:t>
      </w:r>
      <w:r>
        <w:rPr>
          <w:spacing w:val="8"/>
        </w:rPr>
        <w:t>市场。比如，国外著名智库擅长产出“文明的冲</w:t>
      </w:r>
      <w:r>
        <w:rPr>
          <w:spacing w:val="-4"/>
        </w:rPr>
        <w:t>突”“中美</w:t>
      </w:r>
      <w:r>
        <w:rPr>
          <w:rFonts w:ascii="Times New Roman" w:hAnsi="Times New Roman" w:eastAsia="Times New Roman" w:cs="Times New Roman"/>
          <w:spacing w:val="-4"/>
        </w:rPr>
        <w:t>G2</w:t>
      </w:r>
      <w:r>
        <w:rPr>
          <w:spacing w:val="-4"/>
        </w:rPr>
        <w:t>模式”等引领性的源发性观点。与外</w:t>
      </w:r>
      <w:r>
        <w:rPr>
          <w:spacing w:val="8"/>
        </w:rPr>
        <w:t>国智库相比，我国高校智库在国家治理方面的智</w:t>
      </w:r>
      <w:r>
        <w:rPr>
          <w:spacing w:val="8"/>
        </w:rPr>
        <w:t>力引领作用欠佳，尤其是面对西方的话语霸权时</w:t>
      </w:r>
      <w:r>
        <w:rPr>
          <w:spacing w:val="8"/>
        </w:rPr>
        <w:t>缺乏主动出击的能力，鲜有立即产出与之对抗的</w:t>
      </w:r>
      <w:r>
        <w:rPr>
          <w:spacing w:val="8"/>
        </w:rPr>
        <w:t>引领性成果，更多是被动地应对，导致我国智库</w:t>
      </w:r>
      <w:r>
        <w:rPr>
          <w:position w:val="-1"/>
        </w:rPr>
        <w:t>只能在西方的话语框架下跟随讨论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[20]</w:t>
      </w:r>
      <w:r>
        <w:rPr>
          <w:position w:val="-1"/>
        </w:rPr>
        <w:t>。</w:t>
      </w:r>
    </w:p>
    <w:p>
      <w:pPr>
        <w:ind w:left="2"/>
        <w:spacing w:before="142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2.2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成果发布渠道单一，传播效能欠缺</w:t>
      </w:r>
    </w:p>
    <w:p>
      <w:pPr>
        <w:pStyle w:val="BodyText"/>
        <w:ind w:left="4" w:right="80" w:firstLine="423"/>
        <w:spacing w:before="252" w:line="222" w:lineRule="auto"/>
        <w:rPr/>
      </w:pPr>
      <w:r>
        <w:rPr>
          <w:spacing w:val="9"/>
        </w:rPr>
        <w:t>在十年的建设过程中，高校智库总体数量呈</w:t>
      </w:r>
      <w:r>
        <w:rPr>
          <w:spacing w:val="8"/>
        </w:rPr>
        <w:t>现倍增的趋势，成果数量也呈现爆发式增长。然</w:t>
      </w:r>
    </w:p>
    <w:p>
      <w:pPr>
        <w:spacing w:line="222" w:lineRule="auto"/>
        <w:sectPr>
          <w:type w:val="continuous"/>
          <w:pgSz w:w="11906" w:h="16838"/>
          <w:pgMar w:top="400" w:right="1053" w:bottom="471" w:left="1012" w:header="0" w:footer="232" w:gutter="0"/>
          <w:cols w:equalWidth="0" w:num="2">
            <w:col w:w="5070" w:space="100"/>
            <w:col w:w="4670" w:space="0"/>
          </w:cols>
        </w:sectPr>
        <w:rPr/>
      </w:pPr>
    </w:p>
    <w:p>
      <w:pPr>
        <w:spacing w:line="355" w:lineRule="auto"/>
        <w:rPr>
          <w:rFonts w:ascii="Arial"/>
          <w:sz w:val="21"/>
        </w:rPr>
      </w:pPr>
      <w:r>
        <w:pict>
          <v:shape id="_x0000_s20" style="position:absolute;margin-left:6.0629pt;margin-top:-701.096pt;mso-position-vertical-relative:text;mso-position-horizontal-relative:text;width:481.9pt;height:0.6pt;z-index:251668480;" fillcolor="#000000" filled="true" stroked="false" coordsize="9637,12" coordorigin="0,0" path="m9637,11l0,11l0,0l9637,0e"/>
        </w:pict>
      </w:r>
      <w:r/>
    </w:p>
    <w:p>
      <w:pPr>
        <w:ind w:left="9526"/>
        <w:spacing w:before="66" w:line="168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  <w:position w:val="-3"/>
        </w:rPr>
        <w:t>99</w:t>
      </w:r>
    </w:p>
    <w:p>
      <w:pPr>
        <w:spacing w:line="168" w:lineRule="exact"/>
        <w:sectPr>
          <w:type w:val="continuous"/>
          <w:pgSz w:w="11906" w:h="16838"/>
          <w:pgMar w:top="400" w:right="1053" w:bottom="471" w:left="1012" w:header="0" w:footer="232" w:gutter="0"/>
          <w:cols w:equalWidth="0" w:num="1">
            <w:col w:w="9840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3" w:line="175" w:lineRule="exact"/>
        <w:rPr>
          <w:sz w:val="17"/>
          <w:szCs w:val="17"/>
        </w:rPr>
      </w:pPr>
      <w:r>
        <w:rPr>
          <w:sz w:val="17"/>
          <w:szCs w:val="17"/>
          <w:color w:val="306566"/>
          <w:spacing w:val="11"/>
          <w:position w:val="-1"/>
        </w:rPr>
        <w:t>理论与实践</w:t>
      </w:r>
    </w:p>
    <w:p>
      <w:pPr>
        <w:ind w:left="884"/>
        <w:spacing w:before="30" w:line="18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6566"/>
          <w:spacing w:val="1"/>
        </w:rPr>
        <w:t>THINK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TANK:</w:t>
      </w:r>
      <w:r>
        <w:rPr>
          <w:rFonts w:ascii="Arial" w:hAnsi="Arial" w:eastAsia="Arial" w:cs="Arial"/>
          <w:sz w:val="5"/>
          <w:szCs w:val="5"/>
          <w:color w:val="306566"/>
          <w:spacing w:val="7"/>
          <w:w w:val="102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THEORY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&amp;</w:t>
      </w:r>
      <w:r>
        <w:rPr>
          <w:rFonts w:ascii="Arial" w:hAnsi="Arial" w:eastAsia="Arial" w:cs="Arial"/>
          <w:sz w:val="5"/>
          <w:szCs w:val="5"/>
          <w:color w:val="306566"/>
          <w:spacing w:val="6"/>
          <w:w w:val="10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PRACTICE</w:t>
      </w:r>
    </w:p>
    <w:p>
      <w:pPr>
        <w:ind w:left="265"/>
        <w:spacing w:before="60" w:line="262" w:lineRule="exact"/>
        <w:rPr>
          <w:rFonts w:ascii="SimHei" w:hAnsi="SimHei" w:eastAsia="SimHei" w:cs="SimHei"/>
          <w:sz w:val="20"/>
          <w:szCs w:val="20"/>
        </w:rPr>
      </w:pPr>
      <w:r>
        <w:pict>
          <v:shape id="_x0000_s22" style="position:absolute;margin-left:6.0629pt;margin-top:18.377pt;mso-position-vertical-relative:text;mso-position-horizontal-relative:text;width:481.9pt;height:0.6pt;z-index:251673600;" fillcolor="#000000" filled="true" stroked="false" coordsize="9637,12" coordorigin="0,0" path="m9637,11l0,11l0,0l9637,0e"/>
        </w:pic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4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卷</w:t>
      </w:r>
      <w:r>
        <w:rPr>
          <w:rFonts w:ascii="SimHei" w:hAnsi="SimHei" w:eastAsia="SimHei" w:cs="SimHei"/>
          <w:sz w:val="20"/>
          <w:szCs w:val="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期</w:t>
      </w:r>
      <w:r>
        <w:rPr>
          <w:rFonts w:ascii="SimHei" w:hAnsi="SimHei" w:eastAsia="SimHei" w:cs="SimHei"/>
          <w:sz w:val="20"/>
          <w:szCs w:val="20"/>
          <w:spacing w:val="1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年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月</w:t>
      </w:r>
    </w:p>
    <w:p>
      <w:pPr>
        <w:spacing w:before="27"/>
        <w:rPr/>
      </w:pPr>
      <w:r/>
    </w:p>
    <w:p>
      <w:pPr>
        <w:sectPr>
          <w:footerReference w:type="default" r:id="rId10"/>
          <w:pgSz w:w="11906" w:h="16838"/>
          <w:pgMar w:top="400" w:right="1049" w:bottom="471" w:left="1012" w:header="0" w:footer="232" w:gutter="0"/>
          <w:cols w:equalWidth="0" w:num="1">
            <w:col w:w="9844" w:space="0"/>
          </w:cols>
        </w:sectPr>
        <w:rPr/>
      </w:pPr>
    </w:p>
    <w:p>
      <w:pPr>
        <w:pStyle w:val="BodyText"/>
        <w:ind w:left="140" w:right="353" w:hanging="10"/>
        <w:spacing w:before="40" w:line="222" w:lineRule="auto"/>
        <w:rPr/>
      </w:pPr>
      <w:r>
        <w:rPr>
          <w:spacing w:val="8"/>
        </w:rPr>
        <w:t>而，因为面临多重审核把关、体制机制等因素局</w:t>
      </w:r>
      <w:r>
        <w:rPr>
          <w:spacing w:val="-3"/>
        </w:rPr>
        <w:t>限，成果发布渠道单一，传播效能欠缺。</w:t>
      </w:r>
    </w:p>
    <w:p>
      <w:pPr>
        <w:pStyle w:val="BodyText"/>
        <w:ind w:left="120" w:right="269" w:firstLine="428"/>
        <w:spacing w:before="47" w:line="221" w:lineRule="auto"/>
        <w:jc w:val="both"/>
        <w:rPr/>
      </w:pPr>
      <w:r>
        <w:rPr>
          <w:spacing w:val="2"/>
        </w:rPr>
        <w:t>具体表现，可以分为以下三类。  一是，发布</w:t>
      </w:r>
      <w:r>
        <w:rPr>
          <w:spacing w:val="8"/>
        </w:rPr>
        <w:t>平台单一。高校智库产品发布的平台主要有学术</w:t>
      </w:r>
      <w:r>
        <w:rPr>
          <w:spacing w:val="12"/>
        </w:rPr>
        <w:t>会议、研讨会、成果发布会、智库论坛等形式。</w:t>
      </w:r>
      <w:r>
        <w:rPr>
          <w:spacing w:val="8"/>
        </w:rPr>
        <w:t>以上平台具有一定的迟滞性，相较而言，网站和</w:t>
      </w:r>
      <w:r>
        <w:rPr/>
        <w:t>网络应用程序（ </w:t>
      </w:r>
      <w:r>
        <w:rPr>
          <w:rFonts w:ascii="Times New Roman" w:hAnsi="Times New Roman" w:eastAsia="Times New Roman" w:cs="Times New Roman"/>
        </w:rPr>
        <w:t>application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/>
        <w:t>，</w:t>
      </w:r>
      <w:r>
        <w:rPr>
          <w:rFonts w:ascii="Times New Roman" w:hAnsi="Times New Roman" w:eastAsia="Times New Roman" w:cs="Times New Roman"/>
        </w:rPr>
        <w:t>APP</w:t>
      </w:r>
      <w:r>
        <w:rPr/>
        <w:t>）、小程序等方</w:t>
      </w:r>
      <w:r>
        <w:rPr>
          <w:spacing w:val="8"/>
        </w:rPr>
        <w:t>式更为迅捷。在世界影响力前</w:t>
      </w: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spacing w:val="8"/>
        </w:rPr>
        <w:t>的智库中，几乎</w:t>
      </w:r>
      <w:r>
        <w:rPr>
          <w:spacing w:val="14"/>
        </w:rPr>
        <w:t>每家智库都在油管（ </w:t>
      </w:r>
      <w:r>
        <w:rPr>
          <w:rFonts w:ascii="Times New Roman" w:hAnsi="Times New Roman" w:eastAsia="Times New Roman" w:cs="Times New Roman"/>
        </w:rPr>
        <w:t>Youtube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）、脸书（ </w:t>
      </w:r>
      <w:r>
        <w:rPr>
          <w:rFonts w:ascii="Times New Roman" w:hAnsi="Times New Roman" w:eastAsia="Times New Roman" w:cs="Times New Roman"/>
        </w:rPr>
        <w:t>Face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book</w:t>
      </w:r>
      <w:r>
        <w:rPr>
          <w:spacing w:val="1"/>
        </w:rPr>
        <w:t>）、</w:t>
      </w:r>
      <w:r>
        <w:rPr>
          <w:rFonts w:ascii="Times New Roman" w:hAnsi="Times New Roman" w:eastAsia="Times New Roman" w:cs="Times New Roman"/>
          <w:spacing w:val="1"/>
        </w:rPr>
        <w:t>X</w:t>
      </w:r>
      <w:r>
        <w:rPr>
          <w:spacing w:val="1"/>
        </w:rPr>
        <w:t>（原</w:t>
      </w:r>
      <w:r>
        <w:rPr>
          <w:rFonts w:ascii="Times New Roman" w:hAnsi="Times New Roman" w:eastAsia="Times New Roman" w:cs="Times New Roman"/>
        </w:rPr>
        <w:t>Twitter</w:t>
      </w:r>
      <w:r>
        <w:rPr>
          <w:spacing w:val="1"/>
        </w:rPr>
        <w:t>）上开设了官方账号，而我</w:t>
      </w:r>
      <w:r>
        <w:rPr>
          <w:spacing w:val="1"/>
          <w:position w:val="-1"/>
        </w:rPr>
        <w:t>国只有</w:t>
      </w:r>
      <w:r>
        <w:rPr>
          <w:rFonts w:ascii="Times New Roman" w:hAnsi="Times New Roman" w:eastAsia="Times New Roman" w:cs="Times New Roman"/>
          <w:spacing w:val="1"/>
          <w:position w:val="-1"/>
        </w:rPr>
        <w:t>4</w:t>
      </w:r>
      <w:r>
        <w:rPr>
          <w:spacing w:val="1"/>
          <w:position w:val="-1"/>
        </w:rPr>
        <w:t>家智库开设了账号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[21]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8"/>
        </w:rPr>
        <w:t xml:space="preserve"> </w:t>
      </w:r>
      <w:r>
        <w:rPr>
          <w:spacing w:val="1"/>
          <w:position w:val="-1"/>
        </w:rPr>
        <w:t>。显然，我国</w:t>
      </w:r>
      <w:r>
        <w:rPr>
          <w:position w:val="-1"/>
        </w:rPr>
        <w:t>高校智</w:t>
      </w:r>
      <w:r>
        <w:rPr>
          <w:spacing w:val="8"/>
        </w:rPr>
        <w:t>库全媒体矩阵建设不够，存在国际传播的渠道较</w:t>
      </w:r>
      <w:r>
        <w:rPr>
          <w:spacing w:val="8"/>
        </w:rPr>
        <w:t>为狭窄、传播工具较为单一等短板。二是，智库</w:t>
      </w:r>
      <w:r>
        <w:rPr>
          <w:spacing w:val="8"/>
        </w:rPr>
        <w:t>活动单一。高校智库的活动形式通常以举办年会</w:t>
      </w:r>
      <w:r>
        <w:rPr>
          <w:spacing w:val="1"/>
        </w:rPr>
        <w:t>和相关主题智库论坛为主，种类单一、效果有限，</w:t>
      </w:r>
      <w:r>
        <w:rPr>
          <w:spacing w:val="8"/>
        </w:rPr>
        <w:t>多数活动仅限于发布交流年度重磅智库成果，在</w:t>
      </w:r>
      <w:r>
        <w:rPr>
          <w:spacing w:val="8"/>
        </w:rPr>
        <w:t>合作进行课题研究、共享人才和资源等方面推进</w:t>
      </w:r>
      <w:r>
        <w:rPr>
          <w:spacing w:val="8"/>
        </w:rPr>
        <w:t>作用欠缺。三是，发布手段单一。高校智库发布</w:t>
      </w:r>
      <w:r>
        <w:rPr>
          <w:spacing w:val="2"/>
        </w:rPr>
        <w:t>成果主要为决策咨询报告、期刊论文、调研报告、</w:t>
      </w:r>
      <w:r>
        <w:rPr>
          <w:spacing w:val="7"/>
        </w:rPr>
        <w:t>专著、简报和内参等文章形式，发布手段呈现</w:t>
      </w:r>
      <w:r>
        <w:rPr>
          <w:rFonts w:ascii="Times New Roman" w:hAnsi="Times New Roman" w:eastAsia="Times New Roman" w:cs="Times New Roman"/>
          <w:spacing w:val="7"/>
        </w:rPr>
        <w:t>3P</w:t>
      </w:r>
      <w:r>
        <w:rPr>
          <w:spacing w:val="12"/>
        </w:rPr>
        <w:t>倾向：“</w:t>
      </w:r>
      <w:r>
        <w:rPr>
          <w:rFonts w:ascii="Times New Roman" w:hAnsi="Times New Roman" w:eastAsia="Times New Roman" w:cs="Times New Roman"/>
        </w:rPr>
        <w:t>Paper</w:t>
      </w:r>
      <w:r>
        <w:rPr>
          <w:rFonts w:ascii="Times New Roman" w:hAnsi="Times New Roman" w:eastAsia="Times New Roman" w:cs="Times New Roman"/>
          <w:spacing w:val="12"/>
        </w:rPr>
        <w:t>-</w:t>
      </w:r>
      <w:r>
        <w:rPr>
          <w:rFonts w:ascii="Times New Roman" w:hAnsi="Times New Roman" w:eastAsia="Times New Roman" w:cs="Times New Roman"/>
        </w:rPr>
        <w:t>Paper</w:t>
      </w:r>
      <w:r>
        <w:rPr>
          <w:spacing w:val="12"/>
        </w:rPr>
        <w:t>”，即智库成果以论文与论</w:t>
      </w:r>
      <w:r>
        <w:rPr>
          <w:spacing w:val="5"/>
        </w:rPr>
        <w:t>文之间的传达，交流研究课题的核心观点；“</w:t>
      </w:r>
      <w:r>
        <w:rPr>
          <w:rFonts w:ascii="Times New Roman" w:hAnsi="Times New Roman" w:eastAsia="Times New Roman" w:cs="Times New Roman"/>
        </w:rPr>
        <w:t>Pa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per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Face</w:t>
      </w:r>
      <w:r>
        <w:rPr>
          <w:spacing w:val="4"/>
        </w:rPr>
        <w:t>”，即智库成果以研究报告、简报、内参</w:t>
      </w:r>
      <w:r>
        <w:rPr>
          <w:spacing w:val="8"/>
        </w:rPr>
        <w:t>等形式直接呈送政府等部门的决策者，为其科学</w:t>
      </w:r>
      <w:r>
        <w:rPr>
          <w:spacing w:val="10"/>
        </w:rPr>
        <w:t>决策提供重要的参考依据；“</w:t>
      </w:r>
      <w:r>
        <w:rPr>
          <w:rFonts w:ascii="Times New Roman" w:hAnsi="Times New Roman" w:eastAsia="Times New Roman" w:cs="Times New Roman"/>
        </w:rPr>
        <w:t>Paper</w:t>
      </w:r>
      <w:r>
        <w:rPr>
          <w:rFonts w:ascii="Times New Roman" w:hAnsi="Times New Roman" w:eastAsia="Times New Roman" w:cs="Times New Roman"/>
          <w:spacing w:val="10"/>
        </w:rPr>
        <w:t>-</w:t>
      </w:r>
      <w:r>
        <w:rPr>
          <w:rFonts w:ascii="Times New Roman" w:hAnsi="Times New Roman" w:eastAsia="Times New Roman" w:cs="Times New Roman"/>
        </w:rPr>
        <w:t>Ear</w:t>
      </w:r>
      <w:r>
        <w:rPr>
          <w:spacing w:val="10"/>
        </w:rPr>
        <w:t>”，即智</w:t>
      </w:r>
      <w:r>
        <w:rPr>
          <w:spacing w:val="8"/>
        </w:rPr>
        <w:t>库成果由纸入耳，向上级领导作发言汇报。与之</w:t>
      </w:r>
      <w:r>
        <w:rPr>
          <w:spacing w:val="1"/>
        </w:rPr>
        <w:t>对比，国外高校智库的专家表达更为自主、即时，</w:t>
      </w:r>
      <w:r>
        <w:rPr>
          <w:spacing w:val="7"/>
        </w:rPr>
        <w:t>发布手段呈现</w:t>
      </w:r>
      <w:r>
        <w:rPr>
          <w:rFonts w:ascii="Times New Roman" w:hAnsi="Times New Roman" w:eastAsia="Times New Roman" w:cs="Times New Roman"/>
          <w:spacing w:val="7"/>
        </w:rPr>
        <w:t>3F</w:t>
      </w:r>
      <w:r>
        <w:rPr>
          <w:spacing w:val="7"/>
        </w:rPr>
        <w:t>倾向：“</w:t>
      </w:r>
      <w:r>
        <w:rPr>
          <w:rFonts w:ascii="Times New Roman" w:hAnsi="Times New Roman" w:eastAsia="Times New Roman" w:cs="Times New Roman"/>
        </w:rPr>
        <w:t>Face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>Face</w:t>
      </w:r>
      <w:r>
        <w:rPr>
          <w:spacing w:val="7"/>
        </w:rPr>
        <w:t>”，即智库专</w:t>
      </w:r>
      <w:r>
        <w:rPr>
          <w:spacing w:val="3"/>
        </w:rPr>
        <w:t>家与受众进行面对面的发声；“</w:t>
      </w:r>
      <w:r>
        <w:rPr>
          <w:rFonts w:ascii="Times New Roman" w:hAnsi="Times New Roman" w:eastAsia="Times New Roman" w:cs="Times New Roman"/>
        </w:rPr>
        <w:t>Face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TV</w:t>
      </w:r>
      <w:r>
        <w:rPr>
          <w:spacing w:val="3"/>
        </w:rPr>
        <w:t>”，即智</w:t>
      </w:r>
      <w:r>
        <w:rPr>
          <w:spacing w:val="8"/>
        </w:rPr>
        <w:t>库专家接受电视媒体直播、采访，即时表达对某</w:t>
      </w:r>
      <w:r>
        <w:rPr>
          <w:spacing w:val="-1"/>
        </w:rPr>
        <w:t>个热点事件、课题等研究观点；“</w:t>
      </w:r>
      <w:r>
        <w:rPr>
          <w:rFonts w:ascii="Times New Roman" w:hAnsi="Times New Roman" w:eastAsia="Times New Roman" w:cs="Times New Roman"/>
          <w:spacing w:val="-1"/>
        </w:rPr>
        <w:t>Face-Internet</w:t>
      </w:r>
      <w:r>
        <w:rPr>
          <w:spacing w:val="-1"/>
        </w:rPr>
        <w:t>”，</w:t>
      </w:r>
      <w:r>
        <w:rPr>
          <w:spacing w:val="15"/>
        </w:rPr>
        <w:t>即智库专家在</w:t>
      </w:r>
      <w:r>
        <w:rPr>
          <w:rFonts w:ascii="Times New Roman" w:hAnsi="Times New Roman" w:eastAsia="Times New Roman" w:cs="Times New Roman"/>
          <w:spacing w:val="15"/>
        </w:rPr>
        <w:t>X</w:t>
      </w:r>
      <w:r>
        <w:rPr>
          <w:spacing w:val="15"/>
        </w:rPr>
        <w:t>、脸书、油管、照片墙（ </w:t>
      </w:r>
      <w:r>
        <w:rPr>
          <w:rFonts w:ascii="Times New Roman" w:hAnsi="Times New Roman" w:eastAsia="Times New Roman" w:cs="Times New Roman"/>
        </w:rPr>
        <w:t>Insta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gram</w:t>
      </w:r>
      <w:r>
        <w:rPr>
          <w:spacing w:val="1"/>
        </w:rPr>
        <w:t>）和领英（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Linked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In</w:t>
      </w:r>
      <w:r>
        <w:rPr>
          <w:spacing w:val="1"/>
        </w:rPr>
        <w:t>）等互联网社交平台即</w:t>
      </w:r>
      <w:r>
        <w:rPr>
          <w:spacing w:val="8"/>
        </w:rPr>
        <w:t>时发布观点，甚至与受众进行在线互动交流。对</w:t>
      </w:r>
      <w:r>
        <w:rPr>
          <w:spacing w:val="8"/>
        </w:rPr>
        <w:t>比国内外情况，我国高校智库的成果发布因文章</w:t>
      </w:r>
      <w:r>
        <w:rPr>
          <w:spacing w:val="8"/>
        </w:rPr>
        <w:t>学术性强、以纸质为介质等局限性，容易与公众</w:t>
      </w:r>
      <w:r>
        <w:rPr>
          <w:spacing w:val="8"/>
        </w:rPr>
        <w:t>之间形成壁垒，难以与公众直接对话，制约智库</w:t>
      </w:r>
      <w:r>
        <w:rPr>
          <w:spacing w:val="-2"/>
        </w:rPr>
        <w:t>成果的传播力和影响力。</w:t>
      </w:r>
    </w:p>
    <w:p>
      <w:pPr>
        <w:ind w:left="126"/>
        <w:spacing w:before="160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2.3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主体身份认知偏差，学科建设欠缺</w:t>
      </w:r>
    </w:p>
    <w:p>
      <w:pPr>
        <w:pStyle w:val="BodyText"/>
        <w:ind w:left="123" w:right="353" w:firstLine="442"/>
        <w:spacing w:before="253" w:line="233" w:lineRule="auto"/>
        <w:rPr/>
      </w:pPr>
      <w:r>
        <w:rPr>
          <w:spacing w:val="8"/>
        </w:rPr>
        <w:t>当前，我国进入新发展阶段，智库研究面临</w:t>
      </w:r>
      <w:r>
        <w:rPr>
          <w:spacing w:val="8"/>
        </w:rPr>
        <w:t>很多新的要求，尤其是对于智库理论、方法的创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6"/>
        <w:spacing w:before="38" w:line="222" w:lineRule="auto"/>
        <w:jc w:val="both"/>
        <w:rPr/>
      </w:pPr>
      <w:r>
        <w:rPr>
          <w:spacing w:val="8"/>
        </w:rPr>
        <w:t>新需求显著增强，从而形成智库研究的中国方法</w:t>
      </w:r>
      <w:r>
        <w:rPr>
          <w:spacing w:val="8"/>
        </w:rPr>
        <w:t>和中国学派。目前，高校智库的研究人员基本以</w:t>
      </w:r>
      <w:r>
        <w:rPr>
          <w:spacing w:val="1"/>
        </w:rPr>
        <w:t>校内管理学、政治学、经济学等学科的教师为主，</w:t>
      </w:r>
      <w:r>
        <w:rPr>
          <w:spacing w:val="8"/>
        </w:rPr>
        <w:t>有的是直接人事调动至智库机构，有的兼职参与</w:t>
      </w:r>
      <w:r>
        <w:rPr>
          <w:spacing w:val="1"/>
        </w:rPr>
        <w:t>智库研究。这类学科在智库研究中发挥重要作用，</w:t>
      </w:r>
      <w:r>
        <w:rPr>
          <w:spacing w:val="8"/>
        </w:rPr>
        <w:t>但并不是真正意义上的智库学科。目前，中国科</w:t>
      </w:r>
      <w:r>
        <w:rPr>
          <w:spacing w:val="8"/>
        </w:rPr>
        <w:t>学院大学公共政策与管理学院已在公共管理一级</w:t>
      </w:r>
    </w:p>
    <w:p>
      <w:pPr>
        <w:pStyle w:val="BodyText"/>
        <w:ind w:left="3" w:right="84" w:firstLine="2"/>
        <w:spacing w:before="1" w:line="221" w:lineRule="auto"/>
        <w:jc w:val="both"/>
        <w:rPr/>
      </w:pPr>
      <w:r>
        <w:rPr>
          <w:spacing w:val="8"/>
        </w:rPr>
        <w:t>学科下设置“智库理论与方法”特色方向，并构</w:t>
      </w:r>
      <w:r>
        <w:rPr>
          <w:spacing w:val="8"/>
        </w:rPr>
        <w:t>建相应的知识体系与课程体系。相比之下，国内</w:t>
      </w:r>
      <w:r>
        <w:rPr>
          <w:spacing w:val="-2"/>
        </w:rPr>
        <w:t>其他高校在该领域的学科建设进展相对有限。</w:t>
      </w:r>
    </w:p>
    <w:p>
      <w:pPr>
        <w:pStyle w:val="BodyText"/>
        <w:ind w:left="1" w:firstLine="426"/>
        <w:spacing w:before="9" w:line="222" w:lineRule="auto"/>
        <w:jc w:val="both"/>
        <w:rPr/>
      </w:pPr>
      <w:r>
        <w:rPr>
          <w:spacing w:val="2"/>
        </w:rPr>
        <w:t>具体表现，可以分为以下三类。  一是，主体</w:t>
      </w:r>
      <w:r>
        <w:rPr>
          <w:spacing w:val="8"/>
        </w:rPr>
        <w:t>存在认知偏差。国外智库起步较早，在专业化人</w:t>
      </w:r>
      <w:r>
        <w:rPr>
          <w:spacing w:val="8"/>
        </w:rPr>
        <w:t>才建设方面经验丰富，比如，兰德公司采用“旋</w:t>
      </w:r>
      <w:r>
        <w:rPr>
          <w:spacing w:val="8"/>
        </w:rPr>
        <w:t>转门”机制，汇聚学界、政界、商界、媒体界等</w:t>
      </w:r>
      <w:r>
        <w:rPr>
          <w:spacing w:val="1"/>
          <w:position w:val="-1"/>
        </w:rPr>
        <w:t>各界精英，打造专业化的智库团队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[22]</w:t>
      </w:r>
      <w:r>
        <w:rPr>
          <w:spacing w:val="1"/>
          <w:position w:val="-1"/>
        </w:rPr>
        <w:t>。相比而言，</w:t>
      </w:r>
      <w:r>
        <w:rPr>
          <w:spacing w:val="8"/>
        </w:rPr>
        <w:t>我国高校智库起步较晚，发展时间相对较短，智</w:t>
      </w:r>
      <w:r>
        <w:rPr>
          <w:spacing w:val="8"/>
        </w:rPr>
        <w:t>库人才队伍建设机制有待加强，“从业者往往是</w:t>
      </w:r>
      <w:r>
        <w:rPr>
          <w:spacing w:val="1"/>
          <w:position w:val="-1"/>
        </w:rPr>
        <w:t>从相关社科专业转型而来”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8"/>
        </w:rPr>
        <w:t>[23]</w:t>
      </w:r>
      <w:r>
        <w:rPr>
          <w:rFonts w:ascii="Times New Roman" w:hAnsi="Times New Roman" w:eastAsia="Times New Roman" w:cs="Times New Roman"/>
          <w:sz w:val="13"/>
          <w:szCs w:val="13"/>
          <w:spacing w:val="-6"/>
          <w:position w:val="8"/>
        </w:rPr>
        <w:t xml:space="preserve"> </w:t>
      </w:r>
      <w:r>
        <w:rPr>
          <w:spacing w:val="1"/>
          <w:position w:val="-1"/>
        </w:rPr>
        <w:t>。高校智库</w:t>
      </w:r>
      <w:r>
        <w:rPr>
          <w:position w:val="-1"/>
        </w:rPr>
        <w:t>在人员、</w:t>
      </w:r>
      <w:r>
        <w:rPr>
          <w:spacing w:val="8"/>
        </w:rPr>
        <w:t>业务上与高校有较大交叉，这使高校思维难以在</w:t>
      </w:r>
      <w:r>
        <w:rPr>
          <w:spacing w:val="8"/>
        </w:rPr>
        <w:t>短时间内完全转变，智库从业者存在身份认知偏</w:t>
      </w:r>
      <w:r>
        <w:rPr>
          <w:spacing w:val="8"/>
        </w:rPr>
        <w:t>差，认为自身等同于社科研究者。事实上，社科</w:t>
      </w:r>
      <w:r>
        <w:rPr>
          <w:spacing w:val="8"/>
        </w:rPr>
        <w:t>专家并不能够与智库专家划上等号，前者侧重学</w:t>
      </w:r>
      <w:r>
        <w:rPr>
          <w:spacing w:val="8"/>
        </w:rPr>
        <w:t>术研究的深度、精度，而后者更着眼于智库思想</w:t>
      </w:r>
      <w:r>
        <w:rPr>
          <w:spacing w:val="5"/>
          <w:position w:val="-1"/>
        </w:rPr>
        <w:t>成果的落地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[24] </w:t>
      </w:r>
      <w:r>
        <w:rPr>
          <w:spacing w:val="5"/>
          <w:position w:val="-1"/>
        </w:rPr>
        <w:t>。智库从业者更加强调行动性和思</w:t>
      </w:r>
      <w:r>
        <w:rPr>
          <w:spacing w:val="8"/>
        </w:rPr>
        <w:t>想性，不仅要做实证研究，也要具有强烈的选题</w:t>
      </w:r>
      <w:r>
        <w:rPr>
          <w:spacing w:val="8"/>
        </w:rPr>
        <w:t>意识、深刻的前瞻思维、高度的时政敏感和娴熟</w:t>
      </w:r>
      <w:r>
        <w:rPr>
          <w:spacing w:val="8"/>
        </w:rPr>
        <w:t>的媒体经验。二是，学科建设进程迟缓。新形势</w:t>
      </w:r>
      <w:r>
        <w:rPr>
          <w:spacing w:val="8"/>
        </w:rPr>
        <w:t>下知识更新加速，知识传播提速，科研成果爆发</w:t>
      </w:r>
      <w:r>
        <w:rPr>
          <w:spacing w:val="8"/>
        </w:rPr>
        <w:t>且应用周期缩短，社会科学研究的社会化和国际</w:t>
      </w:r>
      <w:r>
        <w:rPr>
          <w:spacing w:val="8"/>
        </w:rPr>
        <w:t>化特征明显，单一学科独立解决重大现实问题的</w:t>
      </w:r>
      <w:r>
        <w:rPr>
          <w:spacing w:val="8"/>
        </w:rPr>
        <w:t>能力日渐不足。随着解决智库问题本身的理论方</w:t>
      </w:r>
      <w:r>
        <w:rPr>
          <w:spacing w:val="8"/>
        </w:rPr>
        <w:t>法创新，智库逐渐朝向学科化方向发展。学科化</w:t>
      </w:r>
      <w:r>
        <w:rPr>
          <w:spacing w:val="8"/>
        </w:rPr>
        <w:t>的显著征是建构学科体系，但是目前智库领域缺</w:t>
      </w:r>
      <w:r>
        <w:rPr>
          <w:spacing w:val="8"/>
        </w:rPr>
        <w:t>乏智库学科体系。三是，学科融合力度不够。高</w:t>
      </w:r>
      <w:r>
        <w:rPr>
          <w:spacing w:val="8"/>
        </w:rPr>
        <w:t>校智库建设需要具有对外传播、政府关系、公共</w:t>
      </w:r>
      <w:r>
        <w:rPr>
          <w:spacing w:val="8"/>
        </w:rPr>
        <w:t>事务、国际交往等能力的人才，而我国高校智库</w:t>
      </w:r>
      <w:r>
        <w:rPr>
          <w:spacing w:val="8"/>
        </w:rPr>
        <w:t>受限于高校学科体系、智库运营机制，难以培养</w:t>
      </w:r>
      <w:r>
        <w:rPr>
          <w:spacing w:val="-2"/>
        </w:rPr>
        <w:t>出满足新时代需求的复合型人才团队。</w:t>
      </w:r>
    </w:p>
    <w:p>
      <w:pPr>
        <w:ind w:left="46" w:right="196" w:hanging="3"/>
        <w:spacing w:before="112" w:line="265" w:lineRule="auto"/>
        <w:shd w:val="clear" w:fill="306566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color w:val="FFFFFF"/>
          <w:spacing w:val="8"/>
        </w:rPr>
        <w:t>3    </w:t>
      </w:r>
      <w:r>
        <w:rPr>
          <w:rFonts w:ascii="SimHei" w:hAnsi="SimHei" w:eastAsia="SimHei" w:cs="SimHei"/>
          <w:sz w:val="23"/>
          <w:szCs w:val="23"/>
          <w:color w:val="FFFFFF"/>
          <w:spacing w:val="8"/>
        </w:rPr>
        <w:t>突破与展望：高校智库竞争力建设的实</w:t>
      </w:r>
      <w:r>
        <w:rPr>
          <w:rFonts w:ascii="SimHei" w:hAnsi="SimHei" w:eastAsia="SimHei" w:cs="SimHei"/>
          <w:sz w:val="23"/>
          <w:szCs w:val="23"/>
          <w:color w:val="FFFFFF"/>
          <w:spacing w:val="7"/>
        </w:rPr>
        <w:t>践启示</w:t>
      </w:r>
    </w:p>
    <w:p>
      <w:pPr>
        <w:pStyle w:val="BodyText"/>
        <w:ind w:left="430"/>
        <w:spacing w:before="169" w:line="229" w:lineRule="auto"/>
        <w:rPr/>
      </w:pPr>
      <w:r>
        <w:rPr>
          <w:spacing w:val="1"/>
        </w:rPr>
        <w:t>通过对</w:t>
      </w:r>
      <w:r>
        <w:rPr>
          <w:rFonts w:ascii="Times New Roman" w:hAnsi="Times New Roman" w:eastAsia="Times New Roman" w:cs="Times New Roman"/>
          <w:spacing w:val="1"/>
        </w:rPr>
        <w:t>2024</w:t>
      </w:r>
      <w:r>
        <w:rPr>
          <w:spacing w:val="1"/>
        </w:rPr>
        <w:t>年</w:t>
      </w:r>
      <w:r>
        <w:rPr>
          <w:rFonts w:ascii="Times New Roman" w:hAnsi="Times New Roman" w:eastAsia="Times New Roman" w:cs="Times New Roman"/>
        </w:rPr>
        <w:t>CTTI</w:t>
      </w:r>
      <w:r>
        <w:rPr>
          <w:spacing w:val="1"/>
        </w:rPr>
        <w:t>收录的</w:t>
      </w:r>
      <w:r>
        <w:rPr>
          <w:rFonts w:ascii="Times New Roman" w:hAnsi="Times New Roman" w:eastAsia="Times New Roman" w:cs="Times New Roman"/>
          <w:spacing w:val="1"/>
        </w:rPr>
        <w:t>795</w:t>
      </w:r>
      <w:r>
        <w:rPr>
          <w:spacing w:val="1"/>
        </w:rPr>
        <w:t>家高校智库</w:t>
      </w:r>
      <w:r>
        <w:rPr/>
        <w:t>进行</w:t>
      </w:r>
    </w:p>
    <w:p>
      <w:pPr>
        <w:spacing w:line="229" w:lineRule="auto"/>
        <w:sectPr>
          <w:type w:val="continuous"/>
          <w:pgSz w:w="11906" w:h="16838"/>
          <w:pgMar w:top="400" w:right="1049" w:bottom="471" w:left="1012" w:header="0" w:footer="232" w:gutter="0"/>
          <w:cols w:equalWidth="0" w:num="2">
            <w:col w:w="5067" w:space="100"/>
            <w:col w:w="4677" w:space="0"/>
          </w:cols>
        </w:sectPr>
        <w:rPr/>
      </w:pPr>
    </w:p>
    <w:p>
      <w:pPr>
        <w:ind w:left="137"/>
        <w:spacing w:before="163" w:line="168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163399</wp:posOffset>
            </wp:positionH>
            <wp:positionV relativeFrom="paragraph">
              <wp:posOffset>-9464849</wp:posOffset>
            </wp:positionV>
            <wp:extent cx="375999" cy="18143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99" cy="18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6.0629pt;margin-top:-746.03pt;mso-position-vertical-relative:text;mso-position-horizontal-relative:text;width:2.85pt;height:28.45pt;z-index:251674624;" fillcolor="#909FA0" filled="true" stroked="false" coordsize="56,569" coordorigin="0,0" path="m0,318l0,0l56,0l56,318em0,568l0,318l56,318l56,568e"/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  <w:position w:val="-3"/>
        </w:rPr>
        <w:t>100</w:t>
      </w:r>
    </w:p>
    <w:p>
      <w:pPr>
        <w:spacing w:line="168" w:lineRule="exact"/>
        <w:sectPr>
          <w:type w:val="continuous"/>
          <w:pgSz w:w="11906" w:h="16838"/>
          <w:pgMar w:top="400" w:right="1049" w:bottom="471" w:left="1012" w:header="0" w:footer="232" w:gutter="0"/>
          <w:cols w:equalWidth="0" w:num="1">
            <w:col w:w="9844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12"/>
          <w:footerReference w:type="default" r:id="rId13"/>
          <w:pgSz w:w="11906" w:h="16838"/>
          <w:pgMar w:top="1429" w:right="1049" w:bottom="471" w:left="1011" w:header="779" w:footer="232" w:gutter="0"/>
          <w:cols w:equalWidth="0" w:num="1">
            <w:col w:w="9845" w:space="0"/>
          </w:cols>
        </w:sectPr>
        <w:rPr/>
      </w:pPr>
    </w:p>
    <w:p>
      <w:pPr>
        <w:pStyle w:val="BodyText"/>
        <w:ind w:left="125" w:right="287" w:firstLine="3"/>
        <w:spacing w:before="46" w:line="222" w:lineRule="auto"/>
        <w:jc w:val="both"/>
        <w:rPr/>
      </w:pPr>
      <w:r>
        <w:rPr>
          <w:spacing w:val="8"/>
        </w:rPr>
        <w:t>梳理分析，可以发现，高校智库竞争力不仅受所</w:t>
      </w:r>
      <w:r>
        <w:rPr>
          <w:spacing w:val="-4"/>
        </w:rPr>
        <w:t>属高校“</w:t>
      </w:r>
      <w:r>
        <w:rPr>
          <w:rFonts w:ascii="Times New Roman" w:hAnsi="Times New Roman" w:eastAsia="Times New Roman" w:cs="Times New Roman"/>
          <w:spacing w:val="-4"/>
        </w:rPr>
        <w:t>985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4"/>
        </w:rPr>
        <w:t>”“</w:t>
      </w:r>
      <w:r>
        <w:rPr>
          <w:rFonts w:ascii="Times New Roman" w:hAnsi="Times New Roman" w:eastAsia="Times New Roman" w:cs="Times New Roman"/>
          <w:spacing w:val="-4"/>
        </w:rPr>
        <w:t>211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4"/>
        </w:rPr>
        <w:t>”“双一流”等办学层次的影</w:t>
      </w:r>
      <w:r>
        <w:rPr>
          <w:spacing w:val="8"/>
        </w:rPr>
        <w:t>响，还有诸多的影响要素。在研究具体的高校智</w:t>
      </w:r>
      <w:r>
        <w:rPr>
          <w:spacing w:val="8"/>
        </w:rPr>
        <w:t>库样本中发现有趣的现象，诸如浙江师范大学是</w:t>
      </w:r>
      <w:r>
        <w:rPr>
          <w:spacing w:val="8"/>
        </w:rPr>
        <w:t>一所与非洲没有天然联系的“双非”院校，而其</w:t>
      </w:r>
      <w:r>
        <w:rPr>
          <w:spacing w:val="8"/>
        </w:rPr>
        <w:t>所属的浙江师范大学非洲研究院却在非洲研究领</w:t>
      </w:r>
      <w:r>
        <w:rPr>
          <w:spacing w:val="19"/>
        </w:rPr>
        <w:t>域做到全国排名第一。也就是说，有诸多“双</w:t>
      </w:r>
      <w:r>
        <w:rPr>
          <w:spacing w:val="8"/>
        </w:rPr>
        <w:t>非”高校突破所属高校办学层次的限制，实现高</w:t>
      </w:r>
      <w:r>
        <w:rPr>
          <w:spacing w:val="8"/>
        </w:rPr>
        <w:t>校智库发展的弯道超车。究其原因，与其自身打</w:t>
      </w:r>
      <w:r>
        <w:rPr>
          <w:spacing w:val="8"/>
        </w:rPr>
        <w:t>造独特的竞争力密不可分。因此，本研究带着分</w:t>
      </w:r>
      <w:r>
        <w:rPr>
          <w:spacing w:val="11"/>
        </w:rPr>
        <w:t>析得出的问题，结合具体的高校智库实践案例，</w:t>
      </w:r>
      <w:r>
        <w:rPr>
          <w:spacing w:val="-2"/>
        </w:rPr>
        <w:t>寻求高校智库竞争力建设的经验启示。</w:t>
      </w:r>
    </w:p>
    <w:p>
      <w:pPr>
        <w:ind w:left="125"/>
        <w:spacing w:before="158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3.1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打造旗舰产品，发挥智库引领作用</w:t>
      </w:r>
    </w:p>
    <w:p>
      <w:pPr>
        <w:pStyle w:val="BodyText"/>
        <w:ind w:left="125" w:right="274" w:firstLine="429"/>
        <w:spacing w:before="254" w:line="224" w:lineRule="auto"/>
        <w:jc w:val="both"/>
        <w:rPr/>
      </w:pPr>
      <w:r>
        <w:rPr>
          <w:spacing w:val="13"/>
        </w:rPr>
        <w:t>克里斯坦森指出，能力是企业竞争的关键。</w:t>
      </w:r>
      <w:r>
        <w:rPr>
          <w:spacing w:val="8"/>
        </w:rPr>
        <w:t>将高校智库与企业类比，首要的能力是高质量智</w:t>
      </w:r>
      <w:r>
        <w:rPr>
          <w:spacing w:val="8"/>
        </w:rPr>
        <w:t>库产品的产出与运用。研究报告、内参、出版物</w:t>
      </w:r>
      <w:r>
        <w:rPr>
          <w:spacing w:val="8"/>
        </w:rPr>
        <w:t>等思想产品是智库分析诊断公共政策问题并提出</w:t>
      </w:r>
      <w:r>
        <w:rPr>
          <w:spacing w:val="8"/>
        </w:rPr>
        <w:t>解决方案的重要形式，是知识转移和成果转化的</w:t>
      </w:r>
      <w:r>
        <w:rPr>
          <w:spacing w:val="5"/>
          <w:position w:val="-1"/>
        </w:rPr>
        <w:t>主要传播途径，更是智库机构的产品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[25] </w:t>
      </w:r>
      <w:r>
        <w:rPr>
          <w:spacing w:val="5"/>
          <w:position w:val="-1"/>
        </w:rPr>
        <w:t>。如何提</w:t>
      </w:r>
      <w:r>
        <w:rPr>
          <w:spacing w:val="6"/>
          <w:position w:val="-1"/>
        </w:rPr>
        <w:t>升智库产品质量，以“旗舰产品”</w:t>
      </w:r>
      <w:r>
        <w:rPr>
          <w:spacing w:val="-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7"/>
        </w:rPr>
        <w:t>[26]</w:t>
      </w:r>
      <w:r>
        <w:rPr>
          <w:spacing w:val="6"/>
          <w:position w:val="-1"/>
        </w:rPr>
        <w:t>推动智库竞</w:t>
      </w:r>
      <w:r>
        <w:rPr>
          <w:spacing w:val="1"/>
        </w:rPr>
        <w:t>争力建设是高校智库的研究重点，结合智库实践，</w:t>
      </w:r>
      <w:r>
        <w:rPr>
          <w:spacing w:val="19"/>
        </w:rPr>
        <w:t>应从产品本身和生产产品的主体两个角度合力</w:t>
      </w:r>
      <w:r>
        <w:rPr>
          <w:spacing w:val="-7"/>
        </w:rPr>
        <w:t>推进。</w:t>
      </w:r>
    </w:p>
    <w:p>
      <w:pPr>
        <w:pStyle w:val="BodyText"/>
        <w:ind w:right="232" w:firstLine="552"/>
        <w:spacing w:before="16" w:line="223" w:lineRule="auto"/>
        <w:jc w:val="both"/>
        <w:rPr/>
      </w:pPr>
      <w:r>
        <w:rPr>
          <w:spacing w:val="13"/>
        </w:rPr>
        <w:t>一是，强化产品意识，加速打造旗舰产品。</w:t>
      </w:r>
      <w:r>
        <w:rPr>
          <w:spacing w:val="14"/>
        </w:rPr>
        <w:t>从国内外智库的成功案例来看，它们均以“独特</w:t>
      </w:r>
      <w:r>
        <w:rPr>
          <w:spacing w:val="11"/>
          <w:position w:val="-1"/>
        </w:rPr>
        <w:t>的卖点”</w:t>
      </w:r>
      <w:r>
        <w:rPr>
          <w:spacing w:val="-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8"/>
        </w:rPr>
        <w:t>[27]</w:t>
      </w:r>
      <w:r>
        <w:rPr>
          <w:spacing w:val="11"/>
          <w:position w:val="-1"/>
        </w:rPr>
        <w:t>作为核心竞争力，甚至生产出对全球</w:t>
      </w:r>
      <w:r>
        <w:rPr>
          <w:spacing w:val="14"/>
        </w:rPr>
        <w:t>战略产生巨大影响的决策性建议。高校智库建设</w:t>
      </w:r>
      <w:r>
        <w:rPr>
          <w:spacing w:val="14"/>
        </w:rPr>
        <w:t>应当强化产品意识，充分考虑其使用价值，即对</w:t>
      </w:r>
      <w:r>
        <w:rPr>
          <w:spacing w:val="14"/>
        </w:rPr>
        <w:t>政策角色的作用。同时，在产品传播过程中，植</w:t>
      </w:r>
      <w:r>
        <w:rPr>
          <w:spacing w:val="17"/>
        </w:rPr>
        <w:t>入产品意识，设计合适的营销策略和议程设置，</w:t>
      </w:r>
      <w:r>
        <w:rPr>
          <w:spacing w:val="14"/>
        </w:rPr>
        <w:t>方能不断提升智库的影响力。比如，南京大学中</w:t>
      </w:r>
      <w:r>
        <w:rPr>
          <w:spacing w:val="13"/>
        </w:rPr>
        <w:t>国智库研究与评价中心建设的</w:t>
      </w:r>
      <w:r>
        <w:rPr>
          <w:rFonts w:ascii="Times New Roman" w:hAnsi="Times New Roman" w:eastAsia="Times New Roman" w:cs="Times New Roman"/>
        </w:rPr>
        <w:t>CTTI</w:t>
      </w:r>
      <w:r>
        <w:rPr>
          <w:spacing w:val="13"/>
        </w:rPr>
        <w:t>，是中国首个</w:t>
      </w:r>
      <w:r>
        <w:rPr>
          <w:spacing w:val="14"/>
        </w:rPr>
        <w:t>智库垂直搜索引擎和数据管理平台，所今智库数</w:t>
      </w:r>
      <w:r>
        <w:rPr>
          <w:spacing w:val="14"/>
        </w:rPr>
        <w:t>据类型全面、总量庞大，其权威性和客观性得到</w:t>
      </w:r>
      <w:r>
        <w:rPr>
          <w:spacing w:val="14"/>
        </w:rPr>
        <w:t>学界与业界认可，被称为智库的智库。中国科学</w:t>
      </w:r>
      <w:r>
        <w:rPr>
          <w:spacing w:val="17"/>
        </w:rPr>
        <w:t>院重点关注国际科技重要进展、重大战略动向，</w:t>
      </w:r>
      <w:r>
        <w:rPr>
          <w:spacing w:val="20"/>
        </w:rPr>
        <w:t>发布《科技前沿快报》《科技政策与咨询快报》</w:t>
      </w:r>
      <w:r>
        <w:rPr>
          <w:spacing w:val="14"/>
        </w:rPr>
        <w:t>等旗舰产品，在科技领域的竞争力不断彰显。江</w:t>
      </w:r>
      <w:r>
        <w:rPr>
          <w:spacing w:val="13"/>
        </w:rPr>
        <w:t>西师范大学管理决策评价研究中心连续</w:t>
      </w:r>
      <w:r>
        <w:rPr>
          <w:rFonts w:ascii="Times New Roman" w:hAnsi="Times New Roman" w:eastAsia="Times New Roman" w:cs="Times New Roman"/>
          <w:spacing w:val="13"/>
        </w:rPr>
        <w:t>13</w:t>
      </w:r>
      <w:r>
        <w:rPr>
          <w:spacing w:val="13"/>
        </w:rPr>
        <w:t>年发布</w:t>
      </w:r>
      <w:r>
        <w:rPr>
          <w:spacing w:val="4"/>
        </w:rPr>
        <w:t>《中国地方政府效率研究年度报告》，在政府效率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79" w:lineRule="auto"/>
        <w:rPr/>
      </w:pPr>
      <w:r>
        <w:rPr>
          <w:spacing w:val="-2"/>
        </w:rPr>
        <w:t>研究领域走在同层次高校智库前列。</w:t>
      </w:r>
    </w:p>
    <w:p>
      <w:pPr>
        <w:pStyle w:val="BodyText"/>
        <w:ind w:firstLine="428"/>
        <w:spacing w:before="72" w:line="217" w:lineRule="auto"/>
        <w:jc w:val="both"/>
        <w:rPr/>
      </w:pPr>
      <w:r>
        <w:rPr>
          <w:spacing w:val="13"/>
        </w:rPr>
        <w:t>二是，引培领军人物，加快建设人才梯队。</w:t>
      </w:r>
      <w:r>
        <w:rPr>
          <w:spacing w:val="8"/>
        </w:rPr>
        <w:t>作为高校智库，坚持引进、培育领军人才，推动</w:t>
      </w:r>
      <w:r>
        <w:rPr>
          <w:spacing w:val="8"/>
        </w:rPr>
        <w:t>人才梯队建设至关重要。推进智库人才培养，既</w:t>
      </w:r>
      <w:r>
        <w:rPr>
          <w:spacing w:val="8"/>
        </w:rPr>
        <w:t>是高校智库的一大使命，也是竞争力建设过程中</w:t>
      </w:r>
      <w:r>
        <w:rPr>
          <w:spacing w:val="8"/>
        </w:rPr>
        <w:t>重要内容。智库的领军人物是指充分代表智库水</w:t>
      </w:r>
      <w:r>
        <w:rPr>
          <w:spacing w:val="8"/>
        </w:rPr>
        <w:t>平和影响的知名专家、学者。尤其是通过“旋转</w:t>
      </w:r>
      <w:r>
        <w:rPr>
          <w:spacing w:val="8"/>
        </w:rPr>
        <w:t>门”机制进入智库机构的政府官员，其因为长期</w:t>
      </w:r>
      <w:r>
        <w:rPr>
          <w:spacing w:val="8"/>
        </w:rPr>
        <w:t>从事决策工作，对政策的规划、制定、执行的程</w:t>
      </w:r>
      <w:r>
        <w:rPr>
          <w:spacing w:val="8"/>
        </w:rPr>
        <w:t>序和细节了解清晰，能够提出针对性极强的对策</w:t>
      </w:r>
      <w:r>
        <w:rPr>
          <w:spacing w:val="2"/>
        </w:rPr>
        <w:t>建议，或者在某个领域或方向有深厚的学术积累、</w:t>
      </w:r>
      <w:r>
        <w:rPr>
          <w:spacing w:val="8"/>
        </w:rPr>
        <w:t>独到的见解和很强的前瞻思维，或者正在形成突</w:t>
      </w:r>
      <w:r>
        <w:rPr>
          <w:spacing w:val="8"/>
        </w:rPr>
        <w:t>出的学术影响。国际知名智库往往都有此类的领</w:t>
      </w:r>
      <w:r>
        <w:rPr>
          <w:spacing w:val="8"/>
        </w:rPr>
        <w:t>军人物。美国经济趋势基金会主席、经济和社会</w:t>
      </w:r>
      <w:r>
        <w:rPr>
          <w:spacing w:val="-1"/>
        </w:rPr>
        <w:t>理论家杰里米 </w:t>
      </w:r>
      <w:r>
        <w:rPr>
          <w:rFonts w:ascii="SimSun" w:hAnsi="SimSun" w:eastAsia="SimSun" w:cs="SimSun"/>
          <w:spacing w:val="-1"/>
        </w:rPr>
        <w:t>•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-1"/>
        </w:rPr>
        <w:t>里夫金（</w:t>
      </w:r>
      <w:r>
        <w:rPr>
          <w:rFonts w:ascii="Times New Roman" w:hAnsi="Times New Roman" w:eastAsia="Times New Roman" w:cs="Times New Roman"/>
          <w:spacing w:val="-1"/>
        </w:rPr>
        <w:t>Jeremy  Rifkin</w:t>
      </w:r>
      <w:r>
        <w:rPr>
          <w:spacing w:val="-1"/>
        </w:rPr>
        <w:t>）、都市研</w:t>
      </w:r>
      <w:r>
        <w:rPr>
          <w:spacing w:val="-2"/>
        </w:rPr>
        <w:t>究公司（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Urban Research Company</w:t>
      </w:r>
      <w:r>
        <w:rPr>
          <w:spacing w:val="-2"/>
        </w:rPr>
        <w:t>）创办者、美国</w:t>
      </w:r>
      <w:r>
        <w:rPr/>
        <w:t>社会预测学家约翰</w:t>
      </w:r>
      <w:r>
        <w:rPr>
          <w:rFonts w:ascii="SimSun" w:hAnsi="SimSun" w:eastAsia="SimSun" w:cs="SimSun"/>
        </w:rPr>
        <w:t>•</w:t>
      </w:r>
      <w:r>
        <w:rPr/>
        <w:t>奈斯比特（</w:t>
      </w:r>
      <w:r>
        <w:rPr>
          <w:rFonts w:ascii="Times New Roman" w:hAnsi="Times New Roman" w:eastAsia="Times New Roman" w:cs="Times New Roman"/>
        </w:rPr>
        <w:t>John Naisbitt</w:t>
      </w:r>
      <w:r>
        <w:rPr/>
        <w:t>）、世</w:t>
      </w:r>
      <w:r>
        <w:rPr>
          <w:spacing w:val="10"/>
        </w:rPr>
        <w:t>界著名未来学家、《第三次浪潮》（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rFonts w:ascii="Times New Roman" w:hAnsi="Times New Roman" w:eastAsia="Times New Roman" w:cs="Times New Roman"/>
        </w:rPr>
        <w:t>Third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Wave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5"/>
        </w:rPr>
        <w:t>）作者阿尔文 </w:t>
      </w:r>
      <w:r>
        <w:rPr>
          <w:rFonts w:ascii="SimSun" w:hAnsi="SimSun" w:eastAsia="SimSun" w:cs="SimSun"/>
          <w:spacing w:val="-5"/>
        </w:rPr>
        <w:t>•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5"/>
        </w:rPr>
        <w:t>托夫勒（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Alvin   Toffler</w:t>
      </w:r>
      <w:r>
        <w:rPr>
          <w:spacing w:val="-5"/>
        </w:rPr>
        <w:t>）等知</w:t>
      </w:r>
      <w:r>
        <w:rPr>
          <w:spacing w:val="8"/>
          <w:position w:val="-1"/>
        </w:rPr>
        <w:t>名学者典型代表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7"/>
        </w:rPr>
        <w:t>[28] </w:t>
      </w:r>
      <w:r>
        <w:rPr>
          <w:spacing w:val="8"/>
          <w:position w:val="-1"/>
        </w:rPr>
        <w:t>。国内智库也不乏领军人物，</w:t>
      </w:r>
      <w:r>
        <w:rPr>
          <w:spacing w:val="8"/>
        </w:rPr>
        <w:t>比如，华南理工大学公共政策研究院郑永年、重</w:t>
      </w:r>
      <w:r>
        <w:rPr>
          <w:spacing w:val="8"/>
        </w:rPr>
        <w:t>庆智库王佳宁、浙江师范大学非洲研究院刘鸿武</w:t>
      </w:r>
      <w:r>
        <w:rPr>
          <w:spacing w:val="8"/>
        </w:rPr>
        <w:t>等都是著名的智库专家。郑永年是区域政治研究</w:t>
      </w:r>
      <w:r>
        <w:rPr>
          <w:spacing w:val="8"/>
        </w:rPr>
        <w:t>的顶尖学者，提出的“中国的第三次开放”等系</w:t>
      </w:r>
      <w:r>
        <w:rPr>
          <w:spacing w:val="8"/>
        </w:rPr>
        <w:t>列论述，形成华南理工大学公共政策研究院标志</w:t>
      </w:r>
      <w:r>
        <w:rPr>
          <w:spacing w:val="8"/>
        </w:rPr>
        <w:t>性的学术成果，不断提升智库的核心竞争力。王</w:t>
      </w:r>
      <w:r>
        <w:rPr>
          <w:spacing w:val="8"/>
        </w:rPr>
        <w:t>佳宁、刘鸿武等领军人物在决策部门有较强的人</w:t>
      </w:r>
      <w:r>
        <w:rPr>
          <w:spacing w:val="8"/>
        </w:rPr>
        <w:t>脉和专门的递送渠道，能够有效对接决策部门和</w:t>
      </w:r>
      <w:r>
        <w:rPr>
          <w:spacing w:val="8"/>
        </w:rPr>
        <w:t>人员，把决策部门急需的智库报告第一时间送到</w:t>
      </w:r>
      <w:r>
        <w:rPr>
          <w:spacing w:val="-3"/>
        </w:rPr>
        <w:t>相应领域的决策者手中。</w:t>
      </w:r>
    </w:p>
    <w:p>
      <w:pPr>
        <w:ind w:left="1"/>
        <w:spacing w:before="154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3.2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构建立体传播，提升智库传播效能</w:t>
      </w:r>
    </w:p>
    <w:p>
      <w:pPr>
        <w:pStyle w:val="BodyText"/>
        <w:ind w:left="1" w:right="84" w:firstLine="431"/>
        <w:spacing w:before="250" w:line="217" w:lineRule="auto"/>
        <w:jc w:val="both"/>
        <w:rPr/>
      </w:pPr>
      <w:r>
        <w:rPr>
          <w:spacing w:val="8"/>
        </w:rPr>
        <w:t>咨政建言是高校智库的首要功能，高校智库</w:t>
      </w:r>
      <w:r>
        <w:rPr>
          <w:spacing w:val="8"/>
        </w:rPr>
        <w:t>作为政策的提供者，可以通过不同的渠道影响政</w:t>
      </w:r>
      <w:r>
        <w:rPr>
          <w:spacing w:val="8"/>
        </w:rPr>
        <w:t>府的决策。第一阶段是高校智库产品的生产，第</w:t>
      </w:r>
      <w:r>
        <w:rPr>
          <w:spacing w:val="8"/>
        </w:rPr>
        <w:t>二阶段是智库产品的推介。作为全媒体时代的新</w:t>
      </w:r>
      <w:r>
        <w:rPr>
          <w:spacing w:val="8"/>
        </w:rPr>
        <w:t>型高校智库，推介智库产品，应突出传播的体系</w:t>
      </w:r>
      <w:r>
        <w:rPr>
          <w:spacing w:val="8"/>
        </w:rPr>
        <w:t>性、信息的一致性，构建传播的组织体系和成果</w:t>
      </w:r>
      <w:r>
        <w:rPr>
          <w:spacing w:val="-2"/>
        </w:rPr>
        <w:t>传播路径，确保智库传播具有实效性和操作性。</w:t>
      </w:r>
    </w:p>
    <w:p>
      <w:pPr>
        <w:pStyle w:val="BodyText"/>
        <w:ind w:left="2" w:right="84" w:firstLine="425"/>
        <w:spacing w:before="2" w:line="224" w:lineRule="auto"/>
        <w:jc w:val="both"/>
        <w:rPr/>
      </w:pPr>
      <w:r>
        <w:rPr>
          <w:spacing w:val="9"/>
        </w:rPr>
        <w:t>一是，加强传播平台建设。高校智库应加强</w:t>
      </w:r>
      <w:r>
        <w:rPr/>
        <w:t>网站、微信公众号、</w:t>
      </w:r>
      <w:r>
        <w:rPr>
          <w:rFonts w:ascii="Times New Roman" w:hAnsi="Times New Roman" w:eastAsia="Times New Roman" w:cs="Times New Roman"/>
        </w:rPr>
        <w:t>APP</w:t>
      </w:r>
      <w:r>
        <w:rPr/>
        <w:t>等平台建设，在微博、抖</w:t>
      </w:r>
      <w:r>
        <w:rPr>
          <w:spacing w:val="1"/>
        </w:rPr>
        <w:t>音、</w:t>
      </w:r>
      <w:r>
        <w:rPr>
          <w:rFonts w:ascii="Times New Roman" w:hAnsi="Times New Roman" w:eastAsia="Times New Roman" w:cs="Times New Roman"/>
          <w:spacing w:val="1"/>
        </w:rPr>
        <w:t>X</w:t>
      </w:r>
      <w:r>
        <w:rPr>
          <w:spacing w:val="1"/>
        </w:rPr>
        <w:t>等国内外主流社交平台注册账号，即时发布</w:t>
      </w:r>
    </w:p>
    <w:p>
      <w:pPr>
        <w:spacing w:line="224" w:lineRule="auto"/>
        <w:sectPr>
          <w:type w:val="continuous"/>
          <w:pgSz w:w="11906" w:h="16838"/>
          <w:pgMar w:top="1429" w:right="1049" w:bottom="471" w:left="1011" w:header="779" w:footer="232" w:gutter="0"/>
          <w:cols w:equalWidth="0" w:num="2">
            <w:col w:w="5070" w:space="100"/>
            <w:col w:w="4675" w:space="0"/>
          </w:cols>
        </w:sectPr>
        <w:rPr/>
      </w:pPr>
    </w:p>
    <w:p>
      <w:pPr>
        <w:spacing w:line="378" w:lineRule="auto"/>
        <w:rPr>
          <w:rFonts w:ascii="Arial"/>
          <w:sz w:val="21"/>
        </w:rPr>
      </w:pPr>
      <w:r/>
    </w:p>
    <w:p>
      <w:pPr>
        <w:ind w:left="9415"/>
        <w:spacing w:before="67" w:line="167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  <w:position w:val="-3"/>
        </w:rPr>
        <w:t>101</w:t>
      </w:r>
    </w:p>
    <w:p>
      <w:pPr>
        <w:spacing w:line="167" w:lineRule="exact"/>
        <w:sectPr>
          <w:type w:val="continuous"/>
          <w:pgSz w:w="11906" w:h="16838"/>
          <w:pgMar w:top="1429" w:right="1049" w:bottom="471" w:left="1011" w:header="779" w:footer="232" w:gutter="0"/>
          <w:cols w:equalWidth="0" w:num="1">
            <w:col w:w="9845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876"/>
        <w:spacing w:before="73" w:line="175" w:lineRule="exact"/>
        <w:rPr>
          <w:sz w:val="17"/>
          <w:szCs w:val="17"/>
        </w:rPr>
      </w:pPr>
      <w:r>
        <w:rPr>
          <w:sz w:val="17"/>
          <w:szCs w:val="17"/>
          <w:color w:val="306566"/>
          <w:spacing w:val="11"/>
          <w:position w:val="-1"/>
        </w:rPr>
        <w:t>理论与实践</w:t>
      </w:r>
    </w:p>
    <w:p>
      <w:pPr>
        <w:ind w:left="884"/>
        <w:spacing w:before="30" w:line="18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6566"/>
          <w:spacing w:val="1"/>
        </w:rPr>
        <w:t>THINK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TANK:</w:t>
      </w:r>
      <w:r>
        <w:rPr>
          <w:rFonts w:ascii="Arial" w:hAnsi="Arial" w:eastAsia="Arial" w:cs="Arial"/>
          <w:sz w:val="5"/>
          <w:szCs w:val="5"/>
          <w:color w:val="306566"/>
          <w:spacing w:val="7"/>
          <w:w w:val="102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THEORY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&amp;</w:t>
      </w:r>
      <w:r>
        <w:rPr>
          <w:rFonts w:ascii="Arial" w:hAnsi="Arial" w:eastAsia="Arial" w:cs="Arial"/>
          <w:sz w:val="5"/>
          <w:szCs w:val="5"/>
          <w:color w:val="306566"/>
          <w:spacing w:val="6"/>
          <w:w w:val="10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PRACTICE</w:t>
      </w:r>
    </w:p>
    <w:p>
      <w:pPr>
        <w:ind w:left="265"/>
        <w:spacing w:before="60" w:line="262" w:lineRule="exact"/>
        <w:rPr>
          <w:rFonts w:ascii="SimHei" w:hAnsi="SimHei" w:eastAsia="SimHei" w:cs="SimHei"/>
          <w:sz w:val="20"/>
          <w:szCs w:val="20"/>
        </w:rPr>
      </w:pPr>
      <w:r>
        <w:pict>
          <v:shape id="_x0000_s28" style="position:absolute;margin-left:6.0629pt;margin-top:18.377pt;mso-position-vertical-relative:text;mso-position-horizontal-relative:text;width:481.9pt;height:0.6pt;z-index:251681792;" fillcolor="#000000" filled="true" stroked="false" coordsize="9637,12" coordorigin="0,0" path="m9637,11l0,11l0,0l9637,0e"/>
        </w:pic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4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卷</w:t>
      </w:r>
      <w:r>
        <w:rPr>
          <w:rFonts w:ascii="SimHei" w:hAnsi="SimHei" w:eastAsia="SimHei" w:cs="SimHei"/>
          <w:sz w:val="20"/>
          <w:szCs w:val="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期</w:t>
      </w:r>
      <w:r>
        <w:rPr>
          <w:rFonts w:ascii="SimHei" w:hAnsi="SimHei" w:eastAsia="SimHei" w:cs="SimHei"/>
          <w:sz w:val="20"/>
          <w:szCs w:val="20"/>
          <w:spacing w:val="1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年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月</w:t>
      </w:r>
    </w:p>
    <w:p>
      <w:pPr>
        <w:spacing w:before="29"/>
        <w:rPr/>
      </w:pPr>
      <w:r/>
    </w:p>
    <w:p>
      <w:pPr>
        <w:sectPr>
          <w:headerReference w:type="default" r:id="rId5"/>
          <w:footerReference w:type="default" r:id="rId14"/>
          <w:pgSz w:w="11906" w:h="16838"/>
          <w:pgMar w:top="400" w:right="1065" w:bottom="471" w:left="1012" w:header="0" w:footer="232" w:gutter="0"/>
          <w:cols w:equalWidth="0" w:num="1">
            <w:col w:w="9828" w:space="0"/>
          </w:cols>
        </w:sectPr>
        <w:rPr/>
      </w:pPr>
    </w:p>
    <w:p>
      <w:pPr>
        <w:pStyle w:val="BodyText"/>
        <w:ind w:left="14" w:right="271" w:firstLine="110"/>
        <w:spacing w:before="43" w:line="222" w:lineRule="auto"/>
        <w:jc w:val="both"/>
        <w:rPr/>
      </w:pPr>
      <w:r>
        <w:rPr>
          <w:spacing w:val="8"/>
        </w:rPr>
        <w:t>智库组织的动态和最新成果，与国际受众在线沟</w:t>
      </w:r>
      <w:r>
        <w:rPr>
          <w:spacing w:val="13"/>
        </w:rPr>
        <w:t>通和互动交流，传播研究成果和价值理念，不断</w:t>
      </w:r>
      <w:r>
        <w:rPr>
          <w:spacing w:val="13"/>
        </w:rPr>
        <w:t>拓展在智库领域的影响力，增加受众的广度和关</w:t>
      </w:r>
      <w:r>
        <w:rPr>
          <w:spacing w:val="13"/>
        </w:rPr>
        <w:t>注度。二是，强化数智传播。面对数智时代崭新</w:t>
      </w:r>
      <w:r>
        <w:rPr>
          <w:spacing w:val="13"/>
        </w:rPr>
        <w:t>语境，高校智库应当利用新技术赋能传播，借助</w:t>
      </w:r>
      <w:r>
        <w:rPr>
          <w:spacing w:val="6"/>
        </w:rPr>
        <w:t>技术精准识别用户需求、偏好，进行针对性推送，</w:t>
      </w:r>
      <w:r>
        <w:rPr>
          <w:spacing w:val="13"/>
        </w:rPr>
        <w:t>从而收获更多目标受众。比如，哈佛大学国际发</w:t>
      </w:r>
      <w:r>
        <w:rPr>
          <w:spacing w:val="1"/>
        </w:rPr>
        <w:t>展研究中心（ </w:t>
      </w:r>
      <w:r>
        <w:rPr>
          <w:rFonts w:ascii="Times New Roman" w:hAnsi="Times New Roman" w:eastAsia="Times New Roman" w:cs="Times New Roman"/>
        </w:rPr>
        <w:t>Center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>for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International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Development</w:t>
      </w:r>
      <w:r>
        <w:rPr>
          <w:spacing w:val="1"/>
        </w:rPr>
        <w:t>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CID</w:t>
      </w:r>
      <w:r>
        <w:rPr>
          <w:spacing w:val="6"/>
        </w:rPr>
        <w:t>）的经济发展实验室利用大数据和机器学习技</w:t>
      </w:r>
      <w:r>
        <w:rPr>
          <w:spacing w:val="9"/>
        </w:rPr>
        <w:t>术，推出城市宇宙（</w:t>
      </w:r>
      <w:r>
        <w:rPr>
          <w:rFonts w:ascii="Times New Roman" w:hAnsi="Times New Roman" w:eastAsia="Times New Roman" w:cs="Times New Roman"/>
        </w:rPr>
        <w:t>Metroverse</w:t>
      </w:r>
      <w:r>
        <w:rPr>
          <w:spacing w:val="9"/>
        </w:rPr>
        <w:t>）数字平台，为政</w:t>
      </w:r>
      <w:r>
        <w:rPr>
          <w:spacing w:val="13"/>
        </w:rPr>
        <w:t>策制定者、企业家、投资者、商业组织和民间社</w:t>
      </w:r>
      <w:r>
        <w:rPr>
          <w:spacing w:val="7"/>
        </w:rPr>
        <w:t>会提供</w:t>
      </w:r>
      <w:r>
        <w:rPr>
          <w:rFonts w:ascii="Times New Roman" w:hAnsi="Times New Roman" w:eastAsia="Times New Roman" w:cs="Times New Roman"/>
          <w:spacing w:val="7"/>
        </w:rPr>
        <w:t>79</w:t>
      </w:r>
      <w:r>
        <w:rPr>
          <w:spacing w:val="7"/>
        </w:rPr>
        <w:t>个国家</w:t>
      </w:r>
      <w:r>
        <w:rPr>
          <w:rFonts w:ascii="Times New Roman" w:hAnsi="Times New Roman" w:eastAsia="Times New Roman" w:cs="Times New Roman"/>
          <w:spacing w:val="7"/>
        </w:rPr>
        <w:t>1,000</w:t>
      </w:r>
      <w:r>
        <w:rPr>
          <w:spacing w:val="7"/>
        </w:rPr>
        <w:t>多个城市的经济数据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8"/>
        </w:rPr>
        <w:t>[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8"/>
        </w:rPr>
        <w:t>29]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8"/>
        </w:rPr>
        <w:t xml:space="preserve"> </w:t>
      </w:r>
      <w:r>
        <w:rPr>
          <w:spacing w:val="6"/>
        </w:rPr>
        <w:t>。又</w:t>
      </w:r>
      <w:r>
        <w:rPr>
          <w:spacing w:val="13"/>
        </w:rPr>
        <w:t>如，南京大学长江产业经济研究院推进数字化建</w:t>
      </w:r>
      <w:r>
        <w:rPr>
          <w:spacing w:val="13"/>
        </w:rPr>
        <w:t>设，开发智库人工智能数字人，通过构建专业领</w:t>
      </w:r>
      <w:r>
        <w:rPr>
          <w:spacing w:val="13"/>
        </w:rPr>
        <w:t>域的高质量语料知识库来训练领域模型，各级政</w:t>
      </w:r>
      <w:r>
        <w:rPr>
          <w:spacing w:val="13"/>
        </w:rPr>
        <w:t>策文件及领导讲话精神均训练为研究人员的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3"/>
        </w:rPr>
        <w:t>政</w:t>
      </w:r>
      <w:r>
        <w:rPr>
          <w:spacing w:val="17"/>
        </w:rPr>
        <w:t>策助手，实现智库受众与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7"/>
        </w:rPr>
        <w:t>数字人的在线交互，</w:t>
      </w:r>
      <w:r>
        <w:rPr>
          <w:spacing w:val="13"/>
        </w:rPr>
        <w:t>为受众带来超仿真、沉浸式、互动式等丰富感官</w:t>
      </w:r>
      <w:r>
        <w:rPr>
          <w:spacing w:val="13"/>
        </w:rPr>
        <w:t>体验，在不同专业、行业公众之间形成共通的意</w:t>
      </w:r>
      <w:r>
        <w:rPr>
          <w:spacing w:val="6"/>
        </w:rPr>
        <w:t>义空间，不断提升高校智库的思想影响力。三是，</w:t>
      </w:r>
      <w:r>
        <w:rPr>
          <w:spacing w:val="17"/>
        </w:rPr>
        <w:t>提升媒介素养。智库专家集智库产品的生产者、</w:t>
      </w:r>
      <w:r>
        <w:rPr>
          <w:spacing w:val="13"/>
        </w:rPr>
        <w:t>传播者于一身，是高校智库传播的重要主体。智</w:t>
      </w:r>
      <w:r>
        <w:rPr>
          <w:spacing w:val="7"/>
        </w:rPr>
        <w:t>库专家媒介的选择和使用能力，媒介信息的判断、</w:t>
      </w:r>
      <w:r>
        <w:rPr>
          <w:spacing w:val="13"/>
        </w:rPr>
        <w:t>理解和评估能力，以及信息的传播技巧和能力均</w:t>
      </w:r>
      <w:r>
        <w:rPr>
          <w:spacing w:val="9"/>
          <w:position w:val="-1"/>
        </w:rPr>
        <w:t>会影响智库信息传播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8"/>
        </w:rPr>
        <w:t>[30] </w:t>
      </w:r>
      <w:r>
        <w:rPr>
          <w:spacing w:val="9"/>
          <w:position w:val="-1"/>
        </w:rPr>
        <w:t>。因此，智库专家需强化</w:t>
      </w:r>
      <w:r>
        <w:rPr>
          <w:spacing w:val="13"/>
        </w:rPr>
        <w:t>新媒体传播意识，增强媒介素养，走进媒体、走</w:t>
      </w:r>
      <w:r>
        <w:rPr>
          <w:spacing w:val="24"/>
        </w:rPr>
        <w:t>近受众，发出具有高度专业水准和思想价值的</w:t>
      </w:r>
      <w:r>
        <w:rPr>
          <w:spacing w:val="3"/>
        </w:rPr>
        <w:t>“好声音”。同时，智库专家应成为意见领袖，主</w:t>
      </w:r>
      <w:r>
        <w:rPr>
          <w:spacing w:val="13"/>
        </w:rPr>
        <w:t>动发声、提高声量，发挥智库引导舆论、启迪民</w:t>
      </w:r>
      <w:r>
        <w:rPr>
          <w:spacing w:val="13"/>
        </w:rPr>
        <w:t>智的价值作用。比如，中国人民大学重阳金融研</w:t>
      </w:r>
      <w:r>
        <w:rPr>
          <w:spacing w:val="13"/>
        </w:rPr>
        <w:t>究院王文等智库专家具有良好的媒介素养，深谙</w:t>
      </w:r>
      <w:r>
        <w:rPr>
          <w:spacing w:val="13"/>
        </w:rPr>
        <w:t>传播理论和实践，擅长理论创新，生产源发性观</w:t>
      </w:r>
      <w:r>
        <w:rPr>
          <w:spacing w:val="13"/>
        </w:rPr>
        <w:t>点，通过较强的传播能力和表达能力，以恰当的</w:t>
      </w:r>
      <w:r>
        <w:rPr>
          <w:spacing w:val="4"/>
        </w:rPr>
        <w:t>方式在不同场合宣讲、传递其核心思想。</w:t>
      </w:r>
    </w:p>
    <w:p>
      <w:pPr>
        <w:ind w:left="124"/>
        <w:spacing w:before="150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3.3    </w:t>
      </w:r>
      <w:r>
        <w:rPr>
          <w:rFonts w:ascii="SimHei" w:hAnsi="SimHei" w:eastAsia="SimHei" w:cs="SimHei"/>
          <w:sz w:val="21"/>
          <w:szCs w:val="21"/>
          <w:color w:val="306566"/>
          <w:spacing w:val="-1"/>
        </w:rPr>
        <w:t>增强身份认同，推动智库学科建设</w:t>
      </w:r>
    </w:p>
    <w:p>
      <w:pPr>
        <w:pStyle w:val="BodyText"/>
        <w:ind w:left="123" w:right="288" w:firstLine="431"/>
        <w:spacing w:before="251" w:line="222" w:lineRule="auto"/>
        <w:jc w:val="both"/>
        <w:rPr/>
      </w:pPr>
      <w:r>
        <w:rPr>
          <w:spacing w:val="8"/>
        </w:rPr>
        <w:t>沃纳菲尔特的“企业资源基础论”强调了企</w:t>
      </w:r>
      <w:r>
        <w:rPr>
          <w:spacing w:val="8"/>
        </w:rPr>
        <w:t>业内部资源对企业获得并维持竞争优势的决定性</w:t>
      </w:r>
      <w:r>
        <w:rPr>
          <w:spacing w:val="8"/>
        </w:rPr>
        <w:t>作用。高校智库内部竞争力的提升，重要的是提</w:t>
      </w:r>
      <w:r>
        <w:rPr>
          <w:spacing w:val="8"/>
        </w:rPr>
        <w:t>升智库主体的竞争力。然而，此前提是增强智库</w:t>
      </w:r>
      <w:r>
        <w:rPr>
          <w:spacing w:val="8"/>
        </w:rPr>
        <w:t>研究人员的身份认同，尤其是从社科领域转型的</w:t>
      </w:r>
      <w:r>
        <w:rPr>
          <w:spacing w:val="1"/>
        </w:rPr>
        <w:t>研究者，更应主动融入智库学科，构建身份认同，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8" w:firstLine="19"/>
        <w:spacing w:before="37" w:line="222" w:lineRule="auto"/>
        <w:jc w:val="both"/>
        <w:rPr/>
      </w:pPr>
      <w:r>
        <w:rPr>
          <w:spacing w:val="7"/>
        </w:rPr>
        <w:t>同时，发挥各自研究领域的优势，推动智库学科</w:t>
      </w:r>
      <w:r>
        <w:rPr>
          <w:spacing w:val="19"/>
        </w:rPr>
        <w:t>建设、跨学科融合，发挥智库理论创新的核心</w:t>
      </w:r>
      <w:r>
        <w:rPr>
          <w:spacing w:val="-7"/>
        </w:rPr>
        <w:t>功能。</w:t>
      </w:r>
    </w:p>
    <w:p>
      <w:pPr>
        <w:pStyle w:val="BodyText"/>
        <w:ind w:firstLine="427"/>
        <w:spacing w:before="40" w:line="221" w:lineRule="auto"/>
        <w:jc w:val="both"/>
        <w:rPr/>
      </w:pPr>
      <w:r>
        <w:rPr>
          <w:spacing w:val="9"/>
        </w:rPr>
        <w:t>一是，强化身份认同。作为高校智库的传播</w:t>
      </w:r>
      <w:r>
        <w:rPr>
          <w:spacing w:val="11"/>
        </w:rPr>
        <w:t>主体，智库从业者首先要强化自身的身份认同，</w:t>
      </w:r>
      <w:r>
        <w:rPr>
          <w:spacing w:val="1"/>
        </w:rPr>
        <w:t>转变观念，明晰智库研究人员的角色定位。比如，</w:t>
      </w:r>
      <w:r>
        <w:rPr>
          <w:spacing w:val="8"/>
        </w:rPr>
        <w:t>清华大学全球可持续发展研究院朱旭峰、湖南省</w:t>
      </w:r>
      <w:r>
        <w:rPr>
          <w:spacing w:val="8"/>
        </w:rPr>
        <w:t>人民政府发展研究中心周湘智等智库研究者，从</w:t>
      </w:r>
      <w:r>
        <w:rPr>
          <w:spacing w:val="8"/>
        </w:rPr>
        <w:t>社科领域迅速转型成为智库研究专家。世界著名</w:t>
      </w:r>
      <w:r>
        <w:rPr>
          <w:spacing w:val="8"/>
        </w:rPr>
        <w:t>智库布鲁金斯学会认为研究人员要达到所在领域</w:t>
      </w:r>
      <w:r>
        <w:rPr>
          <w:spacing w:val="8"/>
        </w:rPr>
        <w:t>的“学术领头羊”、具有前瞻性视野和在公共领</w:t>
      </w:r>
      <w:r>
        <w:rPr>
          <w:spacing w:val="5"/>
          <w:position w:val="-1"/>
        </w:rPr>
        <w:t>域里有影响力三个标准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8"/>
        </w:rPr>
        <w:t>[31]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8"/>
        </w:rPr>
        <w:t xml:space="preserve"> </w:t>
      </w:r>
      <w:r>
        <w:rPr>
          <w:spacing w:val="5"/>
          <w:position w:val="-1"/>
        </w:rPr>
        <w:t>，因此，对智库从业者</w:t>
      </w:r>
      <w:r>
        <w:rPr>
          <w:spacing w:val="8"/>
        </w:rPr>
        <w:t>的要求与普通的社科从业者有着本质的区别。高</w:t>
      </w:r>
      <w:r>
        <w:rPr>
          <w:spacing w:val="1"/>
        </w:rPr>
        <w:t>校智库应当借鉴国内外著名智库的人员标准要求，</w:t>
      </w:r>
      <w:r>
        <w:rPr>
          <w:spacing w:val="8"/>
        </w:rPr>
        <w:t>不断提升智库从业者的自身素质，走专业化发展</w:t>
      </w:r>
      <w:r>
        <w:rPr>
          <w:spacing w:val="8"/>
        </w:rPr>
        <w:t>之路，加强综合研判和战略谋划能力，打造融通</w:t>
      </w:r>
      <w:r>
        <w:rPr>
          <w:spacing w:val="8"/>
        </w:rPr>
        <w:t>中外的智库专家团队。二是，加强专业建设。目</w:t>
      </w:r>
      <w:r>
        <w:rPr>
          <w:spacing w:val="8"/>
        </w:rPr>
        <w:t>前，我国智库研究属于跨学科或者交叉学科，尚</w:t>
      </w:r>
      <w:r>
        <w:rPr>
          <w:spacing w:val="8"/>
        </w:rPr>
        <w:t>未形成一套属于智库学科的理论体系、学科体系</w:t>
      </w:r>
      <w:r>
        <w:rPr>
          <w:spacing w:val="7"/>
          <w:position w:val="-1"/>
        </w:rPr>
        <w:t>和话语体系。李刚等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8"/>
        </w:rPr>
        <w:t>[32]</w:t>
      </w:r>
      <w:r>
        <w:rPr>
          <w:spacing w:val="7"/>
          <w:position w:val="-1"/>
        </w:rPr>
        <w:t>认为，新型智库要建构主</w:t>
      </w:r>
      <w:r>
        <w:rPr>
          <w:spacing w:val="8"/>
        </w:rPr>
        <w:t>流社会科学的重要研究领域，需要构建智库自己</w:t>
      </w:r>
      <w:r>
        <w:rPr>
          <w:spacing w:val="1"/>
        </w:rPr>
        <w:t>的核心知识体系和训练体系。对于高校智库而言，</w:t>
      </w:r>
      <w:r>
        <w:rPr>
          <w:spacing w:val="8"/>
        </w:rPr>
        <w:t>需要加快推进智库学的学科化，明确智库学的学</w:t>
      </w:r>
      <w:r>
        <w:rPr>
          <w:spacing w:val="8"/>
        </w:rPr>
        <w:t>科范畴、学科构架，“构建起知识体系完备的智</w:t>
      </w:r>
      <w:r>
        <w:rPr>
          <w:spacing w:val="4"/>
          <w:position w:val="-1"/>
        </w:rPr>
        <w:t>库学”</w:t>
      </w:r>
      <w:r>
        <w:rPr>
          <w:spacing w:val="-3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8"/>
        </w:rPr>
        <w:t>[33]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8"/>
        </w:rPr>
        <w:t xml:space="preserve"> </w:t>
      </w:r>
      <w:r>
        <w:rPr>
          <w:spacing w:val="4"/>
          <w:position w:val="-1"/>
        </w:rPr>
        <w:t>，培养专业的智库专业人才。比如，浙</w:t>
      </w:r>
      <w:r>
        <w:rPr>
          <w:spacing w:val="8"/>
        </w:rPr>
        <w:t>江师范大学立足学科优势，优化非洲研究学科设</w:t>
      </w:r>
      <w:r>
        <w:rPr>
          <w:spacing w:val="8"/>
        </w:rPr>
        <w:t>置，推动学科集群化建设，成立浙江师范大学非</w:t>
      </w:r>
      <w:r>
        <w:rPr>
          <w:spacing w:val="8"/>
        </w:rPr>
        <w:t>洲研究院，以学科建设带动智库建设，成立全国</w:t>
      </w:r>
      <w:r>
        <w:rPr>
          <w:spacing w:val="8"/>
        </w:rPr>
        <w:t>首个非洲区域国别学学部，不断拓宽对非洲的国</w:t>
      </w:r>
      <w:r>
        <w:rPr>
          <w:spacing w:val="8"/>
        </w:rPr>
        <w:t>际交流与合作。诸如此类还有北京师范大学“一</w:t>
      </w:r>
      <w:r>
        <w:rPr>
          <w:spacing w:val="8"/>
        </w:rPr>
        <w:t>带一路”研究院自主构建了一整套关于新兴市场</w:t>
      </w:r>
      <w:r>
        <w:rPr>
          <w:spacing w:val="8"/>
        </w:rPr>
        <w:t>国家研究的基础理论。三是，推动学科融合。高</w:t>
      </w:r>
      <w:r>
        <w:rPr>
          <w:spacing w:val="8"/>
        </w:rPr>
        <w:t>校智库生产决策产品的重要科研形式是跨学科研</w:t>
      </w:r>
      <w:r>
        <w:rPr>
          <w:spacing w:val="8"/>
        </w:rPr>
        <w:t>究合作。国外大学智库擅长利用智库内不同学科</w:t>
      </w:r>
      <w:r>
        <w:rPr>
          <w:spacing w:val="8"/>
        </w:rPr>
        <w:t>领域研究者的多学科优势，针对需要政府解决的</w:t>
      </w:r>
      <w:r>
        <w:rPr>
          <w:spacing w:val="4"/>
          <w:position w:val="-1"/>
        </w:rPr>
        <w:t>重大问题开展跨学科研究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[34]</w:t>
      </w:r>
      <w:r>
        <w:rPr>
          <w:rFonts w:ascii="Times New Roman" w:hAnsi="Times New Roman" w:eastAsia="Times New Roman" w:cs="Times New Roman"/>
          <w:sz w:val="13"/>
          <w:szCs w:val="13"/>
          <w:spacing w:val="28"/>
          <w:w w:val="101"/>
          <w:position w:val="7"/>
        </w:rPr>
        <w:t xml:space="preserve"> </w:t>
      </w:r>
      <w:r>
        <w:rPr>
          <w:spacing w:val="4"/>
          <w:position w:val="-1"/>
        </w:rPr>
        <w:t>，合作产生高质量的</w:t>
      </w:r>
      <w:r>
        <w:rPr>
          <w:spacing w:val="8"/>
        </w:rPr>
        <w:t>政策研究成果，进而影响政府决策。比如，莱斯</w:t>
      </w:r>
      <w:r>
        <w:rPr>
          <w:spacing w:val="-2"/>
        </w:rPr>
        <w:t>大学贝克公共政策研究所（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Baker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Institute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for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Pub-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lic Policy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2"/>
        </w:rPr>
        <w:t>， </w:t>
      </w:r>
      <w:r>
        <w:rPr>
          <w:rFonts w:ascii="Times New Roman" w:hAnsi="Times New Roman" w:eastAsia="Times New Roman" w:cs="Times New Roman"/>
          <w:spacing w:val="-2"/>
        </w:rPr>
        <w:t>BIPP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）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8"/>
        </w:rPr>
        <w:t>[35]</w:t>
      </w:r>
      <w:r>
        <w:rPr>
          <w:spacing w:val="-2"/>
        </w:rPr>
        <w:t>下属的能源研究中心等</w:t>
      </w: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spacing w:val="-2"/>
        </w:rPr>
        <w:t>个研</w:t>
      </w:r>
      <w:r>
        <w:rPr>
          <w:spacing w:val="3"/>
        </w:rPr>
        <w:t>究中心和毒品政策等</w:t>
      </w:r>
      <w:r>
        <w:rPr>
          <w:rFonts w:ascii="Times New Roman" w:hAnsi="Times New Roman" w:eastAsia="Times New Roman" w:cs="Times New Roman"/>
          <w:spacing w:val="3"/>
        </w:rPr>
        <w:t>7</w:t>
      </w:r>
      <w:r>
        <w:rPr>
          <w:spacing w:val="3"/>
        </w:rPr>
        <w:t>个研究项目，每一个研究中</w:t>
      </w:r>
      <w:r>
        <w:rPr>
          <w:spacing w:val="8"/>
        </w:rPr>
        <w:t>心和研究项目都有其核心的研究领域，吸引了来</w:t>
      </w:r>
      <w:r>
        <w:rPr>
          <w:spacing w:val="4"/>
        </w:rPr>
        <w:t>自全球的研究者， </w:t>
      </w:r>
      <w:r>
        <w:rPr>
          <w:rFonts w:ascii="Times New Roman" w:hAnsi="Times New Roman" w:eastAsia="Times New Roman" w:cs="Times New Roman"/>
        </w:rPr>
        <w:t>BIPP</w:t>
      </w:r>
      <w:r>
        <w:rPr>
          <w:spacing w:val="4"/>
        </w:rPr>
        <w:t>为这些研究者提供了一个</w:t>
      </w:r>
    </w:p>
    <w:p>
      <w:pPr>
        <w:spacing w:line="221" w:lineRule="auto"/>
        <w:sectPr>
          <w:type w:val="continuous"/>
          <w:pgSz w:w="11906" w:h="16838"/>
          <w:pgMar w:top="400" w:right="1065" w:bottom="471" w:left="1012" w:header="0" w:footer="232" w:gutter="0"/>
          <w:cols w:equalWidth="0" w:num="2">
            <w:col w:w="5070" w:space="100"/>
            <w:col w:w="4658" w:space="0"/>
          </w:cols>
        </w:sectPr>
        <w:rPr/>
      </w:pPr>
    </w:p>
    <w:p>
      <w:pPr>
        <w:ind w:left="137"/>
        <w:spacing w:before="201" w:line="167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163399</wp:posOffset>
            </wp:positionH>
            <wp:positionV relativeFrom="paragraph">
              <wp:posOffset>-9440972</wp:posOffset>
            </wp:positionV>
            <wp:extent cx="375999" cy="18143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99" cy="18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6.0629pt;margin-top:-744.15pt;mso-position-vertical-relative:text;mso-position-horizontal-relative:text;width:2.85pt;height:28.45pt;z-index:251682816;" fillcolor="#909FA0" filled="true" stroked="false" coordsize="56,569" coordorigin="0,0" path="m0,318l0,0l56,0l56,318em0,568l0,318l56,318l56,568e"/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  <w:position w:val="-3"/>
        </w:rPr>
        <w:t>102</w:t>
      </w:r>
    </w:p>
    <w:p>
      <w:pPr>
        <w:spacing w:line="167" w:lineRule="exact"/>
        <w:sectPr>
          <w:type w:val="continuous"/>
          <w:pgSz w:w="11906" w:h="16838"/>
          <w:pgMar w:top="400" w:right="1065" w:bottom="471" w:left="1012" w:header="0" w:footer="232" w:gutter="0"/>
          <w:cols w:equalWidth="0" w:num="1">
            <w:col w:w="9828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16"/>
          <w:footerReference w:type="default" r:id="rId17"/>
          <w:pgSz w:w="11906" w:h="16838"/>
          <w:pgMar w:top="1429" w:right="1133" w:bottom="471" w:left="1012" w:header="779" w:footer="232" w:gutter="0"/>
          <w:cols w:equalWidth="0" w:num="1">
            <w:col w:w="9760" w:space="0"/>
          </w:cols>
        </w:sectPr>
        <w:rPr/>
      </w:pPr>
    </w:p>
    <w:p>
      <w:pPr>
        <w:pStyle w:val="BodyText"/>
        <w:ind w:left="123" w:right="283" w:firstLine="5"/>
        <w:spacing w:before="92" w:line="223" w:lineRule="auto"/>
        <w:jc w:val="both"/>
        <w:rPr/>
      </w:pPr>
      <w:r>
        <w:rPr>
          <w:spacing w:val="8"/>
        </w:rPr>
        <w:t>开展跨学科研究合作和交流的平台。国内部分大</w:t>
      </w:r>
      <w:r>
        <w:rPr>
          <w:spacing w:val="1"/>
        </w:rPr>
        <w:t>学在推动学科融合促进智库建设走在前列。比如，</w:t>
      </w:r>
      <w:r>
        <w:rPr>
          <w:spacing w:val="8"/>
        </w:rPr>
        <w:t>复旦大学整合学科资源，建设复旦智库楼，为学</w:t>
      </w:r>
      <w:r>
        <w:rPr>
          <w:spacing w:val="8"/>
        </w:rPr>
        <w:t>校智库、研究团队或者个人提供工作空间，举办</w:t>
      </w:r>
      <w:r>
        <w:rPr>
          <w:spacing w:val="8"/>
        </w:rPr>
        <w:t>各类学术沙龙、智库论坛等，推动复旦大学中国</w:t>
      </w:r>
      <w:r>
        <w:rPr>
          <w:spacing w:val="8"/>
        </w:rPr>
        <w:t>研究院、复旦大学美国研究中心、复旦发展研究</w:t>
      </w:r>
      <w:r>
        <w:rPr>
          <w:spacing w:val="8"/>
        </w:rPr>
        <w:t>院、复旦大学一带一路及全球治理研究院等</w:t>
      </w:r>
      <w:r>
        <w:rPr>
          <w:rFonts w:ascii="Times New Roman" w:hAnsi="Times New Roman" w:eastAsia="Times New Roman" w:cs="Times New Roman"/>
          <w:spacing w:val="8"/>
        </w:rPr>
        <w:t>12</w:t>
      </w:r>
      <w:r>
        <w:rPr>
          <w:spacing w:val="8"/>
        </w:rPr>
        <w:t>个</w:t>
      </w:r>
      <w:r>
        <w:rPr>
          <w:spacing w:val="2"/>
        </w:rPr>
        <w:t>智库协同发展，为智库从业人员从跨学科的角度、</w:t>
      </w:r>
      <w:r>
        <w:rPr>
          <w:spacing w:val="11"/>
        </w:rPr>
        <w:t>多视角多维度的方法进行研究提供了便捷条件，</w:t>
      </w:r>
      <w:r>
        <w:rPr>
          <w:spacing w:val="-2"/>
        </w:rPr>
        <w:t>推动形成良好的智库融合生态。</w:t>
      </w:r>
    </w:p>
    <w:p>
      <w:pPr>
        <w:ind w:firstLine="121"/>
        <w:spacing w:before="80" w:line="333" w:lineRule="exact"/>
        <w:rPr/>
      </w:pPr>
      <w:r>
        <w:rPr>
          <w:position w:val="-6"/>
        </w:rPr>
        <w:pict>
          <v:shape id="_x0000_s34" style="mso-position-vertical-relative:line;mso-position-horizontal-relative:char;width:229.65pt;height:16.65pt;" fillcolor="#30656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"/>
                    <w:spacing w:before="33" w:line="316" w:lineRule="exact"/>
                    <w:rPr>
                      <w:rFonts w:ascii="SimHei" w:hAnsi="SimHei" w:eastAsia="SimHei" w:cs="SimHei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b/>
                      <w:bCs/>
                      <w:color w:val="FFFFFF"/>
                      <w:spacing w:val="5"/>
                      <w:position w:val="1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b/>
                      <w:bCs/>
                      <w:color w:val="FFFFFF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color w:val="FFFFFF"/>
                      <w:spacing w:val="5"/>
                      <w:position w:val="1"/>
                    </w:rPr>
                    <w:t>结论与讨论</w:t>
                  </w:r>
                </w:p>
              </w:txbxContent>
            </v:textbox>
          </v:shape>
        </w:pict>
      </w:r>
    </w:p>
    <w:p>
      <w:pPr>
        <w:pStyle w:val="BodyText"/>
        <w:ind w:left="123" w:right="300" w:firstLine="426"/>
        <w:spacing w:before="215" w:line="223" w:lineRule="auto"/>
        <w:jc w:val="both"/>
        <w:rPr/>
      </w:pPr>
      <w:r>
        <w:rPr>
          <w:spacing w:val="9"/>
        </w:rPr>
        <w:t>竞争力建设是高校智库的核心所在。高校智</w:t>
      </w:r>
      <w:r>
        <w:rPr>
          <w:spacing w:val="1"/>
        </w:rPr>
        <w:t>库只有了解分析当前高校智库竞争力不足与困境，</w:t>
      </w:r>
      <w:r>
        <w:rPr>
          <w:spacing w:val="8"/>
        </w:rPr>
        <w:t>才能提出有针对性的建设。本文从竞争力理论的</w:t>
      </w:r>
      <w:r>
        <w:rPr>
          <w:spacing w:val="8"/>
        </w:rPr>
        <w:t>视角出发，通过文献研究和个案分析的方法，总</w:t>
      </w:r>
      <w:r>
        <w:rPr>
          <w:spacing w:val="8"/>
        </w:rPr>
        <w:t>结发现当前高校智库竞争力建设过程中存在智库</w:t>
      </w:r>
      <w:r>
        <w:rPr>
          <w:spacing w:val="8"/>
        </w:rPr>
        <w:t>成果引领作用欠缺、成果发布渠道单一和主体身</w:t>
      </w:r>
      <w:r>
        <w:rPr>
          <w:spacing w:val="7"/>
        </w:rPr>
        <w:t>份认知偏差等三类共通性问题。根据对入围</w:t>
      </w:r>
      <w:r>
        <w:rPr>
          <w:rFonts w:ascii="Times New Roman" w:hAnsi="Times New Roman" w:eastAsia="Times New Roman" w:cs="Times New Roman"/>
        </w:rPr>
        <w:t>CTTI</w:t>
      </w:r>
      <w:r>
        <w:rPr>
          <w:spacing w:val="3"/>
        </w:rPr>
        <w:t>的</w:t>
      </w:r>
      <w:r>
        <w:rPr>
          <w:rFonts w:ascii="Times New Roman" w:hAnsi="Times New Roman" w:eastAsia="Times New Roman" w:cs="Times New Roman"/>
          <w:spacing w:val="3"/>
        </w:rPr>
        <w:t>795</w:t>
      </w:r>
      <w:r>
        <w:rPr>
          <w:spacing w:val="3"/>
        </w:rPr>
        <w:t>家高校智库的实践路径的分析，本文认为高</w:t>
      </w:r>
      <w:r>
        <w:rPr>
          <w:spacing w:val="8"/>
        </w:rPr>
        <w:t>校智库可从打造旗舰产品、构建立体传播和推动</w:t>
      </w:r>
      <w:r>
        <w:rPr>
          <w:spacing w:val="8"/>
        </w:rPr>
        <w:t>学科建设三个路径进行优化突破并重点着眼产品</w:t>
      </w:r>
      <w:r>
        <w:rPr>
          <w:spacing w:val="8"/>
        </w:rPr>
        <w:t>质量、传播效能、智库学建设等关键因素。事实</w:t>
      </w:r>
      <w:r>
        <w:rPr>
          <w:spacing w:val="8"/>
        </w:rPr>
        <w:t>上，高校智库竞争力建设是一个多要素综合作用</w:t>
      </w:r>
      <w:r>
        <w:rPr>
          <w:spacing w:val="8"/>
        </w:rPr>
        <w:t>的过程。高校智库在制定发展战略时，需要从理</w:t>
      </w:r>
      <w:r>
        <w:rPr>
          <w:spacing w:val="8"/>
        </w:rPr>
        <w:t>论上认识竞争力的含义和作用，策应国家和区域</w:t>
      </w:r>
      <w:r>
        <w:rPr>
          <w:spacing w:val="8"/>
        </w:rPr>
        <w:t>经济发展的战略要求，结合自身的资源优势和研</w:t>
      </w:r>
      <w:r>
        <w:rPr>
          <w:spacing w:val="8"/>
        </w:rPr>
        <w:t>究特长，找准自身定位，采用适当的策略精心打</w:t>
      </w:r>
      <w:r>
        <w:rPr>
          <w:spacing w:val="19"/>
        </w:rPr>
        <w:t>造独家竞争力，成长为高校智库领域的“领头</w:t>
      </w:r>
      <w:r>
        <w:rPr>
          <w:spacing w:val="8"/>
        </w:rPr>
        <w:t>羊”，不断提升智库的综合实力，进而更好地服</w:t>
      </w:r>
      <w:r>
        <w:rPr>
          <w:spacing w:val="-3"/>
        </w:rPr>
        <w:t>务国家治理和科学决策。</w:t>
      </w:r>
    </w:p>
    <w:p>
      <w:pPr>
        <w:ind w:left="129"/>
        <w:spacing w:before="10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306566"/>
          <w:spacing w:val="-8"/>
        </w:rPr>
        <w:t>参考文献：</w:t>
      </w:r>
    </w:p>
    <w:p>
      <w:pPr>
        <w:ind w:left="603" w:right="368" w:hanging="467"/>
        <w:spacing w:before="153" w:line="34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[1]      PORTER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E.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competitive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dvantage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nations: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  a  new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introduction[M].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York: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Free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ess,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1990: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69-130.</w:t>
      </w:r>
    </w:p>
    <w:p>
      <w:pPr>
        <w:ind w:left="615" w:right="367" w:hanging="479"/>
        <w:spacing w:before="16" w:line="3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[2]      BARNEY  J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B.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Looking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inside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competitive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advantage </w:t>
      </w:r>
      <w:r>
        <w:rPr>
          <w:rFonts w:ascii="Times New Roman" w:hAnsi="Times New Roman" w:eastAsia="Times New Roman" w:cs="Times New Roman"/>
          <w:sz w:val="17"/>
          <w:szCs w:val="17"/>
        </w:rPr>
        <w:t>[J]. Academy of Management Executive,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1995, 9(4): 49-61.</w:t>
      </w:r>
    </w:p>
    <w:p>
      <w:pPr>
        <w:ind w:left="603" w:right="349" w:hanging="467"/>
        <w:spacing w:before="49" w:line="34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[3]      LOASBY  B  J.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Running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business: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appraisal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economics,   organization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Paul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Milgrom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John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Roberts[J].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Indu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strial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Corporate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Change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1995,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4(2):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471-489.</w:t>
      </w:r>
    </w:p>
    <w:p>
      <w:pPr>
        <w:pStyle w:val="BodyText"/>
        <w:ind w:left="136"/>
        <w:spacing w:before="35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[4]      </w:t>
      </w:r>
      <w:r>
        <w:rPr>
          <w:sz w:val="17"/>
          <w:szCs w:val="17"/>
          <w:spacing w:val="6"/>
        </w:rPr>
        <w:t>姚霞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6"/>
        </w:rPr>
        <w:t>我国高校智库竞争力提升策略研究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[D].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6"/>
        </w:rPr>
        <w:t>秦皇岛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7"/>
        <w:spacing w:before="45" w:line="23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3"/>
        </w:rPr>
        <w:t>燕山大学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2020: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14-16.</w:t>
      </w:r>
    </w:p>
    <w:p>
      <w:pPr>
        <w:pStyle w:val="BodyText"/>
        <w:ind w:left="472" w:right="1" w:hanging="472"/>
        <w:spacing w:before="2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[5]      </w:t>
      </w:r>
      <w:r>
        <w:rPr>
          <w:sz w:val="17"/>
          <w:szCs w:val="17"/>
          <w:spacing w:val="5"/>
        </w:rPr>
        <w:t>周静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 </w:t>
      </w:r>
      <w:r>
        <w:rPr>
          <w:sz w:val="17"/>
          <w:szCs w:val="17"/>
          <w:spacing w:val="5"/>
        </w:rPr>
        <w:t>卢敦基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 </w:t>
      </w:r>
      <w:r>
        <w:rPr>
          <w:sz w:val="17"/>
          <w:szCs w:val="17"/>
          <w:spacing w:val="5"/>
        </w:rPr>
        <w:t>中国智库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4"/>
        </w:rPr>
        <w:t>历史渊源与当代发展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[J].  </w:t>
      </w:r>
      <w:r>
        <w:rPr>
          <w:sz w:val="17"/>
          <w:szCs w:val="17"/>
          <w:spacing w:val="4"/>
        </w:rPr>
        <w:t>浙</w:t>
      </w:r>
      <w:r>
        <w:rPr>
          <w:sz w:val="17"/>
          <w:szCs w:val="17"/>
          <w:spacing w:val="3"/>
        </w:rPr>
        <w:t>江社会科学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2014(7):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84-89,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136,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58.</w:t>
      </w:r>
    </w:p>
    <w:p>
      <w:pPr>
        <w:pStyle w:val="BodyText"/>
        <w:ind w:left="486" w:right="1" w:hanging="486"/>
        <w:spacing w:before="7" w:line="23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[6]      </w:t>
      </w:r>
      <w:r>
        <w:rPr>
          <w:sz w:val="17"/>
          <w:szCs w:val="17"/>
          <w:spacing w:val="4"/>
        </w:rPr>
        <w:t>王莉丽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4"/>
        </w:rPr>
        <w:t>智力资本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:  </w:t>
      </w:r>
      <w:r>
        <w:rPr>
          <w:sz w:val="17"/>
          <w:szCs w:val="17"/>
          <w:spacing w:val="4"/>
        </w:rPr>
        <w:t>中国智库核心竞争力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[M].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北京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4"/>
        </w:rPr>
        <w:t>中</w:t>
      </w:r>
      <w:r>
        <w:rPr>
          <w:sz w:val="17"/>
          <w:szCs w:val="17"/>
          <w:spacing w:val="5"/>
        </w:rPr>
        <w:t>国人民大学出版社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2015: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34</w:t>
      </w:r>
    </w:p>
    <w:p>
      <w:pPr>
        <w:pStyle w:val="BodyText"/>
        <w:ind w:left="479" w:hanging="479"/>
        <w:spacing w:before="1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[7]      </w:t>
      </w:r>
      <w:r>
        <w:rPr>
          <w:sz w:val="17"/>
          <w:szCs w:val="17"/>
          <w:spacing w:val="7"/>
        </w:rPr>
        <w:t>柏必成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7"/>
        </w:rPr>
        <w:t>核心竞争力视角下的新型智库建设问题分析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河南社会科学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2016,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24(9):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50-57,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123.</w:t>
      </w:r>
    </w:p>
    <w:p>
      <w:pPr>
        <w:pStyle w:val="BodyText"/>
        <w:ind w:left="467" w:hanging="467"/>
        <w:spacing w:before="6" w:line="24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[8]      </w:t>
      </w:r>
      <w:r>
        <w:rPr>
          <w:sz w:val="17"/>
          <w:szCs w:val="17"/>
          <w:spacing w:val="6"/>
        </w:rPr>
        <w:t>朱旭峰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6"/>
        </w:rPr>
        <w:t>苏钰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6"/>
        </w:rPr>
        <w:t>西方思想库对公共政策的影响力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6"/>
        </w:rPr>
        <w:t>基于</w:t>
      </w:r>
      <w:r>
        <w:rPr>
          <w:sz w:val="17"/>
          <w:szCs w:val="17"/>
          <w:spacing w:val="8"/>
        </w:rPr>
        <w:t>社会结构的影响力分析框架构建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8"/>
        </w:rPr>
        <w:t>世界经济与政治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2004(12):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21-26,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4-5.</w:t>
      </w:r>
    </w:p>
    <w:p>
      <w:pPr>
        <w:pStyle w:val="BodyText"/>
        <w:ind w:left="467" w:hanging="467"/>
        <w:spacing w:before="45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[9]      </w:t>
      </w:r>
      <w:r>
        <w:rPr>
          <w:sz w:val="17"/>
          <w:szCs w:val="17"/>
          <w:spacing w:val="6"/>
        </w:rPr>
        <w:t>丁炫凯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 </w:t>
      </w:r>
      <w:r>
        <w:rPr>
          <w:sz w:val="17"/>
          <w:szCs w:val="17"/>
          <w:spacing w:val="6"/>
        </w:rPr>
        <w:t>李刚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</w:t>
      </w:r>
      <w:r>
        <w:rPr>
          <w:sz w:val="17"/>
          <w:szCs w:val="17"/>
          <w:spacing w:val="6"/>
        </w:rPr>
        <w:t>新型智库传播力评价及其实证研究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[J].</w:t>
      </w:r>
      <w:r>
        <w:rPr>
          <w:sz w:val="17"/>
          <w:szCs w:val="17"/>
          <w:spacing w:val="5"/>
        </w:rPr>
        <w:t>南京社会科学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2018(10):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29-35.</w:t>
      </w:r>
    </w:p>
    <w:p>
      <w:pPr>
        <w:pStyle w:val="BodyText"/>
        <w:ind w:left="467" w:hanging="467"/>
        <w:spacing w:before="7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[10]    </w:t>
      </w:r>
      <w:r>
        <w:rPr>
          <w:sz w:val="17"/>
          <w:szCs w:val="17"/>
          <w:spacing w:val="6"/>
        </w:rPr>
        <w:t>王传奇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6"/>
        </w:rPr>
        <w:t>李刚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6"/>
        </w:rPr>
        <w:t>丁炫凯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6"/>
        </w:rPr>
        <w:t>智库政策影响力评价中的“唯</w:t>
      </w:r>
      <w:r>
        <w:rPr>
          <w:sz w:val="17"/>
          <w:szCs w:val="17"/>
          <w:spacing w:val="7"/>
        </w:rPr>
        <w:t>批示论”迷思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 </w:t>
      </w:r>
      <w:r>
        <w:rPr>
          <w:sz w:val="17"/>
          <w:szCs w:val="17"/>
          <w:spacing w:val="7"/>
        </w:rPr>
        <w:t>基于政策过程理论视角的研究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7"/>
        </w:rPr>
        <w:t>图</w:t>
      </w:r>
      <w:r>
        <w:rPr>
          <w:sz w:val="17"/>
          <w:szCs w:val="17"/>
          <w:spacing w:val="3"/>
        </w:rPr>
        <w:t>书与情报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2019(3):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11-19.</w:t>
      </w:r>
    </w:p>
    <w:p>
      <w:pPr>
        <w:pStyle w:val="BodyText"/>
        <w:ind w:left="461" w:hanging="461"/>
        <w:spacing w:before="5" w:line="23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[11]    </w:t>
      </w:r>
      <w:r>
        <w:rPr>
          <w:sz w:val="17"/>
          <w:szCs w:val="17"/>
          <w:spacing w:val="5"/>
        </w:rPr>
        <w:t>庆海涛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5"/>
        </w:rPr>
        <w:t>李刚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5"/>
        </w:rPr>
        <w:t>智库专家评价指标体系研究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[J].  </w:t>
      </w:r>
      <w:r>
        <w:rPr>
          <w:sz w:val="17"/>
          <w:szCs w:val="17"/>
          <w:spacing w:val="5"/>
        </w:rPr>
        <w:t>图书馆</w:t>
      </w:r>
      <w:r>
        <w:rPr>
          <w:sz w:val="17"/>
          <w:szCs w:val="17"/>
          <w:spacing w:val="3"/>
        </w:rPr>
        <w:t>论坛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2017,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37(10):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22-28.</w:t>
      </w:r>
    </w:p>
    <w:p>
      <w:pPr>
        <w:pStyle w:val="BodyText"/>
        <w:ind w:left="469" w:right="1" w:hanging="469"/>
        <w:spacing w:before="6" w:line="23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[12]    </w:t>
      </w:r>
      <w:r>
        <w:rPr>
          <w:sz w:val="17"/>
          <w:szCs w:val="17"/>
          <w:spacing w:val="6"/>
        </w:rPr>
        <w:t>王健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 </w:t>
      </w:r>
      <w:r>
        <w:rPr>
          <w:sz w:val="17"/>
          <w:szCs w:val="17"/>
          <w:spacing w:val="6"/>
        </w:rPr>
        <w:t>中国当代智库竞争力的现状评估及深化转型的</w:t>
      </w:r>
      <w:r>
        <w:rPr>
          <w:sz w:val="17"/>
          <w:szCs w:val="17"/>
          <w:spacing w:val="4"/>
        </w:rPr>
        <w:t>路径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中国党政干部论坛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2015(1):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12-15.</w:t>
      </w:r>
    </w:p>
    <w:p>
      <w:pPr>
        <w:pStyle w:val="BodyText"/>
        <w:ind w:left="484" w:hanging="484"/>
        <w:spacing w:before="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[13]    </w:t>
      </w:r>
      <w:r>
        <w:rPr>
          <w:sz w:val="17"/>
          <w:szCs w:val="17"/>
          <w:spacing w:val="9"/>
        </w:rPr>
        <w:t>庞丽娟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   </w:t>
      </w:r>
      <w:r>
        <w:rPr>
          <w:sz w:val="17"/>
          <w:szCs w:val="17"/>
          <w:spacing w:val="9"/>
        </w:rPr>
        <w:t>我国新型教育智库若干重要问题的思考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[J].</w:t>
      </w:r>
      <w:r>
        <w:rPr>
          <w:sz w:val="17"/>
          <w:szCs w:val="17"/>
          <w:spacing w:val="4"/>
        </w:rPr>
        <w:t>教育研究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2015,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36(4):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4-8.</w:t>
      </w:r>
    </w:p>
    <w:p>
      <w:pPr>
        <w:pStyle w:val="BodyText"/>
        <w:ind w:left="474" w:hanging="474"/>
        <w:spacing w:before="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[14]    </w:t>
      </w:r>
      <w:r>
        <w:rPr>
          <w:sz w:val="17"/>
          <w:szCs w:val="17"/>
          <w:spacing w:val="6"/>
        </w:rPr>
        <w:t>王小飞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  </w:t>
      </w:r>
      <w:r>
        <w:rPr>
          <w:sz w:val="17"/>
          <w:szCs w:val="17"/>
          <w:spacing w:val="6"/>
        </w:rPr>
        <w:t>贺腾飞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 </w:t>
      </w:r>
      <w:r>
        <w:rPr>
          <w:sz w:val="17"/>
          <w:szCs w:val="17"/>
          <w:spacing w:val="6"/>
        </w:rPr>
        <w:t>我国新型教育智库建设的现实困境</w:t>
      </w:r>
      <w:r>
        <w:rPr>
          <w:sz w:val="17"/>
          <w:szCs w:val="17"/>
          <w:spacing w:val="4"/>
        </w:rPr>
        <w:t>与转型出路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55"/>
        </w:rPr>
        <w:t xml:space="preserve"> </w:t>
      </w:r>
      <w:r>
        <w:rPr>
          <w:sz w:val="17"/>
          <w:szCs w:val="17"/>
          <w:spacing w:val="4"/>
        </w:rPr>
        <w:t>中国高教研究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2021(11):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64-69.</w:t>
      </w:r>
    </w:p>
    <w:p>
      <w:pPr>
        <w:pStyle w:val="BodyText"/>
        <w:ind w:left="468" w:hanging="468"/>
        <w:spacing w:before="7" w:line="25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[15]    </w:t>
      </w:r>
      <w:r>
        <w:rPr>
          <w:sz w:val="17"/>
          <w:szCs w:val="17"/>
          <w:spacing w:val="6"/>
        </w:rPr>
        <w:t>王轶珍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6"/>
        </w:rPr>
        <w:t>王小元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6"/>
        </w:rPr>
        <w:t>张庆晓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6"/>
        </w:rPr>
        <w:t>高校教育智库竞争力建设的</w:t>
      </w:r>
      <w:r>
        <w:rPr>
          <w:sz w:val="17"/>
          <w:szCs w:val="17"/>
          <w:spacing w:val="6"/>
        </w:rPr>
        <w:t>影响因素及路径研究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6"/>
        </w:rPr>
        <w:t>智库理论与实践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2022,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7(3):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13-24.</w:t>
      </w:r>
    </w:p>
    <w:p>
      <w:pPr>
        <w:pStyle w:val="BodyText"/>
        <w:ind w:left="465" w:hanging="465"/>
        <w:spacing w:before="12" w:line="27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[16]    </w:t>
      </w:r>
      <w:r>
        <w:rPr>
          <w:sz w:val="17"/>
          <w:szCs w:val="17"/>
          <w:spacing w:val="6"/>
        </w:rPr>
        <w:t>中华人民共和国教育部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 </w:t>
      </w:r>
      <w:r>
        <w:rPr>
          <w:sz w:val="17"/>
          <w:szCs w:val="17"/>
          <w:spacing w:val="6"/>
        </w:rPr>
        <w:t>教育部关于印发《中国特色</w:t>
      </w:r>
      <w:r>
        <w:rPr>
          <w:sz w:val="17"/>
          <w:szCs w:val="17"/>
          <w:spacing w:val="4"/>
        </w:rPr>
        <w:t>新型高校智库建设推进计划》</w:t>
      </w:r>
      <w:r>
        <w:rPr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</w:t>
      </w:r>
      <w:r>
        <w:rPr>
          <w:rFonts w:ascii="Times New Roman" w:hAnsi="Times New Roman" w:eastAsia="Times New Roman" w:cs="Times New Roman"/>
          <w:sz w:val="17"/>
          <w:szCs w:val="17"/>
        </w:rPr>
        <w:t>EB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OL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].  [2024-02-12].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hyperlink w:history="true" r:id="rId18">
        <w:r>
          <w:rPr>
            <w:rFonts w:ascii="Times New Roman" w:hAnsi="Times New Roman" w:eastAsia="Times New Roman" w:cs="Times New Roman"/>
            <w:sz w:val="17"/>
            <w:szCs w:val="17"/>
            <w:spacing w:val="8"/>
            <w:w w:val="126"/>
          </w:rPr>
          <w:t>https://www.</w:t>
        </w:r>
        <w:r>
          <w:rPr>
            <w:rFonts w:ascii="Times New Roman" w:hAnsi="Times New Roman" w:eastAsia="Times New Roman" w:cs="Times New Roman"/>
            <w:sz w:val="17"/>
            <w:szCs w:val="17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spacing w:val="8"/>
            <w:w w:val="126"/>
          </w:rPr>
          <w:t>gov.</w:t>
        </w:r>
        <w:r>
          <w:rPr>
            <w:rFonts w:ascii="Times New Roman" w:hAnsi="Times New Roman" w:eastAsia="Times New Roman" w:cs="Times New Roman"/>
            <w:sz w:val="17"/>
            <w:szCs w:val="17"/>
            <w:spacing w:val="-11"/>
          </w:rPr>
          <w:t xml:space="preserve"> </w:t>
        </w:r>
        <w:r>
          <w:rPr>
            <w:rFonts w:ascii="Times New Roman" w:hAnsi="Times New Roman" w:eastAsia="Times New Roman" w:cs="Times New Roman"/>
            <w:sz w:val="17"/>
            <w:szCs w:val="17"/>
            <w:spacing w:val="8"/>
            <w:w w:val="126"/>
          </w:rPr>
          <w:t>cn/gongbao/content/2014/</w:t>
        </w:r>
      </w:hyperlink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content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_2697085.</w:t>
      </w:r>
      <w:r>
        <w:rPr>
          <w:rFonts w:ascii="Times New Roman" w:hAnsi="Times New Roman" w:eastAsia="Times New Roman" w:cs="Times New Roman"/>
          <w:sz w:val="17"/>
          <w:szCs w:val="17"/>
        </w:rPr>
        <w:t>htm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hyperlink w:history="true" r:id="rId19">
        <w:r>
          <w:rPr>
            <w:rFonts w:ascii="Times New Roman" w:hAnsi="Times New Roman" w:eastAsia="Times New Roman" w:cs="Times New Roman"/>
            <w:sz w:val="17"/>
            <w:szCs w:val="17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www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moe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gov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cn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/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srcsite</w:t>
        </w:r>
        <w:r>
          <w:rPr>
            <w:rFonts w:ascii="Times New Roman" w:hAnsi="Times New Roman" w:eastAsia="Times New Roman" w:cs="Times New Roman"/>
            <w:sz w:val="17"/>
            <w:szCs w:val="17"/>
            <w:spacing w:val="14"/>
          </w:rPr>
          <w:t>/</w:t>
        </w:r>
      </w:hyperlink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A13/s7061/201402/t20140212_164598.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html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.</w:t>
        </w:r>
      </w:hyperlink>
    </w:p>
    <w:p>
      <w:pPr>
        <w:pStyle w:val="BodyText"/>
        <w:ind w:left="468" w:hanging="468"/>
        <w:spacing w:before="47" w:line="25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[17]    </w:t>
      </w:r>
      <w:r>
        <w:rPr>
          <w:sz w:val="17"/>
          <w:szCs w:val="17"/>
          <w:spacing w:val="6"/>
        </w:rPr>
        <w:t>周湘智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6"/>
        </w:rPr>
        <w:t>智库建设应走向品牌化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[N].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</w:rPr>
        <w:t>中国社会科学报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2014-08-01(B2).</w:t>
      </w:r>
    </w:p>
    <w:p>
      <w:pPr>
        <w:pStyle w:val="BodyText"/>
        <w:ind w:left="483" w:hanging="483"/>
        <w:spacing w:before="48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[18]    </w:t>
      </w:r>
      <w:r>
        <w:rPr>
          <w:sz w:val="17"/>
          <w:szCs w:val="17"/>
          <w:spacing w:val="7"/>
        </w:rPr>
        <w:t>郭红霞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7"/>
        </w:rPr>
        <w:t>高等教育社会功能视角下我国高校智库建设</w:t>
      </w:r>
      <w:r>
        <w:rPr>
          <w:sz w:val="17"/>
          <w:szCs w:val="17"/>
          <w:spacing w:val="4"/>
        </w:rPr>
        <w:t>的现状研究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[D].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4"/>
        </w:rPr>
        <w:t>昆明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云南大学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2022: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36.</w:t>
      </w:r>
    </w:p>
    <w:p>
      <w:pPr>
        <w:pStyle w:val="BodyText"/>
        <w:ind w:left="472" w:hanging="472"/>
        <w:spacing w:before="2" w:line="29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[19]    </w:t>
      </w:r>
      <w:r>
        <w:rPr>
          <w:sz w:val="17"/>
          <w:szCs w:val="17"/>
          <w:spacing w:val="7"/>
        </w:rPr>
        <w:t>方兰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 </w:t>
      </w:r>
      <w:r>
        <w:rPr>
          <w:sz w:val="17"/>
          <w:szCs w:val="17"/>
          <w:spacing w:val="7"/>
        </w:rPr>
        <w:t>加强高校智库建设推动中国话语国际表达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</w:t>
      </w:r>
      <w:r>
        <w:rPr>
          <w:rFonts w:ascii="Times New Roman" w:hAnsi="Times New Roman" w:eastAsia="Times New Roman" w:cs="Times New Roman"/>
          <w:sz w:val="17"/>
          <w:szCs w:val="17"/>
        </w:rPr>
        <w:t>EB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].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(2022-03-07)[2024-03-12].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17"/>
            <w:szCs w:val="17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spacing w:val="6"/>
          </w:rPr>
          <w:t>:/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/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www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sinoss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net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/</w:t>
        </w:r>
      </w:hyperlink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c/2022-03-07/620931.</w:t>
        </w:r>
        <w:r>
          <w:rPr>
            <w:rFonts w:ascii="Times New Roman" w:hAnsi="Times New Roman" w:eastAsia="Times New Roman" w:cs="Times New Roman"/>
            <w:sz w:val="17"/>
            <w:szCs w:val="17"/>
          </w:rPr>
          <w:t>shtml</w:t>
        </w:r>
        <w:r>
          <w:rPr>
            <w:rFonts w:ascii="Times New Roman" w:hAnsi="Times New Roman" w:eastAsia="Times New Roman" w:cs="Times New Roman"/>
            <w:sz w:val="17"/>
            <w:szCs w:val="17"/>
            <w:spacing w:val="5"/>
          </w:rPr>
          <w:t>.</w:t>
        </w:r>
      </w:hyperlink>
    </w:p>
    <w:p>
      <w:pPr>
        <w:pStyle w:val="BodyText"/>
        <w:ind w:left="471" w:hanging="471"/>
        <w:spacing w:before="13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[20]    </w:t>
      </w:r>
      <w:r>
        <w:rPr>
          <w:sz w:val="17"/>
          <w:szCs w:val="17"/>
          <w:spacing w:val="7"/>
        </w:rPr>
        <w:t>王眉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7"/>
        </w:rPr>
        <w:t>智库国际传播与对外</w:t>
      </w:r>
      <w:r>
        <w:rPr>
          <w:sz w:val="17"/>
          <w:szCs w:val="17"/>
          <w:spacing w:val="6"/>
        </w:rPr>
        <w:t>话语体系构建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6"/>
        </w:rPr>
        <w:t>新疆师</w:t>
      </w:r>
      <w:r>
        <w:rPr>
          <w:sz w:val="17"/>
          <w:szCs w:val="17"/>
          <w:spacing w:val="5"/>
        </w:rPr>
        <w:t>范大学学报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sz w:val="17"/>
          <w:szCs w:val="17"/>
          <w:spacing w:val="5"/>
        </w:rPr>
        <w:t>哲学社会科学版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2015,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36(6):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94-100,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2.</w:t>
      </w:r>
    </w:p>
    <w:p>
      <w:pPr>
        <w:pStyle w:val="BodyText"/>
        <w:ind w:left="468" w:hanging="468"/>
        <w:spacing w:before="7" w:line="25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[21]    </w:t>
      </w:r>
      <w:r>
        <w:rPr>
          <w:sz w:val="17"/>
          <w:szCs w:val="17"/>
          <w:spacing w:val="7"/>
        </w:rPr>
        <w:t>张梦晨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  </w:t>
      </w:r>
      <w:r>
        <w:rPr>
          <w:sz w:val="17"/>
          <w:szCs w:val="17"/>
          <w:spacing w:val="7"/>
        </w:rPr>
        <w:t>武音璇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  </w:t>
      </w:r>
      <w:r>
        <w:rPr>
          <w:sz w:val="17"/>
          <w:szCs w:val="17"/>
          <w:spacing w:val="7"/>
        </w:rPr>
        <w:t>论中国特色新型智库的国际影响力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:</w:t>
      </w:r>
      <w:r>
        <w:rPr>
          <w:sz w:val="17"/>
          <w:szCs w:val="17"/>
          <w:spacing w:val="7"/>
        </w:rPr>
        <w:t>历史、现状与未来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7"/>
        </w:rPr>
        <w:t>智库理论与实践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021,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6(2):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15-23.</w:t>
      </w:r>
    </w:p>
    <w:p>
      <w:pPr>
        <w:pStyle w:val="BodyText"/>
        <w:ind w:left="470" w:hanging="470"/>
        <w:spacing w:before="11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[22]    </w:t>
      </w:r>
      <w:r>
        <w:rPr>
          <w:sz w:val="17"/>
          <w:szCs w:val="17"/>
          <w:spacing w:val="6"/>
        </w:rPr>
        <w:t>顾天安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 </w:t>
      </w:r>
      <w:r>
        <w:rPr>
          <w:sz w:val="17"/>
          <w:szCs w:val="17"/>
          <w:spacing w:val="6"/>
        </w:rPr>
        <w:t>冯文彬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 </w:t>
      </w:r>
      <w:r>
        <w:rPr>
          <w:sz w:val="17"/>
          <w:szCs w:val="17"/>
          <w:spacing w:val="6"/>
        </w:rPr>
        <w:t>国外高端智库建设的主要特征与经</w:t>
      </w:r>
      <w:r>
        <w:rPr>
          <w:sz w:val="17"/>
          <w:szCs w:val="17"/>
          <w:spacing w:val="4"/>
        </w:rPr>
        <w:t>验启示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科技智囊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2023(11):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-11.</w:t>
      </w:r>
    </w:p>
    <w:p>
      <w:pPr>
        <w:pStyle w:val="BodyText"/>
        <w:ind w:left="475" w:hanging="475"/>
        <w:spacing w:before="3" w:line="24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[23]    </w:t>
      </w:r>
      <w:r>
        <w:rPr>
          <w:sz w:val="17"/>
          <w:szCs w:val="17"/>
          <w:spacing w:val="6"/>
        </w:rPr>
        <w:t>蔡继辉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6"/>
        </w:rPr>
        <w:t>张艳丽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</w:t>
      </w:r>
      <w:r>
        <w:rPr>
          <w:sz w:val="17"/>
          <w:szCs w:val="17"/>
          <w:spacing w:val="6"/>
        </w:rPr>
        <w:t>中国智库发展现</w:t>
      </w:r>
      <w:r>
        <w:rPr>
          <w:sz w:val="17"/>
          <w:szCs w:val="17"/>
          <w:spacing w:val="5"/>
        </w:rPr>
        <w:t>状与政策建议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5"/>
        </w:rPr>
        <w:t>基于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100</w:t>
      </w:r>
      <w:r>
        <w:rPr>
          <w:sz w:val="17"/>
          <w:szCs w:val="17"/>
          <w:spacing w:val="7"/>
        </w:rPr>
        <w:t>家智库管理人员的调查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[J]. </w:t>
      </w:r>
      <w:r>
        <w:rPr>
          <w:sz w:val="17"/>
          <w:szCs w:val="17"/>
          <w:spacing w:val="7"/>
        </w:rPr>
        <w:t>智库理论与实践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 2023,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8(4):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22-31,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41.</w:t>
      </w:r>
    </w:p>
    <w:p>
      <w:pPr>
        <w:pStyle w:val="BodyText"/>
        <w:spacing w:before="46" w:line="231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[24]    </w:t>
      </w:r>
      <w:r>
        <w:rPr>
          <w:sz w:val="17"/>
          <w:szCs w:val="17"/>
          <w:spacing w:val="6"/>
        </w:rPr>
        <w:t>王亚莘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6"/>
        </w:rPr>
        <w:t>刘彦成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6"/>
        </w:rPr>
        <w:t>张诗奕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 </w:t>
      </w:r>
      <w:r>
        <w:rPr>
          <w:sz w:val="17"/>
          <w:szCs w:val="17"/>
          <w:spacing w:val="6"/>
        </w:rPr>
        <w:t>中国特色</w:t>
      </w:r>
      <w:r>
        <w:rPr>
          <w:sz w:val="17"/>
          <w:szCs w:val="17"/>
          <w:spacing w:val="5"/>
        </w:rPr>
        <w:t>新型智库对外数字</w:t>
      </w:r>
    </w:p>
    <w:p>
      <w:pPr>
        <w:spacing w:line="231" w:lineRule="auto"/>
        <w:sectPr>
          <w:type w:val="continuous"/>
          <w:pgSz w:w="11906" w:h="16838"/>
          <w:pgMar w:top="1429" w:right="1133" w:bottom="471" w:left="1012" w:header="779" w:footer="232" w:gutter="0"/>
          <w:cols w:equalWidth="0" w:num="2">
            <w:col w:w="5082" w:space="100"/>
            <w:col w:w="4579" w:space="0"/>
          </w:cols>
        </w:sectPr>
        <w:rPr>
          <w:sz w:val="17"/>
          <w:szCs w:val="17"/>
        </w:rPr>
      </w:pPr>
    </w:p>
    <w:p>
      <w:pPr>
        <w:spacing w:line="370" w:lineRule="auto"/>
        <w:rPr>
          <w:rFonts w:ascii="Arial"/>
          <w:sz w:val="21"/>
        </w:rPr>
      </w:pPr>
      <w:r/>
    </w:p>
    <w:p>
      <w:pPr>
        <w:ind w:right="1"/>
        <w:spacing w:before="66" w:line="168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  <w:position w:val="-3"/>
        </w:rPr>
        <w:t>103</w:t>
      </w:r>
    </w:p>
    <w:p>
      <w:pPr>
        <w:spacing w:line="168" w:lineRule="exact"/>
        <w:sectPr>
          <w:type w:val="continuous"/>
          <w:pgSz w:w="11906" w:h="16838"/>
          <w:pgMar w:top="1429" w:right="1133" w:bottom="471" w:left="1012" w:header="779" w:footer="232" w:gutter="0"/>
          <w:cols w:equalWidth="0" w:num="1">
            <w:col w:w="9760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325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163399</wp:posOffset>
            </wp:positionH>
            <wp:positionV relativeFrom="paragraph">
              <wp:posOffset>250736</wp:posOffset>
            </wp:positionV>
            <wp:extent cx="375999" cy="18143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99" cy="18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6.0629pt;margin-top:18.977pt;mso-position-vertical-relative:text;mso-position-horizontal-relative:text;width:2.85pt;height:28.45pt;z-index:251689984;" fillcolor="#909FA0" filled="true" stroked="false" coordsize="56,569" coordorigin="0,0" path="m0,318l0,0l56,0l56,318em0,568l0,318l56,318l56,568e"/>
        </w:pict>
      </w:r>
      <w:r/>
    </w:p>
    <w:p>
      <w:pPr>
        <w:pStyle w:val="BodyText"/>
        <w:ind w:left="876"/>
        <w:spacing w:before="73" w:line="175" w:lineRule="exact"/>
        <w:rPr>
          <w:sz w:val="17"/>
          <w:szCs w:val="17"/>
        </w:rPr>
      </w:pPr>
      <w:r>
        <w:rPr>
          <w:sz w:val="17"/>
          <w:szCs w:val="17"/>
          <w:color w:val="306566"/>
          <w:spacing w:val="11"/>
          <w:position w:val="-1"/>
        </w:rPr>
        <w:t>理论与实践</w:t>
      </w:r>
    </w:p>
    <w:p>
      <w:pPr>
        <w:ind w:left="884"/>
        <w:spacing w:before="30" w:line="18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6566"/>
          <w:spacing w:val="1"/>
        </w:rPr>
        <w:t>THINK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TANK:</w:t>
      </w:r>
      <w:r>
        <w:rPr>
          <w:rFonts w:ascii="Arial" w:hAnsi="Arial" w:eastAsia="Arial" w:cs="Arial"/>
          <w:sz w:val="5"/>
          <w:szCs w:val="5"/>
          <w:color w:val="306566"/>
          <w:spacing w:val="7"/>
          <w:w w:val="102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THEORY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&amp;</w:t>
      </w:r>
      <w:r>
        <w:rPr>
          <w:rFonts w:ascii="Arial" w:hAnsi="Arial" w:eastAsia="Arial" w:cs="Arial"/>
          <w:sz w:val="5"/>
          <w:szCs w:val="5"/>
          <w:color w:val="306566"/>
          <w:spacing w:val="6"/>
          <w:w w:val="101"/>
        </w:rPr>
        <w:t xml:space="preserve"> </w:t>
      </w:r>
      <w:r>
        <w:rPr>
          <w:rFonts w:ascii="Arial" w:hAnsi="Arial" w:eastAsia="Arial" w:cs="Arial"/>
          <w:sz w:val="5"/>
          <w:szCs w:val="5"/>
          <w:color w:val="306566"/>
          <w:spacing w:val="1"/>
        </w:rPr>
        <w:t>PRACTICE</w:t>
      </w:r>
    </w:p>
    <w:p>
      <w:pPr>
        <w:ind w:left="265"/>
        <w:spacing w:before="60" w:line="26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40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卷</w:t>
      </w:r>
      <w:r>
        <w:rPr>
          <w:rFonts w:ascii="SimHei" w:hAnsi="SimHei" w:eastAsia="SimHei" w:cs="SimHei"/>
          <w:sz w:val="20"/>
          <w:szCs w:val="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第</w:t>
      </w:r>
      <w:r>
        <w:rPr>
          <w:rFonts w:ascii="SimHei" w:hAnsi="SimHei" w:eastAsia="SimHei" w:cs="SimHei"/>
          <w:sz w:val="20"/>
          <w:szCs w:val="20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-8"/>
          <w:position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306566"/>
          <w:spacing w:val="2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期</w:t>
      </w:r>
      <w:r>
        <w:rPr>
          <w:rFonts w:ascii="SimHei" w:hAnsi="SimHei" w:eastAsia="SimHei" w:cs="SimHei"/>
          <w:sz w:val="20"/>
          <w:szCs w:val="20"/>
          <w:spacing w:val="1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年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position w:val="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月</w:t>
      </w:r>
    </w:p>
    <w:p>
      <w:pPr>
        <w:spacing w:line="45" w:lineRule="exact"/>
        <w:rPr/>
      </w:pPr>
      <w:r/>
    </w:p>
    <w:tbl>
      <w:tblPr>
        <w:tblStyle w:val="TableNormal"/>
        <w:tblW w:w="9638" w:type="dxa"/>
        <w:tblInd w:w="1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3"/>
        <w:gridCol w:w="4436"/>
        <w:gridCol w:w="4819"/>
      </w:tblGrid>
      <w:tr>
        <w:trPr>
          <w:trHeight w:val="1043" w:hRule="atLeast"/>
        </w:trPr>
        <w:tc>
          <w:tcPr>
            <w:tcW w:w="383" w:type="dxa"/>
            <w:vAlign w:val="top"/>
            <w:tcBorders>
              <w:top w:val="single" w:color="000000" w:sz="4" w:space="0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9" w:line="236" w:lineRule="exact"/>
              <w:rPr/>
            </w:pPr>
            <w:r>
              <w:rPr>
                <w:position w:val="3"/>
              </w:rPr>
              <w:t>[25]</w:t>
            </w:r>
          </w:p>
        </w:tc>
        <w:tc>
          <w:tcPr>
            <w:tcW w:w="44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9" w:right="225"/>
              <w:spacing w:before="204" w:line="287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传播</w:t>
            </w:r>
            <w:r>
              <w:rPr>
                <w:spacing w:val="5"/>
              </w:rPr>
              <w:t>: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发展现状与实践策略</w:t>
            </w:r>
            <w:r>
              <w:rPr>
                <w:spacing w:val="5"/>
              </w:rPr>
              <w:t>[J].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传媒</w:t>
            </w:r>
            <w:r>
              <w:rPr>
                <w:spacing w:val="5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2024(6):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5"/>
              </w:rPr>
              <w:t>62-65.</w:t>
            </w:r>
            <w:r>
              <w:rPr/>
              <w:t xml:space="preserve"> </w:t>
            </w:r>
            <w:r>
              <w:rPr>
                <w:spacing w:val="4"/>
              </w:rPr>
              <w:t>KELSTRUP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J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D.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Quantitative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4"/>
              </w:rPr>
              <w:t>differences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t</w:t>
            </w:r>
            <w:r>
              <w:rPr>
                <w:spacing w:val="3"/>
              </w:rPr>
              <w:t>hink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tank</w:t>
            </w:r>
            <w:r>
              <w:rPr/>
              <w:t xml:space="preserve"> </w:t>
            </w:r>
            <w:r>
              <w:rPr>
                <w:spacing w:val="4"/>
              </w:rPr>
              <w:t>dissemination</w:t>
            </w:r>
            <w:r>
              <w:rPr/>
              <w:t xml:space="preserve">  </w:t>
            </w:r>
            <w:r>
              <w:rPr>
                <w:spacing w:val="4"/>
              </w:rPr>
              <w:t>activit</w:t>
            </w:r>
            <w:r>
              <w:rPr>
                <w:spacing w:val="3"/>
              </w:rPr>
              <w:t>ies</w:t>
            </w:r>
            <w:r>
              <w:rPr>
                <w:spacing w:val="4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 </w:t>
            </w:r>
            <w:r>
              <w:rPr>
                <w:spacing w:val="3"/>
              </w:rPr>
              <w:t>Germany,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Denmark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the</w:t>
            </w:r>
          </w:p>
        </w:tc>
        <w:tc>
          <w:tcPr>
            <w:tcW w:w="48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14"/>
              <w:spacing w:before="204" w:line="229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与启示</w:t>
            </w:r>
            <w:r>
              <w:rPr>
                <w:spacing w:val="5"/>
              </w:rPr>
              <w:t>[N].</w:t>
            </w:r>
            <w:r>
              <w:rPr>
                <w:spacing w:val="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光明日报</w:t>
            </w:r>
            <w:r>
              <w:rPr>
                <w:spacing w:val="5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5"/>
              </w:rPr>
              <w:t>2016-08-10(016).</w:t>
            </w:r>
          </w:p>
          <w:p>
            <w:pPr>
              <w:pStyle w:val="TableText"/>
              <w:ind w:left="709" w:hanging="468"/>
              <w:spacing w:before="7" w:line="223" w:lineRule="auto"/>
              <w:rPr/>
            </w:pPr>
            <w:r>
              <w:rPr>
                <w:spacing w:val="7"/>
              </w:rPr>
              <w:t>[32]  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李刚</w:t>
            </w:r>
            <w:r>
              <w:rPr>
                <w:spacing w:val="7"/>
              </w:rPr>
              <w:t>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甘琳</w:t>
            </w:r>
            <w:r>
              <w:rPr>
                <w:spacing w:val="7"/>
              </w:rPr>
              <w:t>,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徐路</w:t>
            </w:r>
            <w:r>
              <w:rPr>
                <w:spacing w:val="7"/>
              </w:rPr>
              <w:t>.</w:t>
            </w:r>
            <w:r>
              <w:rPr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智库知识体</w:t>
            </w:r>
            <w:r>
              <w:rPr>
                <w:rFonts w:ascii="Microsoft YaHei" w:hAnsi="Microsoft YaHei" w:eastAsia="Microsoft YaHei" w:cs="Microsoft YaHei"/>
                <w:spacing w:val="6"/>
              </w:rPr>
              <w:t>系制度化建构的进程与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路径</w:t>
            </w:r>
            <w:r>
              <w:rPr>
                <w:spacing w:val="3"/>
              </w:rPr>
              <w:t>[J].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图书与情报</w:t>
            </w:r>
            <w:r>
              <w:rPr>
                <w:spacing w:val="3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2019(3):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1-10,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72.</w:t>
            </w:r>
          </w:p>
        </w:tc>
      </w:tr>
      <w:tr>
        <w:trPr>
          <w:trHeight w:val="570" w:hRule="atLeast"/>
        </w:trPr>
        <w:tc>
          <w:tcPr>
            <w:tcW w:w="38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9" w:line="236" w:lineRule="exact"/>
              <w:rPr/>
            </w:pPr>
            <w:r>
              <w:rPr>
                <w:position w:val="3"/>
              </w:rPr>
              <w:t>[26]</w:t>
            </w:r>
          </w:p>
        </w:tc>
        <w:tc>
          <w:tcPr>
            <w:tcW w:w="4436" w:type="dxa"/>
            <w:vAlign w:val="top"/>
          </w:tcPr>
          <w:p>
            <w:pPr>
              <w:pStyle w:val="TableText"/>
              <w:ind w:left="97"/>
              <w:spacing w:before="16" w:line="237" w:lineRule="exact"/>
              <w:rPr/>
            </w:pPr>
            <w:r>
              <w:rPr>
                <w:position w:val="3"/>
              </w:rPr>
              <w:t>UK</w:t>
            </w:r>
            <w:r>
              <w:rPr>
                <w:spacing w:val="5"/>
                <w:position w:val="3"/>
              </w:rPr>
              <w:t>[J].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Policy</w:t>
            </w:r>
            <w:r>
              <w:rPr>
                <w:spacing w:val="29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Sciences</w:t>
            </w:r>
            <w:r>
              <w:rPr>
                <w:spacing w:val="5"/>
                <w:position w:val="3"/>
              </w:rPr>
              <w:t>,</w:t>
            </w:r>
            <w:r>
              <w:rPr>
                <w:spacing w:val="20"/>
                <w:w w:val="101"/>
                <w:position w:val="3"/>
              </w:rPr>
              <w:t xml:space="preserve"> </w:t>
            </w:r>
            <w:r>
              <w:rPr>
                <w:spacing w:val="5"/>
                <w:position w:val="3"/>
              </w:rPr>
              <w:t>2017,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5"/>
                <w:position w:val="3"/>
              </w:rPr>
              <w:t>50(1):</w:t>
            </w:r>
            <w:r>
              <w:rPr>
                <w:spacing w:val="39"/>
                <w:position w:val="3"/>
              </w:rPr>
              <w:t xml:space="preserve"> </w:t>
            </w:r>
            <w:r>
              <w:rPr>
                <w:spacing w:val="5"/>
                <w:position w:val="3"/>
              </w:rPr>
              <w:t>125-137.</w:t>
            </w:r>
          </w:p>
          <w:p>
            <w:pPr>
              <w:pStyle w:val="TableText"/>
              <w:ind w:left="100"/>
              <w:spacing w:before="74" w:line="191" w:lineRule="auto"/>
              <w:rPr/>
            </w:pPr>
            <w:r>
              <w:rPr>
                <w:rFonts w:ascii="Microsoft YaHei" w:hAnsi="Microsoft YaHei" w:eastAsia="Microsoft YaHei" w:cs="Microsoft YaHei"/>
                <w:spacing w:val="6"/>
              </w:rPr>
              <w:t>让</w:t>
            </w:r>
            <w:r>
              <w:rPr>
                <w:spacing w:val="6"/>
              </w:rPr>
              <w:t>-</w:t>
            </w:r>
            <w:r>
              <w:rPr>
                <w:rFonts w:ascii="Microsoft YaHei" w:hAnsi="Microsoft YaHei" w:eastAsia="Microsoft YaHei" w:cs="Microsoft YaHei"/>
                <w:spacing w:val="6"/>
              </w:rPr>
              <w:t>诺埃尔 </w:t>
            </w:r>
            <w:r>
              <w:rPr>
                <w:rFonts w:ascii="SimSun" w:hAnsi="SimSun" w:eastAsia="SimSun" w:cs="SimSun"/>
                <w:spacing w:val="6"/>
              </w:rPr>
              <w:t>•</w:t>
            </w:r>
            <w:r>
              <w:rPr>
                <w:rFonts w:ascii="SimSun" w:hAnsi="SimSun" w:eastAsia="SimSun" w:cs="SimSun"/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卡普费雷尔</w:t>
            </w:r>
            <w:r>
              <w:rPr>
                <w:spacing w:val="6"/>
              </w:rPr>
              <w:t>.  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战略品牌管理</w:t>
            </w:r>
            <w:r>
              <w:rPr>
                <w:spacing w:val="6"/>
              </w:rPr>
              <w:t>[M</w:t>
            </w:r>
            <w:r>
              <w:rPr>
                <w:spacing w:val="5"/>
              </w:rPr>
              <w:t>].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何佳讯</w:t>
            </w:r>
            <w:r>
              <w:rPr>
                <w:spacing w:val="5"/>
              </w:rPr>
              <w:t>,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707" w:hanging="466"/>
              <w:spacing w:before="17" w:line="223" w:lineRule="auto"/>
              <w:rPr/>
            </w:pPr>
            <w:r>
              <w:rPr>
                <w:spacing w:val="6"/>
              </w:rPr>
              <w:t>[33]   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何绍辉</w:t>
            </w:r>
            <w:r>
              <w:rPr>
                <w:spacing w:val="6"/>
              </w:rPr>
              <w:t>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智库学</w:t>
            </w:r>
            <w:r>
              <w:rPr>
                <w:spacing w:val="6"/>
              </w:rPr>
              <w:t>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学科基础</w:t>
            </w:r>
            <w:r>
              <w:rPr>
                <w:rFonts w:ascii="SimSun" w:hAnsi="SimSun" w:eastAsia="SimSun" w:cs="SimSun"/>
                <w:spacing w:val="6"/>
              </w:rPr>
              <w:t>•</w:t>
            </w:r>
            <w:r>
              <w:rPr>
                <w:rFonts w:ascii="Microsoft YaHei" w:hAnsi="Microsoft YaHei" w:eastAsia="Microsoft YaHei" w:cs="Microsoft YaHei"/>
                <w:spacing w:val="6"/>
              </w:rPr>
              <w:t>现实困境</w:t>
            </w:r>
            <w:r>
              <w:rPr>
                <w:rFonts w:ascii="SimSun" w:hAnsi="SimSun" w:eastAsia="SimSun" w:cs="SimSun"/>
                <w:spacing w:val="6"/>
              </w:rPr>
              <w:t>•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可能路径</w:t>
            </w:r>
            <w:r>
              <w:rPr>
                <w:spacing w:val="6"/>
              </w:rPr>
              <w:t>[J].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6"/>
              </w:rPr>
              <w:t>社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会科学文摘</w:t>
            </w:r>
            <w:r>
              <w:rPr>
                <w:spacing w:val="3"/>
              </w:rPr>
              <w:t>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2018(8):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114-116.</w:t>
            </w:r>
          </w:p>
        </w:tc>
      </w:tr>
      <w:tr>
        <w:trPr>
          <w:trHeight w:val="855" w:hRule="atLeast"/>
        </w:trPr>
        <w:tc>
          <w:tcPr>
            <w:tcW w:w="38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9" w:line="236" w:lineRule="exact"/>
              <w:rPr/>
            </w:pPr>
            <w:r>
              <w:rPr>
                <w:position w:val="3"/>
              </w:rPr>
              <w:t>[27]</w:t>
            </w:r>
          </w:p>
        </w:tc>
        <w:tc>
          <w:tcPr>
            <w:tcW w:w="4436" w:type="dxa"/>
            <w:vAlign w:val="top"/>
          </w:tcPr>
          <w:p>
            <w:pPr>
              <w:pStyle w:val="TableText"/>
              <w:ind w:left="98"/>
              <w:spacing w:before="16" w:line="236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译</w:t>
            </w:r>
            <w:r>
              <w:rPr>
                <w:spacing w:val="5"/>
              </w:rPr>
              <w:t>.</w:t>
            </w:r>
            <w:r>
              <w:rPr>
                <w:spacing w:val="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北京</w:t>
            </w:r>
            <w:r>
              <w:rPr>
                <w:spacing w:val="5"/>
              </w:rPr>
              <w:t>:</w:t>
            </w:r>
            <w:r>
              <w:rPr>
                <w:spacing w:val="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中国人民大学出版社</w:t>
            </w:r>
            <w:r>
              <w:rPr>
                <w:spacing w:val="5"/>
              </w:rPr>
              <w:t>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5"/>
              </w:rPr>
              <w:t>2020:</w:t>
            </w:r>
            <w:r>
              <w:rPr>
                <w:spacing w:val="21"/>
              </w:rPr>
              <w:t xml:space="preserve"> </w:t>
            </w:r>
            <w:r>
              <w:rPr>
                <w:spacing w:val="5"/>
              </w:rPr>
              <w:t>40-41.</w:t>
            </w:r>
          </w:p>
          <w:p>
            <w:pPr>
              <w:pStyle w:val="TableText"/>
              <w:ind w:left="104" w:right="227"/>
              <w:spacing w:before="26" w:line="212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罗瑟</w:t>
            </w:r>
            <w:r>
              <w:rPr>
                <w:rFonts w:ascii="SimSun" w:hAnsi="SimSun" w:eastAsia="SimSun" w:cs="SimSun"/>
                <w:spacing w:val="-1"/>
              </w:rPr>
              <w:t>•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瑞夫斯</w:t>
            </w:r>
            <w:r>
              <w:rPr>
                <w:spacing w:val="-1"/>
              </w:rPr>
              <w:t>.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实效的广告</w:t>
            </w:r>
            <w:r>
              <w:rPr>
                <w:spacing w:val="-1"/>
              </w:rPr>
              <w:t>: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达彼思广告公司经营哲学</w:t>
            </w:r>
            <w:r>
              <w:rPr>
                <w:spacing w:val="-1"/>
              </w:rPr>
              <w:t>[</w:t>
            </w:r>
            <w:r>
              <w:rPr>
                <w:spacing w:val="-2"/>
              </w:rPr>
              <w:t>M].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张冰梅</w:t>
            </w:r>
            <w:r>
              <w:rPr>
                <w:spacing w:val="-5"/>
              </w:rPr>
              <w:t>,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译</w:t>
            </w:r>
            <w:r>
              <w:rPr>
                <w:spacing w:val="-5"/>
              </w:rPr>
              <w:t>.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呼和浩特</w:t>
            </w:r>
            <w:r>
              <w:rPr>
                <w:spacing w:val="-5"/>
              </w:rPr>
              <w:t>: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内蒙古人民出版社</w:t>
            </w:r>
            <w:r>
              <w:rPr>
                <w:spacing w:val="-5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1999: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79-81.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710" w:hanging="469"/>
              <w:spacing w:before="17" w:line="227" w:lineRule="auto"/>
              <w:rPr/>
            </w:pPr>
            <w:r>
              <w:rPr>
                <w:spacing w:val="7"/>
              </w:rPr>
              <w:t>[34]  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文少保</w:t>
            </w:r>
            <w:r>
              <w:rPr>
                <w:spacing w:val="7"/>
              </w:rPr>
              <w:t>,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李长春</w:t>
            </w:r>
            <w:r>
              <w:rPr>
                <w:spacing w:val="7"/>
              </w:rPr>
              <w:t>.</w:t>
            </w:r>
            <w:r>
              <w:rPr>
                <w:spacing w:val="19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世界一流大学智库跨学科研究合作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的关键要素与运行策略</w:t>
            </w:r>
            <w:r>
              <w:rPr>
                <w:spacing w:val="12"/>
              </w:rPr>
              <w:t>:</w:t>
            </w:r>
            <w:r>
              <w:rPr/>
              <w:t xml:space="preserve">  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基于美国</w:t>
            </w:r>
            <w:r>
              <w:rPr>
                <w:spacing w:val="12"/>
              </w:rPr>
              <w:t>5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所世界一流大学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智库的分析</w:t>
            </w:r>
            <w:r>
              <w:rPr>
                <w:spacing w:val="5"/>
              </w:rPr>
              <w:t>[J].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现代教育管理</w:t>
            </w:r>
            <w:r>
              <w:rPr>
                <w:spacing w:val="5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2023(12):</w:t>
            </w:r>
            <w:r>
              <w:rPr>
                <w:spacing w:val="38"/>
              </w:rPr>
              <w:t xml:space="preserve"> </w:t>
            </w:r>
            <w:r>
              <w:rPr>
                <w:spacing w:val="5"/>
              </w:rPr>
              <w:t>10-2</w:t>
            </w:r>
            <w:r>
              <w:rPr>
                <w:spacing w:val="4"/>
              </w:rPr>
              <w:t>0.</w:t>
            </w:r>
          </w:p>
        </w:tc>
      </w:tr>
      <w:tr>
        <w:trPr>
          <w:trHeight w:val="584" w:hRule="atLeast"/>
        </w:trPr>
        <w:tc>
          <w:tcPr>
            <w:tcW w:w="383" w:type="dxa"/>
            <w:vAlign w:val="top"/>
          </w:tcPr>
          <w:p>
            <w:pPr>
              <w:pStyle w:val="TableText"/>
              <w:ind w:left="14"/>
              <w:spacing w:before="17" w:line="236" w:lineRule="exact"/>
              <w:rPr/>
            </w:pPr>
            <w:r>
              <w:rPr>
                <w:position w:val="3"/>
              </w:rPr>
              <w:t>[28]</w:t>
            </w:r>
          </w:p>
        </w:tc>
        <w:tc>
          <w:tcPr>
            <w:tcW w:w="4436" w:type="dxa"/>
            <w:vAlign w:val="top"/>
          </w:tcPr>
          <w:p>
            <w:pPr>
              <w:pStyle w:val="TableText"/>
              <w:ind w:left="100" w:right="226" w:hanging="1"/>
              <w:spacing w:before="44" w:line="218" w:lineRule="auto"/>
              <w:rPr/>
            </w:pPr>
            <w:r>
              <w:rPr>
                <w:rFonts w:ascii="Microsoft YaHei" w:hAnsi="Microsoft YaHei" w:eastAsia="Microsoft YaHei" w:cs="Microsoft YaHei"/>
                <w:spacing w:val="8"/>
              </w:rPr>
              <w:t>刘清</w:t>
            </w:r>
            <w:r>
              <w:rPr>
                <w:spacing w:val="8"/>
              </w:rPr>
              <w:t>.</w:t>
            </w:r>
            <w:r>
              <w:rPr>
                <w:spacing w:val="19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关于智库品牌建设的若干思考和认识</w:t>
            </w:r>
            <w:r>
              <w:rPr>
                <w:spacing w:val="8"/>
              </w:rPr>
              <w:t>[J].</w:t>
            </w:r>
            <w:r>
              <w:rPr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智库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理论与实践</w:t>
            </w:r>
            <w:r>
              <w:rPr>
                <w:spacing w:val="4"/>
              </w:rPr>
              <w:t>,</w:t>
            </w:r>
            <w:r>
              <w:rPr>
                <w:spacing w:val="36"/>
              </w:rPr>
              <w:t xml:space="preserve"> </w:t>
            </w:r>
            <w:r>
              <w:rPr>
                <w:spacing w:val="4"/>
              </w:rPr>
              <w:t>2019,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4(1):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25-29.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241"/>
              <w:spacing w:before="18" w:line="325" w:lineRule="auto"/>
              <w:jc w:val="right"/>
              <w:rPr/>
            </w:pPr>
            <w:r>
              <w:rPr>
                <w:spacing w:val="3"/>
              </w:rPr>
              <w:t>[35]    Baker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3"/>
              </w:rPr>
              <w:t>Institute</w:t>
            </w:r>
            <w:r>
              <w:rPr>
                <w:spacing w:val="20"/>
              </w:rPr>
              <w:t xml:space="preserve">  </w:t>
            </w:r>
            <w:r>
              <w:rPr>
                <w:spacing w:val="3"/>
              </w:rPr>
              <w:t>for</w:t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Public</w:t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Policy.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3"/>
              </w:rPr>
              <w:t>About</w:t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the</w:t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Baker</w:t>
            </w:r>
            <w:r>
              <w:rPr/>
              <w:t xml:space="preserve"> </w:t>
            </w:r>
            <w:r>
              <w:rPr>
                <w:spacing w:val="13"/>
                <w:w w:val="107"/>
              </w:rPr>
              <w:t>Institute[EB/OL].   [2024-12</w:t>
            </w:r>
            <w:r>
              <w:rPr>
                <w:spacing w:val="12"/>
                <w:w w:val="107"/>
              </w:rPr>
              <w:t>-25].</w:t>
            </w:r>
            <w:r>
              <w:rPr>
                <w:spacing w:val="8"/>
              </w:rPr>
              <w:t xml:space="preserve">   </w:t>
            </w:r>
            <w:hyperlink w:history="true" r:id="rId22">
              <w:r>
                <w:rPr>
                  <w:spacing w:val="12"/>
                  <w:w w:val="107"/>
                </w:rPr>
                <w:t>https://www</w:t>
              </w:r>
            </w:hyperlink>
            <w:r>
              <w:rPr>
                <w:spacing w:val="12"/>
                <w:w w:val="107"/>
              </w:rPr>
              <w:t>.</w:t>
            </w:r>
          </w:p>
        </w:tc>
      </w:tr>
      <w:tr>
        <w:trPr>
          <w:trHeight w:val="557" w:hRule="atLeast"/>
        </w:trPr>
        <w:tc>
          <w:tcPr>
            <w:tcW w:w="383" w:type="dxa"/>
            <w:vAlign w:val="top"/>
          </w:tcPr>
          <w:p>
            <w:pPr>
              <w:pStyle w:val="TableText"/>
              <w:ind w:left="14"/>
              <w:spacing w:before="2" w:line="236" w:lineRule="exact"/>
              <w:rPr/>
            </w:pPr>
            <w:r>
              <w:rPr>
                <w:position w:val="3"/>
              </w:rPr>
              <w:t>[29]</w:t>
            </w:r>
          </w:p>
        </w:tc>
        <w:tc>
          <w:tcPr>
            <w:tcW w:w="4436" w:type="dxa"/>
            <w:vAlign w:val="top"/>
          </w:tcPr>
          <w:p>
            <w:pPr>
              <w:pStyle w:val="TableText"/>
              <w:ind w:left="111" w:right="226" w:hanging="8"/>
              <w:spacing w:before="1" w:line="327" w:lineRule="auto"/>
              <w:rPr/>
            </w:pPr>
            <w:r>
              <w:rPr>
                <w:spacing w:val="4"/>
              </w:rPr>
              <w:t>Center for International Development annual report</w:t>
            </w:r>
            <w:r>
              <w:rPr>
                <w:spacing w:val="3"/>
              </w:rPr>
              <w:t xml:space="preserve"> 2021</w:t>
            </w:r>
            <w:r>
              <w:rPr/>
              <w:t xml:space="preserve"> </w:t>
            </w:r>
            <w:r>
              <w:rPr>
                <w:spacing w:val="7"/>
              </w:rPr>
              <w:t>[R].</w:t>
            </w:r>
            <w:r>
              <w:rPr>
                <w:spacing w:val="25"/>
                <w:w w:val="102"/>
              </w:rPr>
              <w:t xml:space="preserve"> </w:t>
            </w:r>
            <w:r>
              <w:rPr/>
              <w:t>Cambrige</w:t>
            </w:r>
            <w:r>
              <w:rPr>
                <w:spacing w:val="7"/>
              </w:rPr>
              <w:t>: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Harvard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University</w:t>
            </w:r>
            <w:r>
              <w:rPr>
                <w:spacing w:val="7"/>
              </w:rPr>
              <w:t>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2022: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7"/>
              </w:rPr>
              <w:t>16-17.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706"/>
              <w:spacing w:before="2" w:line="236" w:lineRule="exact"/>
              <w:rPr/>
            </w:pPr>
            <w:r>
              <w:rPr>
                <w:spacing w:val="4"/>
                <w:position w:val="3"/>
              </w:rPr>
              <w:t>bakerinstitute.org/about-baker-institute-0.</w:t>
            </w:r>
          </w:p>
        </w:tc>
      </w:tr>
      <w:tr>
        <w:trPr>
          <w:trHeight w:val="570" w:hRule="atLeast"/>
        </w:trPr>
        <w:tc>
          <w:tcPr>
            <w:tcW w:w="383" w:type="dxa"/>
            <w:vAlign w:val="top"/>
          </w:tcPr>
          <w:p>
            <w:pPr>
              <w:pStyle w:val="TableText"/>
              <w:ind w:left="14"/>
              <w:spacing w:before="15" w:line="237" w:lineRule="exact"/>
              <w:rPr/>
            </w:pPr>
            <w:r>
              <w:rPr>
                <w:position w:val="3"/>
              </w:rPr>
              <w:t>[30]</w:t>
            </w:r>
          </w:p>
        </w:tc>
        <w:tc>
          <w:tcPr>
            <w:tcW w:w="4436" w:type="dxa"/>
            <w:vAlign w:val="top"/>
          </w:tcPr>
          <w:p>
            <w:pPr>
              <w:pStyle w:val="TableText"/>
              <w:ind w:left="100" w:right="226" w:hanging="1"/>
              <w:spacing w:before="44" w:line="212" w:lineRule="auto"/>
              <w:rPr/>
            </w:pPr>
            <w:r>
              <w:rPr>
                <w:rFonts w:ascii="Microsoft YaHei" w:hAnsi="Microsoft YaHei" w:eastAsia="Microsoft YaHei" w:cs="Microsoft YaHei"/>
                <w:spacing w:val="8"/>
              </w:rPr>
              <w:t>李中梅</w:t>
            </w:r>
            <w:r>
              <w:rPr>
                <w:spacing w:val="8"/>
              </w:rPr>
              <w:t>,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张向先</w:t>
            </w:r>
            <w:r>
              <w:rPr>
                <w:spacing w:val="8"/>
              </w:rPr>
              <w:t>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刘金承</w:t>
            </w:r>
            <w:r>
              <w:rPr>
                <w:spacing w:val="8"/>
              </w:rPr>
              <w:t>.</w:t>
            </w:r>
            <w:r>
              <w:rPr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新媒体环境下智库信息传播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机理研究</w:t>
            </w:r>
            <w:r>
              <w:rPr>
                <w:spacing w:val="4"/>
              </w:rPr>
              <w:t>[J].</w:t>
            </w:r>
            <w:r>
              <w:rPr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智库理论与实践</w:t>
            </w:r>
            <w:r>
              <w:rPr>
                <w:spacing w:val="4"/>
              </w:rPr>
              <w:t>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2020,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5(2):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11-20,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28.</w:t>
            </w:r>
          </w:p>
        </w:tc>
        <w:tc>
          <w:tcPr>
            <w:tcW w:w="4819" w:type="dxa"/>
            <w:vAlign w:val="top"/>
          </w:tcPr>
          <w:p>
            <w:pPr>
              <w:ind w:left="232"/>
              <w:spacing w:before="42" w:line="23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3"/>
              </w:rPr>
              <w:t>作者贡献说明：</w:t>
            </w:r>
          </w:p>
          <w:p>
            <w:pPr>
              <w:ind w:left="227"/>
              <w:spacing w:before="70" w:line="19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徐   清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：提出论文思路，收集资料，撰写论文，修改文稿；</w:t>
            </w:r>
          </w:p>
        </w:tc>
      </w:tr>
      <w:tr>
        <w:trPr>
          <w:trHeight w:val="450" w:hRule="atLeast"/>
        </w:trPr>
        <w:tc>
          <w:tcPr>
            <w:tcW w:w="383" w:type="dxa"/>
            <w:vAlign w:val="top"/>
            <w:tcBorders>
              <w:bottom w:val="single" w:color="306566" w:sz="2" w:space="0"/>
            </w:tcBorders>
          </w:tcPr>
          <w:p>
            <w:pPr>
              <w:pStyle w:val="TableText"/>
              <w:ind w:left="14"/>
              <w:spacing w:before="14" w:line="237" w:lineRule="exact"/>
              <w:rPr/>
            </w:pPr>
            <w:r>
              <w:rPr>
                <w:position w:val="3"/>
              </w:rPr>
              <w:t>[31]</w:t>
            </w:r>
          </w:p>
        </w:tc>
        <w:tc>
          <w:tcPr>
            <w:tcW w:w="4436" w:type="dxa"/>
            <w:vAlign w:val="top"/>
            <w:tcBorders>
              <w:bottom w:val="single" w:color="306566" w:sz="2" w:space="0"/>
            </w:tcBorders>
          </w:tcPr>
          <w:p>
            <w:pPr>
              <w:pStyle w:val="TableText"/>
              <w:ind w:left="105"/>
              <w:spacing w:before="43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7"/>
              </w:rPr>
              <w:t>张大卫</w:t>
            </w:r>
            <w:r>
              <w:rPr>
                <w:spacing w:val="7"/>
              </w:rPr>
              <w:t>,</w:t>
            </w:r>
            <w:r>
              <w:rPr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陈文玲</w:t>
            </w:r>
            <w:r>
              <w:rPr>
                <w:spacing w:val="7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王军</w:t>
            </w:r>
            <w:r>
              <w:rPr>
                <w:spacing w:val="7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等</w:t>
            </w:r>
            <w:r>
              <w:rPr>
                <w:spacing w:val="7"/>
              </w:rPr>
              <w:t>.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美国全球知名智库发展现状</w:t>
            </w:r>
          </w:p>
        </w:tc>
        <w:tc>
          <w:tcPr>
            <w:tcW w:w="4819" w:type="dxa"/>
            <w:vAlign w:val="top"/>
            <w:tcBorders>
              <w:bottom w:val="single" w:color="306566" w:sz="2" w:space="0"/>
            </w:tcBorders>
          </w:tcPr>
          <w:p>
            <w:pPr>
              <w:ind w:left="242"/>
              <w:spacing w:before="40" w:line="20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丁炫凯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：修改论文思路，指导论文修改完善。</w:t>
            </w:r>
          </w:p>
        </w:tc>
      </w:tr>
      <w:tr>
        <w:trPr>
          <w:trHeight w:val="49" w:hRule="atLeast"/>
        </w:trPr>
        <w:tc>
          <w:tcPr>
            <w:shd w:val="clear" w:fill="FFFFFF"/>
            <w:tcW w:w="383" w:type="dxa"/>
            <w:vAlign w:val="top"/>
            <w:tcBorders>
              <w:bottom w:val="single" w:color="306566" w:sz="2" w:space="0"/>
              <w:top w:val="single" w:color="306566" w:sz="2" w:space="0"/>
            </w:tcBorders>
          </w:tcPr>
          <w:p>
            <w:pPr>
              <w:spacing w:line="39" w:lineRule="exact"/>
              <w:rPr>
                <w:rFonts w:ascii="Arial"/>
                <w:sz w:val="3"/>
              </w:rPr>
            </w:pPr>
            <w:r/>
          </w:p>
        </w:tc>
        <w:tc>
          <w:tcPr>
            <w:shd w:val="clear" w:fill="FFFFFF"/>
            <w:tcW w:w="4436" w:type="dxa"/>
            <w:vAlign w:val="top"/>
            <w:tcBorders>
              <w:bottom w:val="single" w:color="306566" w:sz="2" w:space="0"/>
              <w:top w:val="single" w:color="306566" w:sz="2" w:space="0"/>
            </w:tcBorders>
          </w:tcPr>
          <w:p>
            <w:pPr>
              <w:spacing w:line="39" w:lineRule="exact"/>
              <w:rPr>
                <w:rFonts w:ascii="Arial"/>
                <w:sz w:val="3"/>
              </w:rPr>
            </w:pPr>
            <w:r/>
          </w:p>
        </w:tc>
        <w:tc>
          <w:tcPr>
            <w:shd w:val="clear" w:fill="FFFFFF"/>
            <w:tcW w:w="4819" w:type="dxa"/>
            <w:vAlign w:val="top"/>
            <w:tcBorders>
              <w:bottom w:val="single" w:color="306566" w:sz="2" w:space="0"/>
              <w:top w:val="single" w:color="306566" w:sz="2" w:space="0"/>
            </w:tcBorders>
          </w:tcPr>
          <w:p>
            <w:pPr>
              <w:spacing w:line="39" w:lineRule="exact"/>
              <w:rPr>
                <w:rFonts w:ascii="Arial"/>
                <w:sz w:val="3"/>
              </w:rPr>
            </w:pPr>
            <w:r/>
          </w:p>
        </w:tc>
      </w:tr>
    </w:tbl>
    <w:p>
      <w:pPr>
        <w:ind w:left="1213"/>
        <w:spacing w:before="283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Current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Dilemma,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Practical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Path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Experiences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</w:rPr>
        <w:t>of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Competitiveness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Building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1"/>
        </w:rPr>
        <w:t>of</w:t>
      </w:r>
    </w:p>
    <w:p>
      <w:pPr>
        <w:ind w:left="3162"/>
        <w:spacing w:before="125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University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Think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Tanks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New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-2"/>
        </w:rPr>
        <w:t>Era</w:t>
      </w:r>
    </w:p>
    <w:p>
      <w:pPr>
        <w:ind w:left="3844"/>
        <w:spacing w:before="32" w:line="295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Xu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Qing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11"/>
        </w:rPr>
        <w:t>1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Ding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Xuankai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11"/>
        </w:rPr>
        <w:t>2</w:t>
      </w:r>
    </w:p>
    <w:p>
      <w:pPr>
        <w:ind w:left="2763"/>
        <w:spacing w:before="52" w:line="30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11"/>
        </w:rPr>
        <w:t>1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Yancheng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Teachers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University,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Yancheng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224007</w:t>
      </w:r>
    </w:p>
    <w:p>
      <w:pPr>
        <w:ind w:left="1436"/>
        <w:spacing w:before="33" w:line="298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11"/>
        </w:rPr>
        <w:t>2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Institute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 Higher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Education,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Yancheng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Teachers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University,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Yancheng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224007</w:t>
      </w:r>
    </w:p>
    <w:p>
      <w:pPr>
        <w:pStyle w:val="BodyText"/>
        <w:ind w:left="121" w:firstLine="398"/>
        <w:spacing w:before="61" w:line="303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306566"/>
        </w:rPr>
        <w:t>Abstract:   [Purpose/Significance]</w:t>
      </w:r>
      <w:r>
        <w:rPr>
          <w:rFonts w:ascii="Times New Roman" w:hAnsi="Times New Roman" w:eastAsia="Times New Roman" w:cs="Times New Roman"/>
          <w:b/>
          <w:bCs/>
          <w:color w:val="306566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practice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strategy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>of competitiveness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>construction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>of uni</w:t>
      </w:r>
      <w:r>
        <w:rPr>
          <w:rFonts w:ascii="Times New Roman" w:hAnsi="Times New Roman" w:eastAsia="Times New Roman" w:cs="Times New Roman"/>
          <w:spacing w:val="-1"/>
        </w:rPr>
        <w:t>versity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think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tank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can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help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better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promote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construction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development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new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university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think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tanks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Chinese </w:t>
      </w:r>
      <w:r>
        <w:rPr>
          <w:rFonts w:ascii="Times New Roman" w:hAnsi="Times New Roman" w:eastAsia="Times New Roman" w:cs="Times New Roman"/>
        </w:rPr>
        <w:t>characteristics</w:t>
      </w:r>
      <w:r>
        <w:rPr>
          <w:rFonts w:ascii="Times New Roman" w:hAnsi="Times New Roman" w:eastAsia="Times New Roman" w:cs="Times New Roman"/>
          <w:spacing w:val="2"/>
        </w:rPr>
        <w:t>, </w:t>
      </w:r>
      <w:r>
        <w:rPr>
          <w:rFonts w:ascii="Times New Roman" w:hAnsi="Times New Roman" w:eastAsia="Times New Roman" w:cs="Times New Roman"/>
        </w:rPr>
        <w:t>which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is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great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significance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promote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modernization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national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governance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system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>and </w:t>
      </w:r>
      <w:r>
        <w:rPr>
          <w:rFonts w:ascii="Times New Roman" w:hAnsi="Times New Roman" w:eastAsia="Times New Roman" w:cs="Times New Roman"/>
          <w:spacing w:val="-1"/>
        </w:rPr>
        <w:t>governance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capacity,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and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construction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 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strong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educational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country.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06566"/>
          <w:spacing w:val="-1"/>
        </w:rPr>
        <w:t>[Method/Process]</w:t>
      </w:r>
      <w:r>
        <w:rPr>
          <w:rFonts w:ascii="Times New Roman" w:hAnsi="Times New Roman" w:eastAsia="Times New Roman" w:cs="Times New Roman"/>
          <w:b/>
          <w:bCs/>
          <w:color w:val="306566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This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paper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ap</w:t>
      </w:r>
      <w:r>
        <w:rPr>
          <w:rFonts w:ascii="Times New Roman" w:hAnsi="Times New Roman" w:eastAsia="Times New Roman" w:cs="Times New Roman"/>
          <w:spacing w:val="-2"/>
        </w:rPr>
        <w:t>plies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competitiveness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theory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analyzes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problems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existing   in </w:t>
      </w:r>
      <w:r>
        <w:rPr>
          <w:rFonts w:ascii="Times New Roman" w:hAnsi="Times New Roman" w:eastAsia="Times New Roman" w:cs="Times New Roman"/>
          <w:spacing w:val="-1"/>
        </w:rPr>
        <w:t xml:space="preserve"> the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process  of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current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competitiveness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construction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university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think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tanks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rFonts w:ascii="Times New Roman" w:hAnsi="Times New Roman" w:eastAsia="Times New Roman" w:cs="Times New Roman"/>
        </w:rPr>
        <w:t>through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>methods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literature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research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case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study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analysis</w:t>
      </w:r>
      <w:r>
        <w:rPr>
          <w:rFonts w:ascii="Times New Roman" w:hAnsi="Times New Roman" w:eastAsia="Times New Roman" w:cs="Times New Roman"/>
          <w:spacing w:val="1"/>
        </w:rPr>
        <w:t>.  </w:t>
      </w:r>
      <w:r>
        <w:rPr>
          <w:rFonts w:ascii="Times New Roman" w:hAnsi="Times New Roman" w:eastAsia="Times New Roman" w:cs="Times New Roman"/>
        </w:rPr>
        <w:t>Based </w:t>
      </w:r>
      <w:r>
        <w:rPr>
          <w:rFonts w:ascii="Times New Roman" w:hAnsi="Times New Roman" w:eastAsia="Times New Roman" w:cs="Times New Roman"/>
          <w:spacing w:val="-2"/>
        </w:rPr>
        <w:t>on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pacing w:val="-1"/>
        </w:rPr>
        <w:t>he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rankings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of  795  university   think  tanks   sh</w:t>
      </w:r>
      <w:r>
        <w:rPr>
          <w:rFonts w:ascii="Times New Roman" w:hAnsi="Times New Roman" w:eastAsia="Times New Roman" w:cs="Times New Roman"/>
          <w:spacing w:val="-2"/>
        </w:rPr>
        <w:t>ortlisted   in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Chinese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Think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Tank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Index</w:t>
      </w:r>
      <w:r>
        <w:rPr>
          <w:spacing w:val="-2"/>
        </w:rPr>
        <w:t>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CTTI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）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thei</w:t>
      </w:r>
      <w:r>
        <w:rPr>
          <w:rFonts w:ascii="Times New Roman" w:hAnsi="Times New Roman" w:eastAsia="Times New Roman" w:cs="Times New Roman"/>
          <w:spacing w:val="1"/>
        </w:rPr>
        <w:t>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achievements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>comprehensive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impact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and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their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practice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paths,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we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analyze  and  summarize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  empirical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insights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strengthen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competitivenes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construction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 university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think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tanks.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06566"/>
          <w:spacing w:val="-1"/>
        </w:rPr>
        <w:t>[Result/Conclusion]</w:t>
      </w:r>
      <w:r>
        <w:rPr>
          <w:rFonts w:ascii="Times New Roman" w:hAnsi="Times New Roman" w:eastAsia="Times New Roman" w:cs="Times New Roman"/>
          <w:b/>
          <w:bCs/>
          <w:color w:val="30656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Currently,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university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think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tanks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face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three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common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challenges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in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competitiveness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development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，</w:t>
      </w:r>
      <w:r>
        <w:rPr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such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lack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 the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leading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role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of think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tank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results,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single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channel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of results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release,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cognitive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bias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 subject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identity.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These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issues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can be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addressed through three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strategic pathways: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developing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flagship products,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establis</w:t>
      </w:r>
      <w:r>
        <w:rPr>
          <w:rFonts w:ascii="Times New Roman" w:hAnsi="Times New Roman" w:eastAsia="Times New Roman" w:cs="Times New Roman"/>
          <w:spacing w:val="-1"/>
        </w:rPr>
        <w:t>hing multi-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dimensional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disseminati</w:t>
      </w:r>
      <w:r>
        <w:rPr>
          <w:rFonts w:ascii="Times New Roman" w:hAnsi="Times New Roman" w:eastAsia="Times New Roman" w:cs="Times New Roman"/>
          <w:spacing w:val="-1"/>
        </w:rPr>
        <w:t>on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systems,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and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advancing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disciplinary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development.</w:t>
      </w:r>
    </w:p>
    <w:p>
      <w:pPr>
        <w:ind w:left="522"/>
        <w:spacing w:before="45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position w:val="3"/>
        </w:rPr>
        <w:t>Keywords: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306566"/>
          <w:spacing w:val="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university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think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tanks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competitiveness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3"/>
        </w:rPr>
        <w:t>build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ing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competitiveness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3"/>
        </w:rPr>
        <w:t>theory</w:t>
      </w:r>
    </w:p>
    <w:p>
      <w:pPr>
        <w:pStyle w:val="BodyText"/>
        <w:ind w:right="1"/>
        <w:spacing w:before="296" w:line="228" w:lineRule="auto"/>
        <w:jc w:val="right"/>
        <w:rPr>
          <w:rFonts w:ascii="Times New Roman" w:hAnsi="Times New Roman" w:eastAsia="Times New Roman" w:cs="Times New Roman"/>
        </w:rPr>
      </w:pPr>
      <w:r>
        <w:rPr>
          <w:spacing w:val="-1"/>
        </w:rPr>
        <w:t>收稿日期：</w:t>
      </w:r>
      <w:r>
        <w:rPr>
          <w:rFonts w:ascii="Times New Roman" w:hAnsi="Times New Roman" w:eastAsia="Times New Roman" w:cs="Times New Roman"/>
          <w:spacing w:val="-1"/>
        </w:rPr>
        <w:t>2024-11-26    </w:t>
      </w:r>
      <w:r>
        <w:rPr>
          <w:spacing w:val="-1"/>
        </w:rPr>
        <w:t>修回日期：</w:t>
      </w:r>
      <w:r>
        <w:rPr>
          <w:rFonts w:ascii="Times New Roman" w:hAnsi="Times New Roman" w:eastAsia="Times New Roman" w:cs="Times New Roman"/>
          <w:spacing w:val="-1"/>
        </w:rPr>
        <w:t>2024-12-27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37"/>
        <w:spacing w:before="67" w:line="19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104</w:t>
      </w:r>
    </w:p>
    <w:sectPr>
      <w:headerReference w:type="default" r:id="rId5"/>
      <w:footerReference w:type="default" r:id="rId20"/>
      <w:pgSz w:w="11906" w:h="16838"/>
      <w:pgMar w:top="400" w:right="1132" w:bottom="471" w:left="1012" w:header="0" w:footer="2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8"/>
      <w:rPr>
        <w:sz w:val="20"/>
        <w:szCs w:val="20"/>
      </w:rPr>
    </w:pPr>
    <w:r>
      <w:pict>
        <v:shape id="_x0000_s26" style="position:absolute;margin-left:56.6929pt;margin-top:70.914pt;mso-position-vertical-relative:page;mso-position-horizontal-relative:page;width:481.9pt;height:0.6pt;z-index:251658240;" o:allowincell="f" fillcolor="#000000" filled="true" stroked="false" coordsize="9637,12" coordorigin="0,0" path="m9637,11l0,11l0,0l9637,0e"/>
      </w:pict>
    </w:r>
    <w:r>
      <w:rPr>
        <w:rFonts w:ascii="KaiTi" w:hAnsi="KaiTi" w:eastAsia="KaiTi" w:cs="KaiTi"/>
        <w:sz w:val="20"/>
        <w:szCs w:val="20"/>
        <w:color w:val="306566"/>
        <w:spacing w:val="-2"/>
      </w:rPr>
      <w:t>徐清</w:t>
    </w:r>
    <w:r>
      <w:rPr>
        <w:rFonts w:ascii="KaiTi" w:hAnsi="KaiTi" w:eastAsia="KaiTi" w:cs="KaiTi"/>
        <w:sz w:val="20"/>
        <w:szCs w:val="20"/>
        <w:color w:val="306566"/>
        <w:spacing w:val="-56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"/>
      </w:rPr>
      <w:t>,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30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2"/>
      </w:rPr>
      <w:t>丁炫凯</w:t>
    </w:r>
    <w:r>
      <w:rPr>
        <w:rFonts w:ascii="KaiTi" w:hAnsi="KaiTi" w:eastAsia="KaiTi" w:cs="KaiTi"/>
        <w:sz w:val="20"/>
        <w:szCs w:val="20"/>
        <w:color w:val="306566"/>
        <w:spacing w:val="-5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"/>
      </w:rPr>
      <w:t>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28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2"/>
      </w:rPr>
      <w:t>新时代高校智库竞争力建设的现</w:t>
    </w:r>
    <w:r>
      <w:rPr>
        <w:rFonts w:ascii="KaiTi" w:hAnsi="KaiTi" w:eastAsia="KaiTi" w:cs="KaiTi"/>
        <w:sz w:val="20"/>
        <w:szCs w:val="20"/>
        <w:color w:val="306566"/>
        <w:spacing w:val="-3"/>
      </w:rPr>
      <w:t>状困境与实践启示</w:t>
    </w:r>
    <w:r>
      <w:rPr>
        <w:rFonts w:ascii="KaiTi" w:hAnsi="KaiTi" w:eastAsia="KaiTi" w:cs="KaiTi"/>
        <w:sz w:val="20"/>
        <w:szCs w:val="20"/>
        <w:color w:val="306566"/>
        <w:spacing w:val="-3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[J].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26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智库理论与实践，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2025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9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，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10(5)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15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：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97-104.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10"/>
      </w:rPr>
      <w:t xml:space="preserve"> </w:t>
    </w:r>
    <w:r>
      <w:rPr>
        <w:sz w:val="20"/>
        <w:szCs w:val="20"/>
        <w:position w:val="-15"/>
      </w:rPr>
      <w:drawing>
        <wp:inline distT="0" distB="0" distL="0" distR="0">
          <wp:extent cx="36004" cy="360604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004" cy="360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jc w:val="right"/>
      <w:rPr>
        <w:sz w:val="20"/>
        <w:szCs w:val="20"/>
      </w:rPr>
    </w:pPr>
    <w:r>
      <w:pict>
        <v:shape id="_x0000_s32" style="position:absolute;margin-left:56.6929pt;margin-top:70.914pt;mso-position-vertical-relative:page;mso-position-horizontal-relative:page;width:481.9pt;height:0.6pt;z-index:251660288;" o:allowincell="f" fillcolor="#000000" filled="true" stroked="false" coordsize="9637,12" coordorigin="0,0" path="m9637,11l0,11l0,0l9637,0e"/>
      </w:pict>
    </w:r>
    <w:r>
      <w:rPr>
        <w:rFonts w:ascii="KaiTi" w:hAnsi="KaiTi" w:eastAsia="KaiTi" w:cs="KaiTi"/>
        <w:sz w:val="20"/>
        <w:szCs w:val="20"/>
        <w:color w:val="306566"/>
        <w:spacing w:val="-2"/>
      </w:rPr>
      <w:t>徐清</w:t>
    </w:r>
    <w:r>
      <w:rPr>
        <w:rFonts w:ascii="KaiTi" w:hAnsi="KaiTi" w:eastAsia="KaiTi" w:cs="KaiTi"/>
        <w:sz w:val="20"/>
        <w:szCs w:val="20"/>
        <w:color w:val="306566"/>
        <w:spacing w:val="-56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"/>
      </w:rPr>
      <w:t>,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30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2"/>
      </w:rPr>
      <w:t>丁炫凯</w:t>
    </w:r>
    <w:r>
      <w:rPr>
        <w:rFonts w:ascii="KaiTi" w:hAnsi="KaiTi" w:eastAsia="KaiTi" w:cs="KaiTi"/>
        <w:sz w:val="20"/>
        <w:szCs w:val="20"/>
        <w:color w:val="306566"/>
        <w:spacing w:val="-5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"/>
      </w:rPr>
      <w:t>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28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2"/>
      </w:rPr>
      <w:t>新时代高校智库竞争力建设的现</w:t>
    </w:r>
    <w:r>
      <w:rPr>
        <w:rFonts w:ascii="KaiTi" w:hAnsi="KaiTi" w:eastAsia="KaiTi" w:cs="KaiTi"/>
        <w:sz w:val="20"/>
        <w:szCs w:val="20"/>
        <w:color w:val="306566"/>
        <w:spacing w:val="-3"/>
      </w:rPr>
      <w:t>状困境与实践启示</w:t>
    </w:r>
    <w:r>
      <w:rPr>
        <w:rFonts w:ascii="KaiTi" w:hAnsi="KaiTi" w:eastAsia="KaiTi" w:cs="KaiTi"/>
        <w:sz w:val="20"/>
        <w:szCs w:val="20"/>
        <w:color w:val="306566"/>
        <w:spacing w:val="-3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[J].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26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智库理论与实践，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2025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29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，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10(5)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15"/>
      </w:rPr>
      <w:t xml:space="preserve"> </w:t>
    </w:r>
    <w:r>
      <w:rPr>
        <w:rFonts w:ascii="KaiTi" w:hAnsi="KaiTi" w:eastAsia="KaiTi" w:cs="KaiTi"/>
        <w:sz w:val="20"/>
        <w:szCs w:val="20"/>
        <w:color w:val="306566"/>
        <w:spacing w:val="-3"/>
      </w:rPr>
      <w:t>：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3"/>
      </w:rPr>
      <w:t>97-104.</w:t>
    </w:r>
    <w:r>
      <w:rPr>
        <w:rFonts w:ascii="Times New Roman" w:hAnsi="Times New Roman" w:eastAsia="Times New Roman" w:cs="Times New Roman"/>
        <w:sz w:val="20"/>
        <w:szCs w:val="20"/>
        <w:color w:val="306566"/>
        <w:spacing w:val="-10"/>
      </w:rPr>
      <w:t xml:space="preserve"> </w:t>
    </w:r>
    <w:r>
      <w:rPr>
        <w:sz w:val="20"/>
        <w:szCs w:val="20"/>
        <w:position w:val="-15"/>
      </w:rPr>
      <w:drawing>
        <wp:inline distT="0" distB="0" distL="0" distR="0">
          <wp:extent cx="36004" cy="360604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004" cy="360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footer" Target="footer2.xml"/><Relationship Id="rId7" Type="http://schemas.openxmlformats.org/officeDocument/2006/relationships/image" Target="media/image4.png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yperlink" Target="https://www" TargetMode="External"/><Relationship Id="rId21" Type="http://schemas.openxmlformats.org/officeDocument/2006/relationships/image" Target="media/image10.png"/><Relationship Id="rId20" Type="http://schemas.openxmlformats.org/officeDocument/2006/relationships/footer" Target="footer7.xml"/><Relationship Id="rId2" Type="http://schemas.openxmlformats.org/officeDocument/2006/relationships/image" Target="media/image1.png"/><Relationship Id="rId19" Type="http://schemas.openxmlformats.org/officeDocument/2006/relationships/hyperlink" Target="https://www.sinoss.net/c/2022-03-07/620931.shtml." TargetMode="External"/><Relationship Id="rId18" Type="http://schemas.openxmlformats.org/officeDocument/2006/relationships/hyperlink" Target="https://www.gov.cn/gongbao/content/2014/" TargetMode="External"/><Relationship Id="rId17" Type="http://schemas.openxmlformats.org/officeDocument/2006/relationships/footer" Target="footer6.xml"/><Relationship Id="rId16" Type="http://schemas.openxmlformats.org/officeDocument/2006/relationships/header" Target="header4.xml"/><Relationship Id="rId15" Type="http://schemas.openxmlformats.org/officeDocument/2006/relationships/image" Target="media/image8.png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1" Type="http://schemas.openxmlformats.org/officeDocument/2006/relationships/image" Target="media/image6.pn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9.0.0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202501智库理论与实践封面定</dc:title>
  <dcterms:created xsi:type="dcterms:W3CDTF">2025-11-13T10:59:17Z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2026-05-22T00:50:52</vt:filetime>
  </property>
</Properties>
</file>