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Inc. — Sample Financial Summary (TEST DOCUMENT)</w:t>
      </w:r>
    </w:p>
    <w:p>
      <w:r>
        <w:rPr>
          <w:b/>
        </w:rPr>
        <w:t>SAMPLE / FOR TESTING PURPOSES ONLY — NOT AN OFFICIAL COMPANY DOCUMENT</w:t>
        <w:br/>
      </w:r>
      <w:r>
        <w:br/>
        <w:t>This document is a short, synthetic extract created for testing AuditMind's DOCX ingestion pipeline. It reproduces the structure commonly found in management narratives and financial summaries, but all figures and text are illustrative only.</w:t>
        <w:br/>
      </w:r>
    </w:p>
    <w:p>
      <w:pPr>
        <w:pStyle w:val="Heading2"/>
      </w:pPr>
      <w:r>
        <w:t>Management Discussion &amp; Analysis</w:t>
      </w:r>
    </w:p>
    <w:p>
      <w:r>
        <w:t>During fiscal year 2023, the company reported growth across key product lines. Revenue performance was driven by increased device sales and services. Operating expenses were in line with strategic investments in R&amp;D and supply chain resilience.</w:t>
      </w:r>
    </w:p>
    <w:p>
      <w:pPr>
        <w:pStyle w:val="Heading2"/>
      </w:pPr>
      <w:r>
        <w:t>Selected Financials (Illustrative)</w:t>
      </w:r>
    </w:p>
    <w:tbl>
      <w:tblPr>
        <w:tblW w:type="auto" w:w="0"/>
        <w:tblLook w:firstColumn="1" w:firstRow="1" w:lastColumn="0" w:lastRow="0" w:noHBand="0" w:noVBand="1" w:val="04A0"/>
      </w:tblPr>
      <w:tblGrid>
        <w:gridCol w:w="2880"/>
        <w:gridCol w:w="2880"/>
        <w:gridCol w:w="2880"/>
      </w:tblGrid>
      <w:tr>
        <w:tc>
          <w:tcPr>
            <w:tcW w:type="dxa" w:w="2880"/>
          </w:tcPr>
          <w:p>
            <w:r>
              <w:t>Statement</w:t>
            </w:r>
          </w:p>
        </w:tc>
        <w:tc>
          <w:tcPr>
            <w:tcW w:type="dxa" w:w="2880"/>
          </w:tcPr>
          <w:p>
            <w:r>
              <w:t>2023 (USD millions)</w:t>
            </w:r>
          </w:p>
        </w:tc>
        <w:tc>
          <w:tcPr>
            <w:tcW w:type="dxa" w:w="2880"/>
          </w:tcPr>
          <w:p>
            <w:r>
              <w:t>2022 (USD millions)</w:t>
            </w:r>
          </w:p>
        </w:tc>
      </w:tr>
      <w:tr>
        <w:tc>
          <w:tcPr>
            <w:tcW w:type="dxa" w:w="2880"/>
          </w:tcPr>
          <w:p>
            <w:r>
              <w:t>Revenue</w:t>
            </w:r>
          </w:p>
        </w:tc>
        <w:tc>
          <w:tcPr>
            <w:tcW w:type="dxa" w:w="2880"/>
          </w:tcPr>
          <w:p>
            <w:r>
              <w:t>394,000</w:t>
            </w:r>
          </w:p>
        </w:tc>
        <w:tc>
          <w:tcPr>
            <w:tcW w:type="dxa" w:w="2880"/>
          </w:tcPr>
          <w:p>
            <w:r>
              <w:t>365,817</w:t>
            </w:r>
          </w:p>
        </w:tc>
      </w:tr>
      <w:tr>
        <w:tc>
          <w:tcPr>
            <w:tcW w:type="dxa" w:w="2880"/>
          </w:tcPr>
          <w:p>
            <w:r>
              <w:t>Net Income</w:t>
            </w:r>
          </w:p>
        </w:tc>
        <w:tc>
          <w:tcPr>
            <w:tcW w:type="dxa" w:w="2880"/>
          </w:tcPr>
          <w:p>
            <w:r>
              <w:t>74,000</w:t>
            </w:r>
          </w:p>
        </w:tc>
        <w:tc>
          <w:tcPr>
            <w:tcW w:type="dxa" w:w="2880"/>
          </w:tcPr>
          <w:p>
            <w:r>
              <w:t>68,000</w:t>
            </w:r>
          </w:p>
        </w:tc>
      </w:tr>
      <w:tr>
        <w:tc>
          <w:tcPr>
            <w:tcW w:type="dxa" w:w="2880"/>
          </w:tcPr>
          <w:p>
            <w:r>
              <w:t>Total Assets</w:t>
            </w:r>
          </w:p>
        </w:tc>
        <w:tc>
          <w:tcPr>
            <w:tcW w:type="dxa" w:w="2880"/>
          </w:tcPr>
          <w:p>
            <w:r>
              <w:t>352,000</w:t>
            </w:r>
          </w:p>
        </w:tc>
        <w:tc>
          <w:tcPr>
            <w:tcW w:type="dxa" w:w="2880"/>
          </w:tcPr>
          <w:p>
            <w:r>
              <w:t>338,500</w:t>
            </w:r>
          </w:p>
        </w:tc>
      </w:tr>
    </w:tbl>
    <w:p>
      <w:pPr>
        <w:pStyle w:val="Heading2"/>
      </w:pPr>
      <w:r>
        <w:t>Notes</w:t>
      </w:r>
    </w:p>
    <w:p>
      <w:r>
        <w:t>This test document contains a short narrative and a small sample table to help validate text extraction, table parsing, and downstream analysis. Replace with real client documents for production use.</w:t>
      </w:r>
    </w:p>
    <w:p>
      <w:r>
        <w:br/>
        <w:t>Document created by AuditMind team for testing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