
<file path=word/document.xml><?xml version="1.0" encoding="utf-8"?>
<w:document xmlns:w="http://schemas.openxmlformats.org/wordprocessingml/2006/main">
  <w:body>
    <w:tbl>
      <w:tr>
        <w:tc>
          <w:p>
            <w:r>
              <w:t>id</w:t>
            </w:r>
          </w:p>
        </w:tc>
        <w:tc>
          <w:p>
            <w:r>
              <w:t>section_ref</w:t>
            </w:r>
          </w:p>
        </w:tc>
        <w:tc>
          <w:p>
            <w:r>
              <w:t>comment</w:t>
            </w:r>
          </w:p>
        </w:tc>
        <w:tc>
          <w:p>
            <w:r>
              <w:t>vendor_action</w:t>
            </w:r>
          </w:p>
        </w:tc>
      </w:tr>
      <w:tr>
        <w:tc>
          <w:p>
            <w:r>
              <w:t>FT-001</w:t>
            </w:r>
          </w:p>
        </w:tc>
        <w:tc>
          <w:p>
            <w:r>
              <w:t>6.3</w:t>
            </w:r>
          </w:p>
        </w:tc>
        <w:tc>
          <w:p>
            <w:r>
              <w:t>Where two sensors disagree the deliverable must say which reading wins and on what basis. State the precedence rule explicitly.</w:t>
            </w:r>
          </w:p>
        </w:tc>
        <w:tc>
          <w:p>
            <w:r>
              <w:t/>
            </w:r>
          </w:p>
        </w:tc>
      </w:tr>
      <w:tr>
        <w:tc>
          <w:p>
            <w:r>
              <w:t>FT-002</w:t>
            </w:r>
          </w:p>
        </w:tc>
        <w:tc>
          <w:p>
            <w:r>
              <w:t>5.3</w:t>
            </w:r>
          </w:p>
        </w:tc>
        <w:tc>
          <w:p>
            <w:r>
              <w:t>The tick duration is referred to throughout but never given a value. Provide the numeric tick budget.</w:t>
            </w:r>
          </w:p>
        </w:tc>
        <w:tc>
          <w:p>
            <w:r>
              <w:t>Will be provided once load testing completes.</w:t>
            </w:r>
          </w:p>
        </w:tc>
      </w:tr>
      <w:tr>
        <w:tc>
          <w:p>
            <w:r>
              <w:t>FT-003</w:t>
            </w:r>
          </w:p>
        </w:tc>
        <w:tc>
          <w:p>
            <w:r>
              <w:t>5.5</w:t>
            </w:r>
          </w:p>
        </w:tc>
        <w:tc>
          <w:p>
            <w:r>
              <w:t>This section is titled Risks and open decisions but its content is a gap register. The section should address implementation constraints and dependencies, which are not covered anywhere in the deliverable.</w:t>
            </w:r>
          </w:p>
        </w:tc>
        <w:tc>
          <w:p>
            <w:r>
              <w:t>Section retitled to Implementation constraints and dependencies.</w:t>
            </w:r>
          </w:p>
        </w:tc>
      </w:tr>
      <w:tr>
        <w:tc>
          <w:p>
            <w:r>
              <w:t>FT-004</w:t>
            </w:r>
          </w:p>
        </w:tc>
        <w:tc>
          <w:p>
            <w:r>
              <w:t>6.5</w:t>
            </w:r>
          </w:p>
        </w:tc>
        <w:tc>
          <w:p>
            <w:r>
              <w:t>The constraints listed for the Sensor Fabric have owners but no closure dates. Add a target date to each row.</w:t>
            </w:r>
          </w:p>
        </w:tc>
        <w:tc>
          <w:p>
            <w:r>
              <w:t>Updated.</w:t>
            </w:r>
          </w:p>
        </w:tc>
      </w:tr>
      <w:tr>
        <w:tc>
          <w:p>
            <w:r>
              <w:t>FT-005</w:t>
            </w:r>
          </w:p>
        </w:tc>
        <w:tc>
          <w:p>
            <w:r>
              <w:t>7.5</w:t>
            </w:r>
          </w:p>
        </w:tc>
        <w:tc>
          <w:p>
            <w:r>
              <w:t>Hydrology Model constraints must be enumerated individually rather than referenced in aggregate.</w:t>
            </w:r>
          </w:p>
        </w:tc>
        <w:tc>
          <w:p>
            <w:r>
              <w:t>Revised in the new document.</w:t>
            </w:r>
          </w:p>
        </w:tc>
      </w:tr>
      <w:tr>
        <w:tc>
          <w:p>
            <w:r>
              <w:t>FT-006</w:t>
            </w:r>
          </w:p>
        </w:tc>
        <w:tc>
          <w:p>
            <w:r>
              <w:t>Appendix B</w:t>
            </w:r>
          </w:p>
        </w:tc>
        <w:tc>
          <w:p>
            <w:r>
              <w:t>Each risk in the register needs a mitigation owner and a review date. Owners are present; dates are not.</w:t>
            </w:r>
          </w:p>
        </w:tc>
        <w:tc>
          <w:p>
            <w:r>
              <w:t>Risk register updated.</w:t>
            </w:r>
          </w:p>
        </w:tc>
      </w:tr>
      <w:tr>
        <w:tc>
          <w:p>
            <w:r>
              <w:t>FT-007</w:t>
            </w:r>
          </w:p>
        </w:tc>
        <w:tc>
          <w:p>
            <w:r>
              <w:t>14</w:t>
            </w:r>
          </w:p>
        </w:tc>
        <w:tc>
          <w:p>
            <w:r>
              <w:t>The not-defined register lists six open items. Confirm which have been closed since the last revision.</w:t>
            </w:r>
          </w:p>
        </w:tc>
        <w:tc>
          <w:p>
            <w:r>
              <w:t>Register reviewed and addressed.</w:t>
            </w:r>
          </w:p>
        </w:tc>
      </w:tr>
      <w:tr>
        <w:tc>
          <w:p>
            <w:r>
              <w:t>FT-008</w:t>
            </w:r>
          </w:p>
        </w:tc>
        <w:tc>
          <w:p>
            <w:r>
              <w:t>Appendix D</w:t>
            </w:r>
          </w:p>
        </w:tc>
        <w:tc>
          <w:p>
            <w:r>
              <w:t>Evidence locations are listed but several point at documents not yet produced. Confirm availability.</w:t>
            </w:r>
          </w:p>
        </w:tc>
        <w:tc>
          <w:p>
            <w:r>
              <w:t/>
            </w:r>
          </w:p>
        </w:tc>
      </w:tr>
      <w:tr>
        <w:tc>
          <w:p>
            <w:r>
              <w:t>FT-009</w:t>
            </w:r>
          </w:p>
        </w:tc>
        <w:tc>
          <w:p>
            <w:r>
              <w:t>1</w:t>
            </w:r>
          </w:p>
        </w:tc>
        <w:tc>
          <w:p>
            <w:r>
              <w:t>Document control cross-references status definitions to Section 14. Confirm that target still exists and resolves.</w:t>
            </w:r>
          </w:p>
        </w:tc>
        <w:tc>
          <w:p>
            <w:r>
              <w:t/>
            </w:r>
          </w:p>
        </w:tc>
      </w:tr>
      <w:tr>
        <w:tc>
          <w:p>
            <w:r>
              <w:t>FT-010</w:t>
            </w:r>
          </w:p>
        </w:tc>
        <w:tc>
          <w:p>
            <w:r>
              <w:t>8.2</w:t>
            </w:r>
          </w:p>
        </w:tc>
        <w:tc>
          <w:p>
            <w:r>
              <w:t>Alert thresholds must be stated with units. Confirm the deliverable does so.</w:t>
            </w:r>
          </w:p>
        </w:tc>
        <w:tc>
          <w:p>
            <w:r>
              <w:t/>
            </w:r>
          </w:p>
        </w:tc>
      </w:tr>
      <w:tr>
        <w:tc>
          <w:p>
            <w:r>
              <w:t>FT-011</w:t>
            </w:r>
          </w:p>
        </w:tc>
        <w:tc>
          <w:p>
            <w:r>
              <w:t>5.2</w:t>
            </w:r>
          </w:p>
        </w:tc>
        <w:tc>
          <w:p>
            <w:r>
              <w:t>Scheduling authority must be assigned to exactly one component. Confirm no ambiguity remains.</w:t>
            </w:r>
          </w:p>
        </w:tc>
        <w:tc>
          <w:p>
            <w:r>
              <w:t/>
            </w:r>
          </w:p>
        </w:tc>
      </w:tr>
      <w:tr>
        <w:tc>
          <w:p>
            <w:r>
              <w:t>FT-012</w:t>
            </w:r>
          </w:p>
        </w:tc>
        <w:tc>
          <w:p>
            <w:r>
              <w:t>7.3</w:t>
            </w:r>
          </w:p>
        </w:tc>
        <w:tc>
          <w:p>
            <w:r>
              <w:t>The estimation method must name the residual normalisation denominator, which is currently undefined.</w:t>
            </w:r>
          </w:p>
        </w:tc>
        <w:tc>
          <w:p>
            <w:r>
              <w:t>Denominator to be confirmed with the modelling team.</w:t>
            </w:r>
          </w:p>
        </w:tc>
      </w:tr>
      <w:tr>
        <w:tc>
          <w:p>
            <w:r>
              <w:t>FT-013</w:t>
            </w:r>
          </w:p>
        </w:tc>
        <w:tc>
          <w:p>
            <w:r>
              <w:t>9</w:t>
            </w:r>
          </w:p>
        </w:tc>
        <w:tc>
          <w:p>
            <w:r>
              <w:t>Deployment topology must state the failure domain for each node class.</w:t>
            </w:r>
          </w:p>
        </w:tc>
        <w:tc>
          <w:p>
            <w:r>
              <w:t>Addressed in the revision.</w:t>
            </w:r>
          </w:p>
        </w:tc>
      </w:tr>
      <w:tr>
        <w:tc>
          <w:p>
            <w:r>
              <w:t>FT-014</w:t>
            </w:r>
          </w:p>
        </w:tc>
        <w:tc>
          <w:p>
            <w:r>
              <w:t>10.2</w:t>
            </w:r>
          </w:p>
        </w:tc>
        <w:tc>
          <w:p>
            <w:r>
              <w:t>The calibration method must state the revalidation window.</w:t>
            </w:r>
          </w:p>
        </w:tc>
        <w:tc>
          <w:p>
            <w:r>
              <w:t/>
            </w:r>
          </w:p>
        </w:tc>
      </w:tr>
    </w:tbl>
  </w:body>
</w:document>
</file>