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60"/>
        <w:jc w:val="center"/>
      </w:pPr>
      <w:r>
        <w:rPr>
          <w:rFonts w:ascii="Calibri" w:hAnsi="Calibri"/>
          <w:b/>
          <w:color w:val="17365D"/>
          <w:sz w:val="54"/>
        </w:rPr>
        <w:t>PLAYWRIGHT</w:t>
        <w:br/>
        <w:t>TESTING GUIDE</w:t>
      </w:r>
    </w:p>
    <w:p>
      <w:pPr>
        <w:spacing w:after="240"/>
        <w:jc w:val="center"/>
      </w:pPr>
      <w:r>
        <w:rPr>
          <w:color w:val="526579"/>
          <w:sz w:val="24"/>
        </w:rPr>
        <w:t>A practical map of test types, combinations, and testing philosophy</w:t>
      </w:r>
    </w:p>
    <w:p>
      <w:pPr>
        <w:pStyle w:val="Heading2"/>
      </w:pPr>
      <w:r>
        <w:t>The big picture</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376"/>
            <w:shd w:fill="D9EAF7"/>
            <w:vAlign w:val="center"/>
            <w:tcMar>
              <w:top w:w="70" w:type="dxa"/>
              <w:start w:w="90" w:type="dxa"/>
              <w:bottom w:w="70" w:type="dxa"/>
              <w:end w:w="90" w:type="dxa"/>
            </w:tcMar>
          </w:tcPr>
          <w:p>
            <w:pPr>
              <w:spacing w:after="0"/>
            </w:pPr>
            <w:r>
              <w:rPr>
                <w:b/>
                <w:color w:val="17365D"/>
                <w:sz w:val="16"/>
              </w:rPr>
              <w:t>1. Define expected behavior</w:t>
            </w:r>
          </w:p>
        </w:tc>
        <w:tc>
          <w:tcPr>
            <w:tcW w:type="dxa" w:w="2376"/>
            <w:shd w:fill="D9EAF7"/>
            <w:vAlign w:val="center"/>
            <w:tcMar>
              <w:top w:w="70" w:type="dxa"/>
              <w:start w:w="90" w:type="dxa"/>
              <w:bottom w:w="70" w:type="dxa"/>
              <w:end w:w="90" w:type="dxa"/>
            </w:tcMar>
          </w:tcPr>
          <w:p>
            <w:pPr>
              <w:spacing w:after="0"/>
            </w:pPr>
            <w:r>
              <w:rPr>
                <w:b/>
                <w:color w:val="17365D"/>
                <w:sz w:val="16"/>
              </w:rPr>
              <w:t>2. Exercise the system</w:t>
            </w:r>
          </w:p>
        </w:tc>
        <w:tc>
          <w:tcPr>
            <w:tcW w:type="dxa" w:w="2376"/>
            <w:shd w:fill="D9EAF7"/>
            <w:vAlign w:val="center"/>
            <w:tcMar>
              <w:top w:w="70" w:type="dxa"/>
              <w:start w:w="90" w:type="dxa"/>
              <w:bottom w:w="70" w:type="dxa"/>
              <w:end w:w="90" w:type="dxa"/>
            </w:tcMar>
          </w:tcPr>
          <w:p>
            <w:pPr>
              <w:spacing w:after="0"/>
            </w:pPr>
            <w:r>
              <w:rPr>
                <w:b/>
                <w:color w:val="17365D"/>
                <w:sz w:val="16"/>
              </w:rPr>
              <w:t>3. Verify outcomes</w:t>
            </w:r>
          </w:p>
        </w:tc>
        <w:tc>
          <w:tcPr>
            <w:tcW w:type="dxa" w:w="2376"/>
            <w:shd w:fill="D9EAF7"/>
            <w:vAlign w:val="center"/>
            <w:tcMar>
              <w:top w:w="70" w:type="dxa"/>
              <w:start w:w="90" w:type="dxa"/>
              <w:bottom w:w="70" w:type="dxa"/>
              <w:end w:w="90" w:type="dxa"/>
            </w:tcMar>
          </w:tcPr>
          <w:p>
            <w:pPr>
              <w:spacing w:after="0"/>
            </w:pPr>
            <w:r>
              <w:rPr>
                <w:b/>
                <w:color w:val="17365D"/>
                <w:sz w:val="16"/>
              </w:rPr>
              <w:t>4. Report evidence</w:t>
            </w:r>
          </w:p>
        </w:tc>
      </w:tr>
      <w:tr>
        <w:tc>
          <w:tcPr>
            <w:tcW w:type="dxa" w:w="2376"/>
            <w:vAlign w:val="center"/>
            <w:tcMar>
              <w:top w:w="70" w:type="dxa"/>
              <w:start w:w="90" w:type="dxa"/>
              <w:bottom w:w="70" w:type="dxa"/>
              <w:end w:w="90" w:type="dxa"/>
            </w:tcMar>
          </w:tcPr>
          <w:p>
            <w:pPr>
              <w:spacing w:after="0"/>
            </w:pPr>
            <w:r>
              <w:rPr>
                <w:sz w:val="16"/>
              </w:rPr>
              <w:t>Requirements, rules, risks</w:t>
            </w:r>
          </w:p>
        </w:tc>
        <w:tc>
          <w:tcPr>
            <w:tcW w:type="dxa" w:w="2376"/>
            <w:vAlign w:val="center"/>
            <w:tcMar>
              <w:top w:w="70" w:type="dxa"/>
              <w:start w:w="90" w:type="dxa"/>
              <w:bottom w:w="70" w:type="dxa"/>
              <w:end w:w="90" w:type="dxa"/>
            </w:tcMar>
          </w:tcPr>
          <w:p>
            <w:pPr>
              <w:spacing w:after="0"/>
            </w:pPr>
            <w:r>
              <w:rPr>
                <w:sz w:val="16"/>
              </w:rPr>
              <w:t>Browser actions, API calls, test data</w:t>
            </w:r>
          </w:p>
        </w:tc>
        <w:tc>
          <w:tcPr>
            <w:tcW w:type="dxa" w:w="2376"/>
            <w:vAlign w:val="center"/>
            <w:tcMar>
              <w:top w:w="70" w:type="dxa"/>
              <w:start w:w="90" w:type="dxa"/>
              <w:bottom w:w="70" w:type="dxa"/>
              <w:end w:w="90" w:type="dxa"/>
            </w:tcMar>
          </w:tcPr>
          <w:p>
            <w:pPr>
              <w:spacing w:after="0"/>
            </w:pPr>
            <w:r>
              <w:rPr>
                <w:sz w:val="16"/>
              </w:rPr>
              <w:t>UI, responses, state, side effects</w:t>
            </w:r>
          </w:p>
        </w:tc>
        <w:tc>
          <w:tcPr>
            <w:tcW w:type="dxa" w:w="2376"/>
            <w:vAlign w:val="center"/>
            <w:tcMar>
              <w:top w:w="70" w:type="dxa"/>
              <w:start w:w="90" w:type="dxa"/>
              <w:bottom w:w="70" w:type="dxa"/>
              <w:end w:w="90" w:type="dxa"/>
            </w:tcMar>
          </w:tcPr>
          <w:p>
            <w:pPr>
              <w:spacing w:after="0"/>
            </w:pPr>
            <w:r>
              <w:rPr>
                <w:sz w:val="16"/>
              </w:rPr>
              <w:t>Assertions, traces, screenshots, logs</w:t>
            </w:r>
          </w:p>
        </w:tc>
      </w:tr>
    </w:tbl>
    <w:p>
      <w:pPr>
        <w:spacing w:after="0"/>
      </w:pPr>
    </w:p>
    <w:p>
      <w:pPr>
        <w:pStyle w:val="Heading2"/>
      </w:pPr>
      <w:r>
        <w:t>What Playwright is</w:t>
      </w:r>
    </w:p>
    <w:p>
      <w:r>
        <w:t>Playwright is a browser automation framework with a test runner. It drives Chromium, Firefox, and WebKit, and provides locator-based interactions, auto-waiting, retrying assertions, isolated browser contexts, network interception, screenshots, traces, and API request support. Its main strength is checking how a web application behaves from a user's point of view across realistic browser workflows.</w:t>
      </w:r>
    </w:p>
    <w:p>
      <w:pPr>
        <w:pStyle w:val="Heading2"/>
      </w:pPr>
      <w:r>
        <w:t>What it is—and is not</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4752"/>
            <w:shd w:fill="D9EAF7"/>
            <w:vAlign w:val="center"/>
            <w:tcMar>
              <w:top w:w="70" w:type="dxa"/>
              <w:start w:w="90" w:type="dxa"/>
              <w:bottom w:w="70" w:type="dxa"/>
              <w:end w:w="90" w:type="dxa"/>
            </w:tcMar>
          </w:tcPr>
          <w:p>
            <w:pPr>
              <w:spacing w:after="0"/>
            </w:pPr>
            <w:r>
              <w:rPr>
                <w:b/>
                <w:color w:val="17365D"/>
                <w:sz w:val="16"/>
              </w:rPr>
              <w:t>Playwright is especially strong at</w:t>
            </w:r>
          </w:p>
        </w:tc>
        <w:tc>
          <w:tcPr>
            <w:tcW w:type="dxa" w:w="4752"/>
            <w:shd w:fill="D9EAF7"/>
            <w:vAlign w:val="center"/>
            <w:tcMar>
              <w:top w:w="70" w:type="dxa"/>
              <w:start w:w="90" w:type="dxa"/>
              <w:bottom w:w="70" w:type="dxa"/>
              <w:end w:w="90" w:type="dxa"/>
            </w:tcMar>
          </w:tcPr>
          <w:p>
            <w:pPr>
              <w:spacing w:after="0"/>
            </w:pPr>
            <w:r>
              <w:rPr>
                <w:b/>
                <w:color w:val="17365D"/>
                <w:sz w:val="16"/>
              </w:rPr>
              <w:t>Possible, but usually not its main selling point</w:t>
            </w:r>
          </w:p>
        </w:tc>
      </w:tr>
      <w:tr>
        <w:tc>
          <w:tcPr>
            <w:tcW w:type="dxa" w:w="4752"/>
            <w:vAlign w:val="center"/>
            <w:tcMar>
              <w:top w:w="70" w:type="dxa"/>
              <w:start w:w="90" w:type="dxa"/>
              <w:bottom w:w="70" w:type="dxa"/>
              <w:end w:w="90" w:type="dxa"/>
            </w:tcMar>
          </w:tcPr>
          <w:p>
            <w:pPr>
              <w:spacing w:after="0"/>
            </w:pPr>
            <w:r>
              <w:rPr>
                <w:sz w:val="16"/>
              </w:rPr>
              <w:t>Browser E2E; functional UI tests; regression and smoke suites; forms and navigation; cross-browser checks; API-assisted workflows; visual assertions.</w:t>
            </w:r>
          </w:p>
        </w:tc>
        <w:tc>
          <w:tcPr>
            <w:tcW w:type="dxa" w:w="4752"/>
            <w:vAlign w:val="center"/>
            <w:tcMar>
              <w:top w:w="70" w:type="dxa"/>
              <w:start w:w="90" w:type="dxa"/>
              <w:bottom w:w="70" w:type="dxa"/>
              <w:end w:w="90" w:type="dxa"/>
            </w:tcMar>
          </w:tcPr>
          <w:p>
            <w:pPr>
              <w:spacing w:after="0"/>
            </w:pPr>
            <w:r>
              <w:rPr>
                <w:sz w:val="16"/>
              </w:rPr>
              <w:t>Pure unit tests; deep database testing; source-code security analysis; broad vulnerability scanning; high-volume load/stress testing; infrastructure-level chaos tests.</w:t>
            </w:r>
          </w:p>
        </w:tc>
      </w:tr>
    </w:tbl>
    <w:p>
      <w:pPr>
        <w:spacing w:after="0"/>
      </w:pPr>
    </w:p>
    <w:tbl>
      <w:tblPr>
        <w:tblW w:type="auto" w:w="0"/>
        <w:jc w:val="center"/>
        <w:tblLook w:firstColumn="1" w:firstRow="1" w:lastColumn="0" w:lastRow="0" w:noHBand="0" w:noVBand="1" w:val="04A0"/>
      </w:tblPr>
      <w:tblGrid>
        <w:gridCol w:w="10166"/>
      </w:tblGrid>
      <w:tr>
        <w:tc>
          <w:tcPr>
            <w:tcW w:type="dxa" w:w="10166"/>
            <w:shd w:fill="F2F5F8"/>
            <w:tcMar>
              <w:top w:w="110" w:type="dxa"/>
              <w:start w:w="140" w:type="dxa"/>
              <w:bottom w:w="110" w:type="dxa"/>
              <w:end w:w="140" w:type="dxa"/>
            </w:tcMar>
          </w:tcPr>
          <w:p>
            <w:pPr>
              <w:spacing w:after="0"/>
            </w:pPr>
            <w:r>
              <w:rPr>
                <w:b/>
                <w:color w:val="1F4E79"/>
              </w:rPr>
              <w:t xml:space="preserve">Core idea  </w:t>
            </w:r>
            <w:r>
              <w:t>Testing categories overlap. “E2E” describes scope, “negative” describes the scenario, and “validation” describes the rule being checked. One test may carry several labels.</w:t>
            </w:r>
          </w:p>
        </w:tc>
      </w:tr>
    </w:tbl>
    <w:p>
      <w:pPr>
        <w:spacing w:after="0"/>
      </w:pPr>
    </w:p>
    <w:p>
      <w:pPr>
        <w:pStyle w:val="Heading2"/>
      </w:pPr>
      <w:r>
        <w:t>How to use this guide</w:t>
      </w:r>
    </w:p>
    <w:p>
      <w:pPr>
        <w:pStyle w:val="ListBullet"/>
        <w:spacing w:after="30"/>
      </w:pPr>
      <w:r>
        <w:t>Pages 2–3 map the major test families and explain why they matter.</w:t>
      </w:r>
    </w:p>
    <w:p>
      <w:pPr>
        <w:pStyle w:val="ListBullet"/>
        <w:spacing w:after="30"/>
      </w:pPr>
      <w:r>
        <w:t>Page 4 shows how multiple categories combine within one test case.</w:t>
      </w:r>
    </w:p>
    <w:p>
      <w:pPr>
        <w:pStyle w:val="ListBullet"/>
        <w:spacing w:after="30"/>
      </w:pPr>
      <w:r>
        <w:t>Page 5 sets out a practical test-design philosophy and a recommended tool split.</w:t>
      </w:r>
    </w:p>
    <w:p>
      <w:r>
        <w:br w:type="page"/>
      </w:r>
    </w:p>
    <w:p>
      <w:pPr>
        <w:spacing w:after="40"/>
      </w:pPr>
      <w:r>
        <w:rPr>
          <w:b/>
          <w:color w:val="5B6573"/>
          <w:sz w:val="16"/>
        </w:rPr>
        <w:t>01 / TEST TAXONOMY</w:t>
      </w:r>
    </w:p>
    <w:p>
      <w:pPr>
        <w:pStyle w:val="Heading1"/>
      </w:pPr>
      <w:r>
        <w:t>Functional testing and user-facing behavior</w:t>
      </w:r>
    </w:p>
    <w:p>
      <w:pPr>
        <w:spacing w:after="120"/>
      </w:pPr>
      <w:r>
        <w:rPr>
          <w:i/>
          <w:color w:val="555555"/>
        </w:rPr>
        <w:t>Functional testing asks whether the system does the right thing—not merely whether it runs.</w:t>
      </w:r>
    </w:p>
    <w:p>
      <w:pPr>
        <w:pStyle w:val="Heading2"/>
      </w:pPr>
      <w:r>
        <w:t>1. Functional testing</w:t>
      </w:r>
    </w:p>
    <w:p>
      <w:r>
        <w:t>Purpose: verify that features follow requirements, business rules, and expected user behavior. A functional test can be run through the UI, through an API, or end-to-end.</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088"/>
            <w:shd w:fill="D9EAF7"/>
            <w:vAlign w:val="center"/>
            <w:tcMar>
              <w:top w:w="70" w:type="dxa"/>
              <w:start w:w="90" w:type="dxa"/>
              <w:bottom w:w="70" w:type="dxa"/>
              <w:end w:w="90" w:type="dxa"/>
            </w:tcMar>
          </w:tcPr>
          <w:p>
            <w:pPr>
              <w:spacing w:after="0"/>
            </w:pPr>
            <w:r>
              <w:rPr>
                <w:b/>
                <w:color w:val="17365D"/>
                <w:sz w:val="15"/>
              </w:rPr>
              <w:t>Subcategory</w:t>
            </w:r>
          </w:p>
        </w:tc>
        <w:tc>
          <w:tcPr>
            <w:tcW w:type="dxa" w:w="3816"/>
            <w:shd w:fill="D9EAF7"/>
            <w:vAlign w:val="center"/>
            <w:tcMar>
              <w:top w:w="70" w:type="dxa"/>
              <w:start w:w="90" w:type="dxa"/>
              <w:bottom w:w="70" w:type="dxa"/>
              <w:end w:w="90" w:type="dxa"/>
            </w:tcMar>
          </w:tcPr>
          <w:p>
            <w:pPr>
              <w:spacing w:after="0"/>
            </w:pPr>
            <w:r>
              <w:rPr>
                <w:b/>
                <w:color w:val="17365D"/>
                <w:sz w:val="15"/>
              </w:rPr>
              <w:t>What it checks</w:t>
            </w:r>
          </w:p>
        </w:tc>
        <w:tc>
          <w:tcPr>
            <w:tcW w:type="dxa" w:w="3600"/>
            <w:shd w:fill="D9EAF7"/>
            <w:vAlign w:val="center"/>
            <w:tcMar>
              <w:top w:w="70" w:type="dxa"/>
              <w:start w:w="90" w:type="dxa"/>
              <w:bottom w:w="70" w:type="dxa"/>
              <w:end w:w="90" w:type="dxa"/>
            </w:tcMar>
          </w:tcPr>
          <w:p>
            <w:pPr>
              <w:spacing w:after="0"/>
            </w:pPr>
            <w:r>
              <w:rPr>
                <w:b/>
                <w:color w:val="17365D"/>
                <w:sz w:val="15"/>
              </w:rPr>
              <w:t>Example</w:t>
            </w:r>
          </w:p>
        </w:tc>
      </w:tr>
      <w:tr>
        <w:tc>
          <w:tcPr>
            <w:tcW w:type="dxa" w:w="2088"/>
            <w:vAlign w:val="center"/>
            <w:tcMar>
              <w:top w:w="70" w:type="dxa"/>
              <w:start w:w="90" w:type="dxa"/>
              <w:bottom w:w="70" w:type="dxa"/>
              <w:end w:w="90" w:type="dxa"/>
            </w:tcMar>
          </w:tcPr>
          <w:p>
            <w:pPr>
              <w:spacing w:after="0"/>
            </w:pPr>
            <w:r>
              <w:rPr>
                <w:sz w:val="15"/>
              </w:rPr>
              <w:t>Positive / happy path</w:t>
            </w:r>
          </w:p>
        </w:tc>
        <w:tc>
          <w:tcPr>
            <w:tcW w:type="dxa" w:w="3816"/>
            <w:vAlign w:val="center"/>
            <w:tcMar>
              <w:top w:w="70" w:type="dxa"/>
              <w:start w:w="90" w:type="dxa"/>
              <w:bottom w:w="70" w:type="dxa"/>
              <w:end w:w="90" w:type="dxa"/>
            </w:tcMar>
          </w:tcPr>
          <w:p>
            <w:pPr>
              <w:spacing w:after="0"/>
            </w:pPr>
            <w:r>
              <w:rPr>
                <w:sz w:val="15"/>
              </w:rPr>
              <w:t>Valid inputs and permitted actions succeed.</w:t>
            </w:r>
          </w:p>
        </w:tc>
        <w:tc>
          <w:tcPr>
            <w:tcW w:type="dxa" w:w="3600"/>
            <w:vAlign w:val="center"/>
            <w:tcMar>
              <w:top w:w="70" w:type="dxa"/>
              <w:start w:w="90" w:type="dxa"/>
              <w:bottom w:w="70" w:type="dxa"/>
              <w:end w:w="90" w:type="dxa"/>
            </w:tcMar>
          </w:tcPr>
          <w:p>
            <w:pPr>
              <w:spacing w:after="0"/>
            </w:pPr>
            <w:r>
              <w:rPr>
                <w:sz w:val="15"/>
              </w:rPr>
              <w:t>Valid registration creates an account.</w:t>
            </w:r>
          </w:p>
        </w:tc>
      </w:tr>
      <w:tr>
        <w:tc>
          <w:tcPr>
            <w:tcW w:type="dxa" w:w="2088"/>
            <w:vAlign w:val="center"/>
            <w:tcMar>
              <w:top w:w="70" w:type="dxa"/>
              <w:start w:w="90" w:type="dxa"/>
              <w:bottom w:w="70" w:type="dxa"/>
              <w:end w:w="90" w:type="dxa"/>
            </w:tcMar>
          </w:tcPr>
          <w:p>
            <w:pPr>
              <w:spacing w:after="0"/>
            </w:pPr>
            <w:r>
              <w:rPr>
                <w:sz w:val="15"/>
              </w:rPr>
              <w:t>Negative / unhappy path</w:t>
            </w:r>
          </w:p>
        </w:tc>
        <w:tc>
          <w:tcPr>
            <w:tcW w:type="dxa" w:w="3816"/>
            <w:vAlign w:val="center"/>
            <w:tcMar>
              <w:top w:w="70" w:type="dxa"/>
              <w:start w:w="90" w:type="dxa"/>
              <w:bottom w:w="70" w:type="dxa"/>
              <w:end w:w="90" w:type="dxa"/>
            </w:tcMar>
          </w:tcPr>
          <w:p>
            <w:pPr>
              <w:spacing w:after="0"/>
            </w:pPr>
            <w:r>
              <w:rPr>
                <w:sz w:val="15"/>
              </w:rPr>
              <w:t>Invalid or prohibited actions are rejected safely.</w:t>
            </w:r>
          </w:p>
        </w:tc>
        <w:tc>
          <w:tcPr>
            <w:tcW w:type="dxa" w:w="3600"/>
            <w:vAlign w:val="center"/>
            <w:tcMar>
              <w:top w:w="70" w:type="dxa"/>
              <w:start w:w="90" w:type="dxa"/>
              <w:bottom w:w="70" w:type="dxa"/>
              <w:end w:w="90" w:type="dxa"/>
            </w:tcMar>
          </w:tcPr>
          <w:p>
            <w:pPr>
              <w:spacing w:after="0"/>
            </w:pPr>
            <w:r>
              <w:rPr>
                <w:sz w:val="15"/>
              </w:rPr>
              <w:t>Wrong password does not log in.</w:t>
            </w:r>
          </w:p>
        </w:tc>
      </w:tr>
      <w:tr>
        <w:tc>
          <w:tcPr>
            <w:tcW w:type="dxa" w:w="2088"/>
            <w:vAlign w:val="center"/>
            <w:tcMar>
              <w:top w:w="70" w:type="dxa"/>
              <w:start w:w="90" w:type="dxa"/>
              <w:bottom w:w="70" w:type="dxa"/>
              <w:end w:w="90" w:type="dxa"/>
            </w:tcMar>
          </w:tcPr>
          <w:p>
            <w:pPr>
              <w:spacing w:after="0"/>
            </w:pPr>
            <w:r>
              <w:rPr>
                <w:sz w:val="15"/>
              </w:rPr>
              <w:t>Field and input validation</w:t>
            </w:r>
          </w:p>
        </w:tc>
        <w:tc>
          <w:tcPr>
            <w:tcW w:type="dxa" w:w="3816"/>
            <w:vAlign w:val="center"/>
            <w:tcMar>
              <w:top w:w="70" w:type="dxa"/>
              <w:start w:w="90" w:type="dxa"/>
              <w:bottom w:w="70" w:type="dxa"/>
              <w:end w:w="90" w:type="dxa"/>
            </w:tcMar>
          </w:tcPr>
          <w:p>
            <w:pPr>
              <w:spacing w:after="0"/>
            </w:pPr>
            <w:r>
              <w:rPr>
                <w:sz w:val="15"/>
              </w:rPr>
              <w:t>Required, type, format, length, range, boundary, cross-field and conditional rules.</w:t>
            </w:r>
          </w:p>
        </w:tc>
        <w:tc>
          <w:tcPr>
            <w:tcW w:type="dxa" w:w="3600"/>
            <w:vAlign w:val="center"/>
            <w:tcMar>
              <w:top w:w="70" w:type="dxa"/>
              <w:start w:w="90" w:type="dxa"/>
              <w:bottom w:w="70" w:type="dxa"/>
              <w:end w:w="90" w:type="dxa"/>
            </w:tcMar>
          </w:tcPr>
          <w:p>
            <w:pPr>
              <w:spacing w:after="0"/>
            </w:pPr>
            <w:r>
              <w:rPr>
                <w:sz w:val="15"/>
              </w:rPr>
              <w:t>Password confirmation must match.</w:t>
            </w:r>
          </w:p>
        </w:tc>
      </w:tr>
      <w:tr>
        <w:tc>
          <w:tcPr>
            <w:tcW w:type="dxa" w:w="2088"/>
            <w:vAlign w:val="center"/>
            <w:tcMar>
              <w:top w:w="70" w:type="dxa"/>
              <w:start w:w="90" w:type="dxa"/>
              <w:bottom w:w="70" w:type="dxa"/>
              <w:end w:w="90" w:type="dxa"/>
            </w:tcMar>
          </w:tcPr>
          <w:p>
            <w:pPr>
              <w:spacing w:after="0"/>
            </w:pPr>
            <w:r>
              <w:rPr>
                <w:sz w:val="15"/>
              </w:rPr>
              <w:t>Error handling</w:t>
            </w:r>
          </w:p>
        </w:tc>
        <w:tc>
          <w:tcPr>
            <w:tcW w:type="dxa" w:w="3816"/>
            <w:vAlign w:val="center"/>
            <w:tcMar>
              <w:top w:w="70" w:type="dxa"/>
              <w:start w:w="90" w:type="dxa"/>
              <w:bottom w:w="70" w:type="dxa"/>
              <w:end w:w="90" w:type="dxa"/>
            </w:tcMar>
          </w:tcPr>
          <w:p>
            <w:pPr>
              <w:spacing w:after="0"/>
            </w:pPr>
            <w:r>
              <w:rPr>
                <w:sz w:val="15"/>
              </w:rPr>
              <w:t>Errors are clear, safe, and recoverable.</w:t>
            </w:r>
          </w:p>
        </w:tc>
        <w:tc>
          <w:tcPr>
            <w:tcW w:type="dxa" w:w="3600"/>
            <w:vAlign w:val="center"/>
            <w:tcMar>
              <w:top w:w="70" w:type="dxa"/>
              <w:start w:w="90" w:type="dxa"/>
              <w:bottom w:w="70" w:type="dxa"/>
              <w:end w:w="90" w:type="dxa"/>
            </w:tcMar>
          </w:tcPr>
          <w:p>
            <w:pPr>
              <w:spacing w:after="0"/>
            </w:pPr>
            <w:r>
              <w:rPr>
                <w:sz w:val="15"/>
              </w:rPr>
              <w:t>A server failure shows an error rather than an endless spinner.</w:t>
            </w:r>
          </w:p>
        </w:tc>
      </w:tr>
      <w:tr>
        <w:tc>
          <w:tcPr>
            <w:tcW w:type="dxa" w:w="2088"/>
            <w:vAlign w:val="center"/>
            <w:tcMar>
              <w:top w:w="70" w:type="dxa"/>
              <w:start w:w="90" w:type="dxa"/>
              <w:bottom w:w="70" w:type="dxa"/>
              <w:end w:w="90" w:type="dxa"/>
            </w:tcMar>
          </w:tcPr>
          <w:p>
            <w:pPr>
              <w:spacing w:after="0"/>
            </w:pPr>
            <w:r>
              <w:rPr>
                <w:sz w:val="15"/>
              </w:rPr>
              <w:t>Business logic</w:t>
            </w:r>
          </w:p>
        </w:tc>
        <w:tc>
          <w:tcPr>
            <w:tcW w:type="dxa" w:w="3816"/>
            <w:vAlign w:val="center"/>
            <w:tcMar>
              <w:top w:w="70" w:type="dxa"/>
              <w:start w:w="90" w:type="dxa"/>
              <w:bottom w:w="70" w:type="dxa"/>
              <w:end w:w="90" w:type="dxa"/>
            </w:tcMar>
          </w:tcPr>
          <w:p>
            <w:pPr>
              <w:spacing w:after="0"/>
            </w:pPr>
            <w:r>
              <w:rPr>
                <w:sz w:val="15"/>
              </w:rPr>
              <w:t>Domain rules, calculations, state transitions and invariants.</w:t>
            </w:r>
          </w:p>
        </w:tc>
        <w:tc>
          <w:tcPr>
            <w:tcW w:type="dxa" w:w="3600"/>
            <w:vAlign w:val="center"/>
            <w:tcMar>
              <w:top w:w="70" w:type="dxa"/>
              <w:start w:w="90" w:type="dxa"/>
              <w:bottom w:w="70" w:type="dxa"/>
              <w:end w:w="90" w:type="dxa"/>
            </w:tcMar>
          </w:tcPr>
          <w:p>
            <w:pPr>
              <w:spacing w:after="0"/>
            </w:pPr>
            <w:r>
              <w:rPr>
                <w:sz w:val="15"/>
              </w:rPr>
              <w:t>A cancelled order cannot be shipped.</w:t>
            </w:r>
          </w:p>
        </w:tc>
      </w:tr>
      <w:tr>
        <w:tc>
          <w:tcPr>
            <w:tcW w:type="dxa" w:w="2088"/>
            <w:vAlign w:val="center"/>
            <w:tcMar>
              <w:top w:w="70" w:type="dxa"/>
              <w:start w:w="90" w:type="dxa"/>
              <w:bottom w:w="70" w:type="dxa"/>
              <w:end w:w="90" w:type="dxa"/>
            </w:tcMar>
          </w:tcPr>
          <w:p>
            <w:pPr>
              <w:spacing w:after="0"/>
            </w:pPr>
            <w:r>
              <w:rPr>
                <w:sz w:val="15"/>
              </w:rPr>
              <w:t>Regression</w:t>
            </w:r>
          </w:p>
        </w:tc>
        <w:tc>
          <w:tcPr>
            <w:tcW w:type="dxa" w:w="3816"/>
            <w:vAlign w:val="center"/>
            <w:tcMar>
              <w:top w:w="70" w:type="dxa"/>
              <w:start w:w="90" w:type="dxa"/>
              <w:bottom w:w="70" w:type="dxa"/>
              <w:end w:w="90" w:type="dxa"/>
            </w:tcMar>
          </w:tcPr>
          <w:p>
            <w:pPr>
              <w:spacing w:after="0"/>
            </w:pPr>
            <w:r>
              <w:rPr>
                <w:sz w:val="15"/>
              </w:rPr>
              <w:t>Previously working behavior remains correct after changes.</w:t>
            </w:r>
          </w:p>
        </w:tc>
        <w:tc>
          <w:tcPr>
            <w:tcW w:type="dxa" w:w="3600"/>
            <w:vAlign w:val="center"/>
            <w:tcMar>
              <w:top w:w="70" w:type="dxa"/>
              <w:start w:w="90" w:type="dxa"/>
              <w:bottom w:w="70" w:type="dxa"/>
              <w:end w:w="90" w:type="dxa"/>
            </w:tcMar>
          </w:tcPr>
          <w:p>
            <w:pPr>
              <w:spacing w:after="0"/>
            </w:pPr>
            <w:r>
              <w:rPr>
                <w:sz w:val="15"/>
              </w:rPr>
              <w:t>Checkout changes do not break order history.</w:t>
            </w:r>
          </w:p>
        </w:tc>
      </w:tr>
      <w:tr>
        <w:tc>
          <w:tcPr>
            <w:tcW w:type="dxa" w:w="2088"/>
            <w:vAlign w:val="center"/>
            <w:tcMar>
              <w:top w:w="70" w:type="dxa"/>
              <w:start w:w="90" w:type="dxa"/>
              <w:bottom w:w="70" w:type="dxa"/>
              <w:end w:w="90" w:type="dxa"/>
            </w:tcMar>
          </w:tcPr>
          <w:p>
            <w:pPr>
              <w:spacing w:after="0"/>
            </w:pPr>
            <w:r>
              <w:rPr>
                <w:sz w:val="15"/>
              </w:rPr>
              <w:t>Smoke</w:t>
            </w:r>
          </w:p>
        </w:tc>
        <w:tc>
          <w:tcPr>
            <w:tcW w:type="dxa" w:w="3816"/>
            <w:vAlign w:val="center"/>
            <w:tcMar>
              <w:top w:w="70" w:type="dxa"/>
              <w:start w:w="90" w:type="dxa"/>
              <w:bottom w:w="70" w:type="dxa"/>
              <w:end w:w="90" w:type="dxa"/>
            </w:tcMar>
          </w:tcPr>
          <w:p>
            <w:pPr>
              <w:spacing w:after="0"/>
            </w:pPr>
            <w:r>
              <w:rPr>
                <w:sz w:val="15"/>
              </w:rPr>
              <w:t>A small critical-path suite works after a build/deployment.</w:t>
            </w:r>
          </w:p>
        </w:tc>
        <w:tc>
          <w:tcPr>
            <w:tcW w:type="dxa" w:w="3600"/>
            <w:vAlign w:val="center"/>
            <w:tcMar>
              <w:top w:w="70" w:type="dxa"/>
              <w:start w:w="90" w:type="dxa"/>
              <w:bottom w:w="70" w:type="dxa"/>
              <w:end w:w="90" w:type="dxa"/>
            </w:tcMar>
          </w:tcPr>
          <w:p>
            <w:pPr>
              <w:spacing w:after="0"/>
            </w:pPr>
            <w:r>
              <w:rPr>
                <w:sz w:val="15"/>
              </w:rPr>
              <w:t>Homepage, login and dashboard load.</w:t>
            </w:r>
          </w:p>
        </w:tc>
      </w:tr>
      <w:tr>
        <w:tc>
          <w:tcPr>
            <w:tcW w:type="dxa" w:w="2088"/>
            <w:vAlign w:val="center"/>
            <w:tcMar>
              <w:top w:w="70" w:type="dxa"/>
              <w:start w:w="90" w:type="dxa"/>
              <w:bottom w:w="70" w:type="dxa"/>
              <w:end w:w="90" w:type="dxa"/>
            </w:tcMar>
          </w:tcPr>
          <w:p>
            <w:pPr>
              <w:spacing w:after="0"/>
            </w:pPr>
            <w:r>
              <w:rPr>
                <w:sz w:val="15"/>
              </w:rPr>
              <w:t>Sanity</w:t>
            </w:r>
          </w:p>
        </w:tc>
        <w:tc>
          <w:tcPr>
            <w:tcW w:type="dxa" w:w="3816"/>
            <w:vAlign w:val="center"/>
            <w:tcMar>
              <w:top w:w="70" w:type="dxa"/>
              <w:start w:w="90" w:type="dxa"/>
              <w:bottom w:w="70" w:type="dxa"/>
              <w:end w:w="90" w:type="dxa"/>
            </w:tcMar>
          </w:tcPr>
          <w:p>
            <w:pPr>
              <w:spacing w:after="0"/>
            </w:pPr>
            <w:r>
              <w:rPr>
                <w:sz w:val="15"/>
              </w:rPr>
              <w:t>A focused check confirms a specific fix/change.</w:t>
            </w:r>
          </w:p>
        </w:tc>
        <w:tc>
          <w:tcPr>
            <w:tcW w:type="dxa" w:w="3600"/>
            <w:vAlign w:val="center"/>
            <w:tcMar>
              <w:top w:w="70" w:type="dxa"/>
              <w:start w:w="90" w:type="dxa"/>
              <w:bottom w:w="70" w:type="dxa"/>
              <w:end w:w="90" w:type="dxa"/>
            </w:tcMar>
          </w:tcPr>
          <w:p>
            <w:pPr>
              <w:spacing w:after="0"/>
            </w:pPr>
            <w:r>
              <w:rPr>
                <w:sz w:val="15"/>
              </w:rPr>
              <w:t>Password-reset fix works.</w:t>
            </w:r>
          </w:p>
        </w:tc>
      </w:tr>
      <w:tr>
        <w:tc>
          <w:tcPr>
            <w:tcW w:type="dxa" w:w="2088"/>
            <w:vAlign w:val="center"/>
            <w:tcMar>
              <w:top w:w="70" w:type="dxa"/>
              <w:start w:w="90" w:type="dxa"/>
              <w:bottom w:w="70" w:type="dxa"/>
              <w:end w:w="90" w:type="dxa"/>
            </w:tcMar>
          </w:tcPr>
          <w:p>
            <w:pPr>
              <w:spacing w:after="0"/>
            </w:pPr>
            <w:r>
              <w:rPr>
                <w:sz w:val="15"/>
              </w:rPr>
              <w:t>Boundary / equivalence classes</w:t>
            </w:r>
          </w:p>
        </w:tc>
        <w:tc>
          <w:tcPr>
            <w:tcW w:type="dxa" w:w="3816"/>
            <w:vAlign w:val="center"/>
            <w:tcMar>
              <w:top w:w="70" w:type="dxa"/>
              <w:start w:w="90" w:type="dxa"/>
              <w:bottom w:w="70" w:type="dxa"/>
              <w:end w:w="90" w:type="dxa"/>
            </w:tcMar>
          </w:tcPr>
          <w:p>
            <w:pPr>
              <w:spacing w:after="0"/>
            </w:pPr>
            <w:r>
              <w:rPr>
                <w:sz w:val="15"/>
              </w:rPr>
              <w:t>Representative values around limits and in input classes.</w:t>
            </w:r>
          </w:p>
        </w:tc>
        <w:tc>
          <w:tcPr>
            <w:tcW w:type="dxa" w:w="3600"/>
            <w:vAlign w:val="center"/>
            <w:tcMar>
              <w:top w:w="70" w:type="dxa"/>
              <w:start w:w="90" w:type="dxa"/>
              <w:bottom w:w="70" w:type="dxa"/>
              <w:end w:w="90" w:type="dxa"/>
            </w:tcMar>
          </w:tcPr>
          <w:p>
            <w:pPr>
              <w:spacing w:after="0"/>
            </w:pPr>
            <w:r>
              <w:rPr>
                <w:sz w:val="15"/>
              </w:rPr>
              <w:t>Test 0, 1, max and max + 1.</w:t>
            </w:r>
          </w:p>
        </w:tc>
      </w:tr>
    </w:tbl>
    <w:p>
      <w:pPr>
        <w:spacing w:after="0"/>
      </w:pPr>
    </w:p>
    <w:p>
      <w:pPr>
        <w:pStyle w:val="Heading2"/>
      </w:pPr>
      <w:r>
        <w:t>2. UI and browser testing</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448"/>
            <w:shd w:fill="D9EAF7"/>
            <w:vAlign w:val="center"/>
            <w:tcMar>
              <w:top w:w="70" w:type="dxa"/>
              <w:start w:w="90" w:type="dxa"/>
              <w:bottom w:w="70" w:type="dxa"/>
              <w:end w:w="90" w:type="dxa"/>
            </w:tcMar>
          </w:tcPr>
          <w:p>
            <w:pPr>
              <w:spacing w:after="0"/>
            </w:pPr>
            <w:r>
              <w:rPr>
                <w:b/>
                <w:color w:val="17365D"/>
                <w:sz w:val="16"/>
              </w:rPr>
              <w:t>Subcategory</w:t>
            </w:r>
          </w:p>
        </w:tc>
        <w:tc>
          <w:tcPr>
            <w:tcW w:type="dxa" w:w="7056"/>
            <w:shd w:fill="D9EAF7"/>
            <w:vAlign w:val="center"/>
            <w:tcMar>
              <w:top w:w="70" w:type="dxa"/>
              <w:start w:w="90" w:type="dxa"/>
              <w:bottom w:w="70" w:type="dxa"/>
              <w:end w:w="90" w:type="dxa"/>
            </w:tcMar>
          </w:tcPr>
          <w:p>
            <w:pPr>
              <w:spacing w:after="0"/>
            </w:pPr>
            <w:r>
              <w:rPr>
                <w:b/>
                <w:color w:val="17365D"/>
                <w:sz w:val="16"/>
              </w:rPr>
              <w:t>Purpose</w:t>
            </w:r>
          </w:p>
        </w:tc>
      </w:tr>
      <w:tr>
        <w:tc>
          <w:tcPr>
            <w:tcW w:type="dxa" w:w="2448"/>
            <w:vAlign w:val="center"/>
            <w:tcMar>
              <w:top w:w="70" w:type="dxa"/>
              <w:start w:w="90" w:type="dxa"/>
              <w:bottom w:w="70" w:type="dxa"/>
              <w:end w:w="90" w:type="dxa"/>
            </w:tcMar>
          </w:tcPr>
          <w:p>
            <w:pPr>
              <w:spacing w:after="0"/>
            </w:pPr>
            <w:r>
              <w:rPr>
                <w:sz w:val="16"/>
              </w:rPr>
              <w:t>UI and interaction</w:t>
            </w:r>
          </w:p>
        </w:tc>
        <w:tc>
          <w:tcPr>
            <w:tcW w:type="dxa" w:w="7056"/>
            <w:vAlign w:val="center"/>
            <w:tcMar>
              <w:top w:w="70" w:type="dxa"/>
              <w:start w:w="90" w:type="dxa"/>
              <w:bottom w:w="70" w:type="dxa"/>
              <w:end w:w="90" w:type="dxa"/>
            </w:tcMar>
          </w:tcPr>
          <w:p>
            <w:pPr>
              <w:spacing w:after="0"/>
            </w:pPr>
            <w:r>
              <w:rPr>
                <w:sz w:val="16"/>
              </w:rPr>
              <w:t>Controls, clicks, typing, selection, focus, keyboard use and expected visual states.</w:t>
            </w:r>
          </w:p>
        </w:tc>
      </w:tr>
      <w:tr>
        <w:tc>
          <w:tcPr>
            <w:tcW w:type="dxa" w:w="2448"/>
            <w:vAlign w:val="center"/>
            <w:tcMar>
              <w:top w:w="70" w:type="dxa"/>
              <w:start w:w="90" w:type="dxa"/>
              <w:bottom w:w="70" w:type="dxa"/>
              <w:end w:w="90" w:type="dxa"/>
            </w:tcMar>
          </w:tcPr>
          <w:p>
            <w:pPr>
              <w:spacing w:after="0"/>
            </w:pPr>
            <w:r>
              <w:rPr>
                <w:sz w:val="16"/>
              </w:rPr>
              <w:t>Navigation and routing</w:t>
            </w:r>
          </w:p>
        </w:tc>
        <w:tc>
          <w:tcPr>
            <w:tcW w:type="dxa" w:w="7056"/>
            <w:vAlign w:val="center"/>
            <w:tcMar>
              <w:top w:w="70" w:type="dxa"/>
              <w:start w:w="90" w:type="dxa"/>
              <w:bottom w:w="70" w:type="dxa"/>
              <w:end w:w="90" w:type="dxa"/>
            </w:tcMar>
          </w:tcPr>
          <w:p>
            <w:pPr>
              <w:spacing w:after="0"/>
            </w:pPr>
            <w:r>
              <w:rPr>
                <w:sz w:val="16"/>
              </w:rPr>
              <w:t>Links, redirects, protected routes, history and deep links.</w:t>
            </w:r>
          </w:p>
        </w:tc>
      </w:tr>
      <w:tr>
        <w:tc>
          <w:tcPr>
            <w:tcW w:type="dxa" w:w="2448"/>
            <w:vAlign w:val="center"/>
            <w:tcMar>
              <w:top w:w="70" w:type="dxa"/>
              <w:start w:w="90" w:type="dxa"/>
              <w:bottom w:w="70" w:type="dxa"/>
              <w:end w:w="90" w:type="dxa"/>
            </w:tcMar>
          </w:tcPr>
          <w:p>
            <w:pPr>
              <w:spacing w:after="0"/>
            </w:pPr>
            <w:r>
              <w:rPr>
                <w:sz w:val="16"/>
              </w:rPr>
              <w:t>Cross-browser and responsive</w:t>
            </w:r>
          </w:p>
        </w:tc>
        <w:tc>
          <w:tcPr>
            <w:tcW w:type="dxa" w:w="7056"/>
            <w:vAlign w:val="center"/>
            <w:tcMar>
              <w:top w:w="70" w:type="dxa"/>
              <w:start w:w="90" w:type="dxa"/>
              <w:bottom w:w="70" w:type="dxa"/>
              <w:end w:w="90" w:type="dxa"/>
            </w:tcMar>
          </w:tcPr>
          <w:p>
            <w:pPr>
              <w:spacing w:after="0"/>
            </w:pPr>
            <w:r>
              <w:rPr>
                <w:sz w:val="16"/>
              </w:rPr>
              <w:t>Behavior across Chromium, Firefox, WebKit and viewport sizes.</w:t>
            </w:r>
          </w:p>
        </w:tc>
      </w:tr>
      <w:tr>
        <w:tc>
          <w:tcPr>
            <w:tcW w:type="dxa" w:w="2448"/>
            <w:vAlign w:val="center"/>
            <w:tcMar>
              <w:top w:w="70" w:type="dxa"/>
              <w:start w:w="90" w:type="dxa"/>
              <w:bottom w:w="70" w:type="dxa"/>
              <w:end w:w="90" w:type="dxa"/>
            </w:tcMar>
          </w:tcPr>
          <w:p>
            <w:pPr>
              <w:spacing w:after="0"/>
            </w:pPr>
            <w:r>
              <w:rPr>
                <w:sz w:val="16"/>
              </w:rPr>
              <w:t>Visual regression</w:t>
            </w:r>
          </w:p>
        </w:tc>
        <w:tc>
          <w:tcPr>
            <w:tcW w:type="dxa" w:w="7056"/>
            <w:vAlign w:val="center"/>
            <w:tcMar>
              <w:top w:w="70" w:type="dxa"/>
              <w:start w:w="90" w:type="dxa"/>
              <w:bottom w:w="70" w:type="dxa"/>
              <w:end w:w="90" w:type="dxa"/>
            </w:tcMar>
          </w:tcPr>
          <w:p>
            <w:pPr>
              <w:spacing w:after="0"/>
            </w:pPr>
            <w:r>
              <w:rPr>
                <w:sz w:val="16"/>
              </w:rPr>
              <w:t>Detect unintended screenshot/layout changes.</w:t>
            </w:r>
          </w:p>
        </w:tc>
      </w:tr>
      <w:tr>
        <w:tc>
          <w:tcPr>
            <w:tcW w:type="dxa" w:w="2448"/>
            <w:vAlign w:val="center"/>
            <w:tcMar>
              <w:top w:w="70" w:type="dxa"/>
              <w:start w:w="90" w:type="dxa"/>
              <w:bottom w:w="70" w:type="dxa"/>
              <w:end w:w="90" w:type="dxa"/>
            </w:tcMar>
          </w:tcPr>
          <w:p>
            <w:pPr>
              <w:spacing w:after="0"/>
            </w:pPr>
            <w:r>
              <w:rPr>
                <w:sz w:val="16"/>
              </w:rPr>
              <w:t>Accessibility</w:t>
            </w:r>
          </w:p>
        </w:tc>
        <w:tc>
          <w:tcPr>
            <w:tcW w:type="dxa" w:w="7056"/>
            <w:vAlign w:val="center"/>
            <w:tcMar>
              <w:top w:w="70" w:type="dxa"/>
              <w:start w:w="90" w:type="dxa"/>
              <w:bottom w:w="70" w:type="dxa"/>
              <w:end w:w="90" w:type="dxa"/>
            </w:tcMar>
          </w:tcPr>
          <w:p>
            <w:pPr>
              <w:spacing w:after="0"/>
            </w:pPr>
            <w:r>
              <w:rPr>
                <w:sz w:val="16"/>
              </w:rPr>
              <w:t>Check accessible names, keyboard flow, focus and common automated accessibility rules; axe-core can supplement Playwright.</w:t>
            </w:r>
          </w:p>
        </w:tc>
      </w:tr>
      <w:tr>
        <w:tc>
          <w:tcPr>
            <w:tcW w:type="dxa" w:w="2448"/>
            <w:vAlign w:val="center"/>
            <w:tcMar>
              <w:top w:w="70" w:type="dxa"/>
              <w:start w:w="90" w:type="dxa"/>
              <w:bottom w:w="70" w:type="dxa"/>
              <w:end w:w="90" w:type="dxa"/>
            </w:tcMar>
          </w:tcPr>
          <w:p>
            <w:pPr>
              <w:spacing w:after="0"/>
            </w:pPr>
            <w:r>
              <w:rPr>
                <w:sz w:val="16"/>
              </w:rPr>
              <w:t>Files and browser state</w:t>
            </w:r>
          </w:p>
        </w:tc>
        <w:tc>
          <w:tcPr>
            <w:tcW w:type="dxa" w:w="7056"/>
            <w:vAlign w:val="center"/>
            <w:tcMar>
              <w:top w:w="70" w:type="dxa"/>
              <w:start w:w="90" w:type="dxa"/>
              <w:bottom w:w="70" w:type="dxa"/>
              <w:end w:w="90" w:type="dxa"/>
            </w:tcMar>
          </w:tcPr>
          <w:p>
            <w:pPr>
              <w:spacing w:after="0"/>
            </w:pPr>
            <w:r>
              <w:rPr>
                <w:sz w:val="16"/>
              </w:rPr>
              <w:t>Upload/download behavior, cookies, local/session storage and session persistence.</w:t>
            </w:r>
          </w:p>
        </w:tc>
      </w:tr>
      <w:tr>
        <w:tc>
          <w:tcPr>
            <w:tcW w:type="dxa" w:w="2448"/>
            <w:vAlign w:val="center"/>
            <w:tcMar>
              <w:top w:w="70" w:type="dxa"/>
              <w:start w:w="90" w:type="dxa"/>
              <w:bottom w:w="70" w:type="dxa"/>
              <w:end w:w="90" w:type="dxa"/>
            </w:tcMar>
          </w:tcPr>
          <w:p>
            <w:pPr>
              <w:spacing w:after="0"/>
            </w:pPr>
            <w:r>
              <w:rPr>
                <w:sz w:val="16"/>
              </w:rPr>
              <w:t>Localization/content</w:t>
            </w:r>
          </w:p>
        </w:tc>
        <w:tc>
          <w:tcPr>
            <w:tcW w:type="dxa" w:w="7056"/>
            <w:vAlign w:val="center"/>
            <w:tcMar>
              <w:top w:w="70" w:type="dxa"/>
              <w:start w:w="90" w:type="dxa"/>
              <w:bottom w:w="70" w:type="dxa"/>
              <w:end w:w="90" w:type="dxa"/>
            </w:tcMar>
          </w:tcPr>
          <w:p>
            <w:pPr>
              <w:spacing w:after="0"/>
            </w:pPr>
            <w:r>
              <w:rPr>
                <w:sz w:val="16"/>
              </w:rPr>
              <w:t>Translations, dates, currencies, displayed copy and locale-specific layout.</w:t>
            </w:r>
          </w:p>
        </w:tc>
      </w:tr>
    </w:tbl>
    <w:p>
      <w:pPr>
        <w:spacing w:after="0"/>
      </w:pPr>
    </w:p>
    <w:tbl>
      <w:tblPr>
        <w:tblW w:type="auto" w:w="0"/>
        <w:jc w:val="center"/>
        <w:tblLook w:firstColumn="1" w:firstRow="1" w:lastColumn="0" w:lastRow="0" w:noHBand="0" w:noVBand="1" w:val="04A0"/>
      </w:tblPr>
      <w:tblGrid>
        <w:gridCol w:w="10166"/>
      </w:tblGrid>
      <w:tr>
        <w:tc>
          <w:tcPr>
            <w:tcW w:type="dxa" w:w="10166"/>
            <w:shd w:fill="F2F5F8"/>
            <w:tcMar>
              <w:top w:w="110" w:type="dxa"/>
              <w:start w:w="140" w:type="dxa"/>
              <w:bottom w:w="110" w:type="dxa"/>
              <w:end w:w="140" w:type="dxa"/>
            </w:tcMar>
          </w:tcPr>
          <w:p>
            <w:pPr>
              <w:spacing w:after="0"/>
            </w:pPr>
            <w:r>
              <w:rPr>
                <w:b/>
                <w:color w:val="1F4E79"/>
              </w:rPr>
              <w:t xml:space="preserve">Useful rule  </w:t>
            </w:r>
            <w:r>
              <w:t>A field-validation test should assert more than “an error exists”: check the correct message, the correct field association, submission behavior, and recovery after correction when those are requirements.</w:t>
            </w:r>
          </w:p>
        </w:tc>
      </w:tr>
    </w:tbl>
    <w:p>
      <w:pPr>
        <w:spacing w:after="0"/>
      </w:pPr>
    </w:p>
    <w:p>
      <w:r>
        <w:br w:type="page"/>
      </w:r>
    </w:p>
    <w:p>
      <w:pPr>
        <w:spacing w:after="40"/>
      </w:pPr>
      <w:r>
        <w:rPr>
          <w:b/>
          <w:color w:val="5B6573"/>
          <w:sz w:val="16"/>
        </w:rPr>
        <w:t>02 / TEST TAXONOMY</w:t>
      </w:r>
    </w:p>
    <w:p>
      <w:pPr>
        <w:pStyle w:val="Heading1"/>
      </w:pPr>
      <w:r>
        <w:t>Integration, E2E, security, and resilience</w:t>
      </w:r>
    </w:p>
    <w:p>
      <w:pPr>
        <w:spacing w:after="120"/>
      </w:pPr>
      <w:r>
        <w:rPr>
          <w:i/>
          <w:color w:val="555555"/>
        </w:rPr>
        <w:t>These families cover system boundaries and failure conditions, not just the visible page.</w:t>
      </w:r>
    </w:p>
    <w:p>
      <w:pPr>
        <w:pStyle w:val="Heading2"/>
      </w:pPr>
      <w:r>
        <w:t>3. Unit, component, API and integration testing</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440"/>
            <w:shd w:fill="D9EAF7"/>
            <w:vAlign w:val="center"/>
            <w:tcMar>
              <w:top w:w="70" w:type="dxa"/>
              <w:start w:w="90" w:type="dxa"/>
              <w:bottom w:w="70" w:type="dxa"/>
              <w:end w:w="90" w:type="dxa"/>
            </w:tcMar>
          </w:tcPr>
          <w:p>
            <w:pPr>
              <w:spacing w:after="0"/>
            </w:pPr>
            <w:r>
              <w:rPr>
                <w:b/>
                <w:color w:val="17365D"/>
                <w:sz w:val="15"/>
              </w:rPr>
              <w:t>Type</w:t>
            </w:r>
          </w:p>
        </w:tc>
        <w:tc>
          <w:tcPr>
            <w:tcW w:type="dxa" w:w="4896"/>
            <w:shd w:fill="D9EAF7"/>
            <w:vAlign w:val="center"/>
            <w:tcMar>
              <w:top w:w="70" w:type="dxa"/>
              <w:start w:w="90" w:type="dxa"/>
              <w:bottom w:w="70" w:type="dxa"/>
              <w:end w:w="90" w:type="dxa"/>
            </w:tcMar>
          </w:tcPr>
          <w:p>
            <w:pPr>
              <w:spacing w:after="0"/>
            </w:pPr>
            <w:r>
              <w:rPr>
                <w:b/>
                <w:color w:val="17365D"/>
                <w:sz w:val="15"/>
              </w:rPr>
              <w:t>Purpose / examples</w:t>
            </w:r>
          </w:p>
        </w:tc>
        <w:tc>
          <w:tcPr>
            <w:tcW w:type="dxa" w:w="3168"/>
            <w:shd w:fill="D9EAF7"/>
            <w:vAlign w:val="center"/>
            <w:tcMar>
              <w:top w:w="70" w:type="dxa"/>
              <w:start w:w="90" w:type="dxa"/>
              <w:bottom w:w="70" w:type="dxa"/>
              <w:end w:w="90" w:type="dxa"/>
            </w:tcMar>
          </w:tcPr>
          <w:p>
            <w:pPr>
              <w:spacing w:after="0"/>
            </w:pPr>
            <w:r>
              <w:rPr>
                <w:b/>
                <w:color w:val="17365D"/>
                <w:sz w:val="15"/>
              </w:rPr>
              <w:t>Playwright fit</w:t>
            </w:r>
          </w:p>
        </w:tc>
      </w:tr>
      <w:tr>
        <w:tc>
          <w:tcPr>
            <w:tcW w:type="dxa" w:w="1440"/>
            <w:vAlign w:val="center"/>
            <w:tcMar>
              <w:top w:w="70" w:type="dxa"/>
              <w:start w:w="90" w:type="dxa"/>
              <w:bottom w:w="70" w:type="dxa"/>
              <w:end w:w="90" w:type="dxa"/>
            </w:tcMar>
          </w:tcPr>
          <w:p>
            <w:pPr>
              <w:spacing w:after="0"/>
            </w:pPr>
            <w:r>
              <w:rPr>
                <w:sz w:val="15"/>
              </w:rPr>
              <w:t>Unit</w:t>
            </w:r>
          </w:p>
        </w:tc>
        <w:tc>
          <w:tcPr>
            <w:tcW w:type="dxa" w:w="4896"/>
            <w:vAlign w:val="center"/>
            <w:tcMar>
              <w:top w:w="70" w:type="dxa"/>
              <w:start w:w="90" w:type="dxa"/>
              <w:bottom w:w="70" w:type="dxa"/>
              <w:end w:w="90" w:type="dxa"/>
            </w:tcMar>
          </w:tcPr>
          <w:p>
            <w:pPr>
              <w:spacing w:after="0"/>
            </w:pPr>
            <w:r>
              <w:rPr>
                <w:sz w:val="15"/>
              </w:rPr>
              <w:t>Test isolated functions and modules.</w:t>
            </w:r>
          </w:p>
        </w:tc>
        <w:tc>
          <w:tcPr>
            <w:tcW w:type="dxa" w:w="3168"/>
            <w:vAlign w:val="center"/>
            <w:tcMar>
              <w:top w:w="70" w:type="dxa"/>
              <w:start w:w="90" w:type="dxa"/>
              <w:bottom w:w="70" w:type="dxa"/>
              <w:end w:w="90" w:type="dxa"/>
            </w:tcMar>
          </w:tcPr>
          <w:p>
            <w:pPr>
              <w:spacing w:after="0"/>
            </w:pPr>
            <w:r>
              <w:rPr>
                <w:sz w:val="15"/>
              </w:rPr>
              <w:t>Usually Vitest/Jest; not Playwright’s core role.</w:t>
            </w:r>
          </w:p>
        </w:tc>
      </w:tr>
      <w:tr>
        <w:tc>
          <w:tcPr>
            <w:tcW w:type="dxa" w:w="1440"/>
            <w:vAlign w:val="center"/>
            <w:tcMar>
              <w:top w:w="70" w:type="dxa"/>
              <w:start w:w="90" w:type="dxa"/>
              <w:bottom w:w="70" w:type="dxa"/>
              <w:end w:w="90" w:type="dxa"/>
            </w:tcMar>
          </w:tcPr>
          <w:p>
            <w:pPr>
              <w:spacing w:after="0"/>
            </w:pPr>
            <w:r>
              <w:rPr>
                <w:sz w:val="15"/>
              </w:rPr>
              <w:t>Component</w:t>
            </w:r>
          </w:p>
        </w:tc>
        <w:tc>
          <w:tcPr>
            <w:tcW w:type="dxa" w:w="4896"/>
            <w:vAlign w:val="center"/>
            <w:tcMar>
              <w:top w:w="70" w:type="dxa"/>
              <w:start w:w="90" w:type="dxa"/>
              <w:bottom w:w="70" w:type="dxa"/>
              <w:end w:w="90" w:type="dxa"/>
            </w:tcMar>
          </w:tcPr>
          <w:p>
            <w:pPr>
              <w:spacing w:after="0"/>
            </w:pPr>
            <w:r>
              <w:rPr>
                <w:sz w:val="15"/>
              </w:rPr>
              <w:t>Test a UI component in a browser.</w:t>
            </w:r>
          </w:p>
        </w:tc>
        <w:tc>
          <w:tcPr>
            <w:tcW w:type="dxa" w:w="3168"/>
            <w:vAlign w:val="center"/>
            <w:tcMar>
              <w:top w:w="70" w:type="dxa"/>
              <w:start w:w="90" w:type="dxa"/>
              <w:bottom w:w="70" w:type="dxa"/>
              <w:end w:w="90" w:type="dxa"/>
            </w:tcMar>
          </w:tcPr>
          <w:p>
            <w:pPr>
              <w:spacing w:after="0"/>
            </w:pPr>
            <w:r>
              <w:rPr>
                <w:sz w:val="15"/>
              </w:rPr>
              <w:t>Supported by Playwright Component Testing for supported setups.</w:t>
            </w:r>
          </w:p>
        </w:tc>
      </w:tr>
      <w:tr>
        <w:tc>
          <w:tcPr>
            <w:tcW w:type="dxa" w:w="1440"/>
            <w:vAlign w:val="center"/>
            <w:tcMar>
              <w:top w:w="70" w:type="dxa"/>
              <w:start w:w="90" w:type="dxa"/>
              <w:bottom w:w="70" w:type="dxa"/>
              <w:end w:w="90" w:type="dxa"/>
            </w:tcMar>
          </w:tcPr>
          <w:p>
            <w:pPr>
              <w:spacing w:after="0"/>
            </w:pPr>
            <w:r>
              <w:rPr>
                <w:sz w:val="15"/>
              </w:rPr>
              <w:t>API</w:t>
            </w:r>
          </w:p>
        </w:tc>
        <w:tc>
          <w:tcPr>
            <w:tcW w:type="dxa" w:w="4896"/>
            <w:vAlign w:val="center"/>
            <w:tcMar>
              <w:top w:w="70" w:type="dxa"/>
              <w:start w:w="90" w:type="dxa"/>
              <w:bottom w:w="70" w:type="dxa"/>
              <w:end w:w="90" w:type="dxa"/>
            </w:tcMar>
          </w:tcPr>
          <w:p>
            <w:pPr>
              <w:spacing w:after="0"/>
            </w:pPr>
            <w:r>
              <w:rPr>
                <w:sz w:val="15"/>
              </w:rPr>
              <w:t>Check status, headers, response bodies, errors and authentication.</w:t>
            </w:r>
          </w:p>
        </w:tc>
        <w:tc>
          <w:tcPr>
            <w:tcW w:type="dxa" w:w="3168"/>
            <w:vAlign w:val="center"/>
            <w:tcMar>
              <w:top w:w="70" w:type="dxa"/>
              <w:start w:w="90" w:type="dxa"/>
              <w:bottom w:w="70" w:type="dxa"/>
              <w:end w:w="90" w:type="dxa"/>
            </w:tcMar>
          </w:tcPr>
          <w:p>
            <w:pPr>
              <w:spacing w:after="0"/>
            </w:pPr>
            <w:r>
              <w:rPr>
                <w:sz w:val="15"/>
              </w:rPr>
              <w:t>Supported via APIRequestContext.</w:t>
            </w:r>
          </w:p>
        </w:tc>
      </w:tr>
      <w:tr>
        <w:tc>
          <w:tcPr>
            <w:tcW w:type="dxa" w:w="1440"/>
            <w:vAlign w:val="center"/>
            <w:tcMar>
              <w:top w:w="70" w:type="dxa"/>
              <w:start w:w="90" w:type="dxa"/>
              <w:bottom w:w="70" w:type="dxa"/>
              <w:end w:w="90" w:type="dxa"/>
            </w:tcMar>
          </w:tcPr>
          <w:p>
            <w:pPr>
              <w:spacing w:after="0"/>
            </w:pPr>
            <w:r>
              <w:rPr>
                <w:sz w:val="15"/>
              </w:rPr>
              <w:t>Integration</w:t>
            </w:r>
          </w:p>
        </w:tc>
        <w:tc>
          <w:tcPr>
            <w:tcW w:type="dxa" w:w="4896"/>
            <w:vAlign w:val="center"/>
            <w:tcMar>
              <w:top w:w="70" w:type="dxa"/>
              <w:start w:w="90" w:type="dxa"/>
              <w:bottom w:w="70" w:type="dxa"/>
              <w:end w:w="90" w:type="dxa"/>
            </w:tcMar>
          </w:tcPr>
          <w:p>
            <w:pPr>
              <w:spacing w:after="0"/>
            </w:pPr>
            <w:r>
              <w:rPr>
                <w:sz w:val="15"/>
              </w:rPr>
              <w:t>Check frontend/backend, database-backed behavior, services and contracts together.</w:t>
            </w:r>
          </w:p>
        </w:tc>
        <w:tc>
          <w:tcPr>
            <w:tcW w:type="dxa" w:w="3168"/>
            <w:vAlign w:val="center"/>
            <w:tcMar>
              <w:top w:w="70" w:type="dxa"/>
              <w:start w:w="90" w:type="dxa"/>
              <w:bottom w:w="70" w:type="dxa"/>
              <w:end w:w="90" w:type="dxa"/>
            </w:tcMar>
          </w:tcPr>
          <w:p>
            <w:pPr>
              <w:spacing w:after="0"/>
            </w:pPr>
            <w:r>
              <w:rPr>
                <w:sz w:val="15"/>
              </w:rPr>
              <w:t>Strong for observable integration; direct DB/schema checks need additional setup/tools.</w:t>
            </w:r>
          </w:p>
        </w:tc>
      </w:tr>
      <w:tr>
        <w:tc>
          <w:tcPr>
            <w:tcW w:type="dxa" w:w="1440"/>
            <w:vAlign w:val="center"/>
            <w:tcMar>
              <w:top w:w="70" w:type="dxa"/>
              <w:start w:w="90" w:type="dxa"/>
              <w:bottom w:w="70" w:type="dxa"/>
              <w:end w:w="90" w:type="dxa"/>
            </w:tcMar>
          </w:tcPr>
          <w:p>
            <w:pPr>
              <w:spacing w:after="0"/>
            </w:pPr>
            <w:r>
              <w:rPr>
                <w:sz w:val="15"/>
              </w:rPr>
              <w:t>E2E</w:t>
            </w:r>
          </w:p>
        </w:tc>
        <w:tc>
          <w:tcPr>
            <w:tcW w:type="dxa" w:w="4896"/>
            <w:vAlign w:val="center"/>
            <w:tcMar>
              <w:top w:w="70" w:type="dxa"/>
              <w:start w:w="90" w:type="dxa"/>
              <w:bottom w:w="70" w:type="dxa"/>
              <w:end w:w="90" w:type="dxa"/>
            </w:tcMar>
          </w:tcPr>
          <w:p>
            <w:pPr>
              <w:spacing w:after="0"/>
            </w:pPr>
            <w:r>
              <w:rPr>
                <w:sz w:val="15"/>
              </w:rPr>
              <w:t>Exercise complete journeys across UI, APIs and connected services.</w:t>
            </w:r>
          </w:p>
        </w:tc>
        <w:tc>
          <w:tcPr>
            <w:tcW w:type="dxa" w:w="3168"/>
            <w:vAlign w:val="center"/>
            <w:tcMar>
              <w:top w:w="70" w:type="dxa"/>
              <w:start w:w="90" w:type="dxa"/>
              <w:bottom w:w="70" w:type="dxa"/>
              <w:end w:w="90" w:type="dxa"/>
            </w:tcMar>
          </w:tcPr>
          <w:p>
            <w:pPr>
              <w:spacing w:after="0"/>
            </w:pPr>
            <w:r>
              <w:rPr>
                <w:sz w:val="15"/>
              </w:rPr>
              <w:t>One of Playwright’s primary strengths.</w:t>
            </w:r>
          </w:p>
        </w:tc>
      </w:tr>
    </w:tbl>
    <w:p>
      <w:pPr>
        <w:spacing w:after="0"/>
      </w:pPr>
    </w:p>
    <w:p>
      <w:pPr>
        <w:pStyle w:val="Heading2"/>
      </w:pPr>
      <w:r>
        <w:t>4. End-to-end testing</w:t>
      </w:r>
    </w:p>
    <w:p>
      <w:r>
        <w:t>E2E tests verify complete user journeys, such as registration → login → create an order → payment → confirmation. They catch failures at the boundaries between components, but are slower and more expensive to debug than focused tests. Keep them representative rather than using E2E tests for every tiny rule.</w:t>
      </w:r>
    </w:p>
    <w:p>
      <w:pPr>
        <w:pStyle w:val="Heading2"/>
      </w:pPr>
      <w:r>
        <w:t>5. Security testing</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232"/>
            <w:shd w:fill="D9EAF7"/>
            <w:vAlign w:val="center"/>
            <w:tcMar>
              <w:top w:w="70" w:type="dxa"/>
              <w:start w:w="90" w:type="dxa"/>
              <w:bottom w:w="70" w:type="dxa"/>
              <w:end w:w="90" w:type="dxa"/>
            </w:tcMar>
          </w:tcPr>
          <w:p>
            <w:pPr>
              <w:spacing w:after="0"/>
            </w:pPr>
            <w:r>
              <w:rPr>
                <w:b/>
                <w:color w:val="17365D"/>
                <w:sz w:val="16"/>
              </w:rPr>
              <w:t>Area</w:t>
            </w:r>
          </w:p>
        </w:tc>
        <w:tc>
          <w:tcPr>
            <w:tcW w:type="dxa" w:w="7272"/>
            <w:shd w:fill="D9EAF7"/>
            <w:vAlign w:val="center"/>
            <w:tcMar>
              <w:top w:w="70" w:type="dxa"/>
              <w:start w:w="90" w:type="dxa"/>
              <w:bottom w:w="70" w:type="dxa"/>
              <w:end w:w="90" w:type="dxa"/>
            </w:tcMar>
          </w:tcPr>
          <w:p>
            <w:pPr>
              <w:spacing w:after="0"/>
            </w:pPr>
            <w:r>
              <w:rPr>
                <w:b/>
                <w:color w:val="17365D"/>
                <w:sz w:val="16"/>
              </w:rPr>
              <w:t>What to verify</w:t>
            </w:r>
          </w:p>
        </w:tc>
      </w:tr>
      <w:tr>
        <w:tc>
          <w:tcPr>
            <w:tcW w:type="dxa" w:w="2232"/>
            <w:vAlign w:val="center"/>
            <w:tcMar>
              <w:top w:w="70" w:type="dxa"/>
              <w:start w:w="90" w:type="dxa"/>
              <w:bottom w:w="70" w:type="dxa"/>
              <w:end w:w="90" w:type="dxa"/>
            </w:tcMar>
          </w:tcPr>
          <w:p>
            <w:pPr>
              <w:spacing w:after="0"/>
            </w:pPr>
            <w:r>
              <w:rPr>
                <w:sz w:val="16"/>
              </w:rPr>
              <w:t>Injection</w:t>
            </w:r>
          </w:p>
        </w:tc>
        <w:tc>
          <w:tcPr>
            <w:tcW w:type="dxa" w:w="7272"/>
            <w:vAlign w:val="center"/>
            <w:tcMar>
              <w:top w:w="70" w:type="dxa"/>
              <w:start w:w="90" w:type="dxa"/>
              <w:bottom w:w="70" w:type="dxa"/>
              <w:end w:w="90" w:type="dxa"/>
            </w:tcMar>
          </w:tcPr>
          <w:p>
            <w:pPr>
              <w:spacing w:after="0"/>
            </w:pPr>
            <w:r>
              <w:rPr>
                <w:sz w:val="16"/>
              </w:rPr>
              <w:t>SQL injection, XSS, command injection, template injection and unsafe HTML handling.</w:t>
            </w:r>
          </w:p>
        </w:tc>
      </w:tr>
      <w:tr>
        <w:tc>
          <w:tcPr>
            <w:tcW w:type="dxa" w:w="2232"/>
            <w:vAlign w:val="center"/>
            <w:tcMar>
              <w:top w:w="70" w:type="dxa"/>
              <w:start w:w="90" w:type="dxa"/>
              <w:bottom w:w="70" w:type="dxa"/>
              <w:end w:w="90" w:type="dxa"/>
            </w:tcMar>
          </w:tcPr>
          <w:p>
            <w:pPr>
              <w:spacing w:after="0"/>
            </w:pPr>
            <w:r>
              <w:rPr>
                <w:sz w:val="16"/>
              </w:rPr>
              <w:t>Identity and access</w:t>
            </w:r>
          </w:p>
        </w:tc>
        <w:tc>
          <w:tcPr>
            <w:tcW w:type="dxa" w:w="7272"/>
            <w:vAlign w:val="center"/>
            <w:tcMar>
              <w:top w:w="70" w:type="dxa"/>
              <w:start w:w="90" w:type="dxa"/>
              <w:bottom w:w="70" w:type="dxa"/>
              <w:end w:w="90" w:type="dxa"/>
            </w:tcMar>
          </w:tcPr>
          <w:p>
            <w:pPr>
              <w:spacing w:after="0"/>
            </w:pPr>
            <w:r>
              <w:rPr>
                <w:sz w:val="16"/>
              </w:rPr>
              <w:t>Authentication bypass, authorization, ownership checks and privilege escalation.</w:t>
            </w:r>
          </w:p>
        </w:tc>
      </w:tr>
      <w:tr>
        <w:tc>
          <w:tcPr>
            <w:tcW w:type="dxa" w:w="2232"/>
            <w:vAlign w:val="center"/>
            <w:tcMar>
              <w:top w:w="70" w:type="dxa"/>
              <w:start w:w="90" w:type="dxa"/>
              <w:bottom w:w="70" w:type="dxa"/>
              <w:end w:w="90" w:type="dxa"/>
            </w:tcMar>
          </w:tcPr>
          <w:p>
            <w:pPr>
              <w:spacing w:after="0"/>
            </w:pPr>
            <w:r>
              <w:rPr>
                <w:sz w:val="16"/>
              </w:rPr>
              <w:t>Web security controls</w:t>
            </w:r>
          </w:p>
        </w:tc>
        <w:tc>
          <w:tcPr>
            <w:tcW w:type="dxa" w:w="7272"/>
            <w:vAlign w:val="center"/>
            <w:tcMar>
              <w:top w:w="70" w:type="dxa"/>
              <w:start w:w="90" w:type="dxa"/>
              <w:bottom w:w="70" w:type="dxa"/>
              <w:end w:w="90" w:type="dxa"/>
            </w:tcMar>
          </w:tcPr>
          <w:p>
            <w:pPr>
              <w:spacing w:after="0"/>
            </w:pPr>
            <w:r>
              <w:rPr>
                <w:sz w:val="16"/>
              </w:rPr>
              <w:t>CSRF, CORS, cookie attributes, session invalidation, frame restrictions and security headers.</w:t>
            </w:r>
          </w:p>
        </w:tc>
      </w:tr>
      <w:tr>
        <w:tc>
          <w:tcPr>
            <w:tcW w:type="dxa" w:w="2232"/>
            <w:vAlign w:val="center"/>
            <w:tcMar>
              <w:top w:w="70" w:type="dxa"/>
              <w:start w:w="90" w:type="dxa"/>
              <w:bottom w:w="70" w:type="dxa"/>
              <w:end w:w="90" w:type="dxa"/>
            </w:tcMar>
          </w:tcPr>
          <w:p>
            <w:pPr>
              <w:spacing w:after="0"/>
            </w:pPr>
            <w:r>
              <w:rPr>
                <w:sz w:val="16"/>
              </w:rPr>
              <w:t>Abuse and data exposure</w:t>
            </w:r>
          </w:p>
        </w:tc>
        <w:tc>
          <w:tcPr>
            <w:tcW w:type="dxa" w:w="7272"/>
            <w:vAlign w:val="center"/>
            <w:tcMar>
              <w:top w:w="70" w:type="dxa"/>
              <w:start w:w="90" w:type="dxa"/>
              <w:bottom w:w="70" w:type="dxa"/>
              <w:end w:w="90" w:type="dxa"/>
            </w:tcMar>
          </w:tcPr>
          <w:p>
            <w:pPr>
              <w:spacing w:after="0"/>
            </w:pPr>
            <w:r>
              <w:rPr>
                <w:sz w:val="16"/>
              </w:rPr>
              <w:t>Rate limits, sensitive-data leakage, file-upload restrictions and business-logic abuse.</w:t>
            </w:r>
          </w:p>
        </w:tc>
      </w:tr>
    </w:tbl>
    <w:p>
      <w:pPr>
        <w:spacing w:after="0"/>
      </w:pPr>
    </w:p>
    <w:p>
      <w:r>
        <w:t>Playwright can submit controlled payloads and inspect observable results. A passing browser assertion does not prove the backend is free of vulnerabilities. Use authorized test environments and supplement with DAST (e.g., OWASP ZAP/Burp Suite), SAST (e.g., Semgrep/CodeQL), dependency scanning, and server/database evidence.</w:t>
      </w:r>
    </w:p>
    <w:p>
      <w:pPr>
        <w:pStyle w:val="Heading2"/>
      </w:pPr>
      <w:r>
        <w:t>6. Performance, reliability and resilience</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160"/>
            <w:shd w:fill="D9EAF7"/>
            <w:vAlign w:val="center"/>
            <w:tcMar>
              <w:top w:w="70" w:type="dxa"/>
              <w:start w:w="90" w:type="dxa"/>
              <w:bottom w:w="70" w:type="dxa"/>
              <w:end w:w="90" w:type="dxa"/>
            </w:tcMar>
          </w:tcPr>
          <w:p>
            <w:pPr>
              <w:spacing w:after="0"/>
            </w:pPr>
            <w:r>
              <w:rPr>
                <w:b/>
                <w:color w:val="17365D"/>
                <w:sz w:val="15"/>
              </w:rPr>
              <w:t>Type</w:t>
            </w:r>
          </w:p>
        </w:tc>
        <w:tc>
          <w:tcPr>
            <w:tcW w:type="dxa" w:w="4968"/>
            <w:shd w:fill="D9EAF7"/>
            <w:vAlign w:val="center"/>
            <w:tcMar>
              <w:top w:w="70" w:type="dxa"/>
              <w:start w:w="90" w:type="dxa"/>
              <w:bottom w:w="70" w:type="dxa"/>
              <w:end w:w="90" w:type="dxa"/>
            </w:tcMar>
          </w:tcPr>
          <w:p>
            <w:pPr>
              <w:spacing w:after="0"/>
            </w:pPr>
            <w:r>
              <w:rPr>
                <w:b/>
                <w:color w:val="17365D"/>
                <w:sz w:val="15"/>
              </w:rPr>
              <w:t>Purpose</w:t>
            </w:r>
          </w:p>
        </w:tc>
        <w:tc>
          <w:tcPr>
            <w:tcW w:type="dxa" w:w="2376"/>
            <w:shd w:fill="D9EAF7"/>
            <w:vAlign w:val="center"/>
            <w:tcMar>
              <w:top w:w="70" w:type="dxa"/>
              <w:start w:w="90" w:type="dxa"/>
              <w:bottom w:w="70" w:type="dxa"/>
              <w:end w:w="90" w:type="dxa"/>
            </w:tcMar>
          </w:tcPr>
          <w:p>
            <w:pPr>
              <w:spacing w:after="0"/>
            </w:pPr>
            <w:r>
              <w:rPr>
                <w:b/>
                <w:color w:val="17365D"/>
                <w:sz w:val="15"/>
              </w:rPr>
              <w:t>Tool fit</w:t>
            </w:r>
          </w:p>
        </w:tc>
      </w:tr>
      <w:tr>
        <w:tc>
          <w:tcPr>
            <w:tcW w:type="dxa" w:w="2160"/>
            <w:vAlign w:val="center"/>
            <w:tcMar>
              <w:top w:w="70" w:type="dxa"/>
              <w:start w:w="90" w:type="dxa"/>
              <w:bottom w:w="70" w:type="dxa"/>
              <w:end w:w="90" w:type="dxa"/>
            </w:tcMar>
          </w:tcPr>
          <w:p>
            <w:pPr>
              <w:spacing w:after="0"/>
            </w:pPr>
            <w:r>
              <w:rPr>
                <w:sz w:val="15"/>
              </w:rPr>
              <w:t>Browser performance</w:t>
            </w:r>
          </w:p>
        </w:tc>
        <w:tc>
          <w:tcPr>
            <w:tcW w:type="dxa" w:w="4968"/>
            <w:vAlign w:val="center"/>
            <w:tcMar>
              <w:top w:w="70" w:type="dxa"/>
              <w:start w:w="90" w:type="dxa"/>
              <w:bottom w:w="70" w:type="dxa"/>
              <w:end w:w="90" w:type="dxa"/>
            </w:tcMar>
          </w:tcPr>
          <w:p>
            <w:pPr>
              <w:spacing w:after="0"/>
            </w:pPr>
            <w:r>
              <w:rPr>
                <w:sz w:val="15"/>
              </w:rPr>
              <w:t>Page readiness, resource timing, Web Vitals, rendering, long tasks and performance regressions.</w:t>
            </w:r>
          </w:p>
        </w:tc>
        <w:tc>
          <w:tcPr>
            <w:tcW w:type="dxa" w:w="2376"/>
            <w:vAlign w:val="center"/>
            <w:tcMar>
              <w:top w:w="70" w:type="dxa"/>
              <w:start w:w="90" w:type="dxa"/>
              <w:bottom w:w="70" w:type="dxa"/>
              <w:end w:w="90" w:type="dxa"/>
            </w:tcMar>
          </w:tcPr>
          <w:p>
            <w:pPr>
              <w:spacing w:after="0"/>
            </w:pPr>
            <w:r>
              <w:rPr>
                <w:sz w:val="15"/>
              </w:rPr>
              <w:t>Playwright + browser performance APIs; define repeatable conditions.</w:t>
            </w:r>
          </w:p>
        </w:tc>
      </w:tr>
      <w:tr>
        <w:tc>
          <w:tcPr>
            <w:tcW w:type="dxa" w:w="2160"/>
            <w:vAlign w:val="center"/>
            <w:tcMar>
              <w:top w:w="70" w:type="dxa"/>
              <w:start w:w="90" w:type="dxa"/>
              <w:bottom w:w="70" w:type="dxa"/>
              <w:end w:w="90" w:type="dxa"/>
            </w:tcMar>
          </w:tcPr>
          <w:p>
            <w:pPr>
              <w:spacing w:after="0"/>
            </w:pPr>
            <w:r>
              <w:rPr>
                <w:sz w:val="15"/>
              </w:rPr>
              <w:t>Load / stress / spike / soak</w:t>
            </w:r>
          </w:p>
        </w:tc>
        <w:tc>
          <w:tcPr>
            <w:tcW w:type="dxa" w:w="4968"/>
            <w:vAlign w:val="center"/>
            <w:tcMar>
              <w:top w:w="70" w:type="dxa"/>
              <w:start w:w="90" w:type="dxa"/>
              <w:bottom w:w="70" w:type="dxa"/>
              <w:end w:w="90" w:type="dxa"/>
            </w:tcMar>
          </w:tcPr>
          <w:p>
            <w:pPr>
              <w:spacing w:after="0"/>
            </w:pPr>
            <w:r>
              <w:rPr>
                <w:sz w:val="15"/>
              </w:rPr>
              <w:t>Measure throughput and behavior under volume, overload, sudden surges or sustained load.</w:t>
            </w:r>
          </w:p>
        </w:tc>
        <w:tc>
          <w:tcPr>
            <w:tcW w:type="dxa" w:w="2376"/>
            <w:vAlign w:val="center"/>
            <w:tcMar>
              <w:top w:w="70" w:type="dxa"/>
              <w:start w:w="90" w:type="dxa"/>
              <w:bottom w:w="70" w:type="dxa"/>
              <w:end w:w="90" w:type="dxa"/>
            </w:tcMar>
          </w:tcPr>
          <w:p>
            <w:pPr>
              <w:spacing w:after="0"/>
            </w:pPr>
            <w:r>
              <w:rPr>
                <w:sz w:val="15"/>
              </w:rPr>
              <w:t>Use k6, Locust or JMeter; Playwright is not a high-throughput load generator.</w:t>
            </w:r>
          </w:p>
        </w:tc>
      </w:tr>
      <w:tr>
        <w:tc>
          <w:tcPr>
            <w:tcW w:type="dxa" w:w="2160"/>
            <w:vAlign w:val="center"/>
            <w:tcMar>
              <w:top w:w="70" w:type="dxa"/>
              <w:start w:w="90" w:type="dxa"/>
              <w:bottom w:w="70" w:type="dxa"/>
              <w:end w:w="90" w:type="dxa"/>
            </w:tcMar>
          </w:tcPr>
          <w:p>
            <w:pPr>
              <w:spacing w:after="0"/>
            </w:pPr>
            <w:r>
              <w:rPr>
                <w:sz w:val="15"/>
              </w:rPr>
              <w:t>Fault injection / recovery</w:t>
            </w:r>
          </w:p>
        </w:tc>
        <w:tc>
          <w:tcPr>
            <w:tcW w:type="dxa" w:w="4968"/>
            <w:vAlign w:val="center"/>
            <w:tcMar>
              <w:top w:w="70" w:type="dxa"/>
              <w:start w:w="90" w:type="dxa"/>
              <w:bottom w:w="70" w:type="dxa"/>
              <w:end w:w="90" w:type="dxa"/>
            </w:tcMar>
          </w:tcPr>
          <w:p>
            <w:pPr>
              <w:spacing w:after="0"/>
            </w:pPr>
            <w:r>
              <w:rPr>
                <w:sz w:val="15"/>
              </w:rPr>
              <w:t>Introduce controlled API/network failures; verify retry and recovery behavior.</w:t>
            </w:r>
          </w:p>
        </w:tc>
        <w:tc>
          <w:tcPr>
            <w:tcW w:type="dxa" w:w="2376"/>
            <w:vAlign w:val="center"/>
            <w:tcMar>
              <w:top w:w="70" w:type="dxa"/>
              <w:start w:w="90" w:type="dxa"/>
              <w:bottom w:w="70" w:type="dxa"/>
              <w:end w:w="90" w:type="dxa"/>
            </w:tcMar>
          </w:tcPr>
          <w:p>
            <w:pPr>
              <w:spacing w:after="0"/>
            </w:pPr>
            <w:r>
              <w:rPr>
                <w:sz w:val="15"/>
              </w:rPr>
              <w:t>Playwright can mock routes; infrastructure faults need specialized tooling.</w:t>
            </w:r>
          </w:p>
        </w:tc>
      </w:tr>
      <w:tr>
        <w:tc>
          <w:tcPr>
            <w:tcW w:type="dxa" w:w="2160"/>
            <w:vAlign w:val="center"/>
            <w:tcMar>
              <w:top w:w="70" w:type="dxa"/>
              <w:start w:w="90" w:type="dxa"/>
              <w:bottom w:w="70" w:type="dxa"/>
              <w:end w:w="90" w:type="dxa"/>
            </w:tcMar>
          </w:tcPr>
          <w:p>
            <w:pPr>
              <w:spacing w:after="0"/>
            </w:pPr>
            <w:r>
              <w:rPr>
                <w:sz w:val="15"/>
              </w:rPr>
              <w:t>Race / concurrency</w:t>
            </w:r>
          </w:p>
        </w:tc>
        <w:tc>
          <w:tcPr>
            <w:tcW w:type="dxa" w:w="4968"/>
            <w:vAlign w:val="center"/>
            <w:tcMar>
              <w:top w:w="70" w:type="dxa"/>
              <w:start w:w="90" w:type="dxa"/>
              <w:bottom w:w="70" w:type="dxa"/>
              <w:end w:w="90" w:type="dxa"/>
            </w:tcMar>
          </w:tcPr>
          <w:p>
            <w:pPr>
              <w:spacing w:after="0"/>
            </w:pPr>
            <w:r>
              <w:rPr>
                <w:sz w:val="15"/>
              </w:rPr>
              <w:t>Detect duplicate submissions, overlapping updates and timing-sensitive defects.</w:t>
            </w:r>
          </w:p>
        </w:tc>
        <w:tc>
          <w:tcPr>
            <w:tcW w:type="dxa" w:w="2376"/>
            <w:vAlign w:val="center"/>
            <w:tcMar>
              <w:top w:w="70" w:type="dxa"/>
              <w:start w:w="90" w:type="dxa"/>
              <w:bottom w:w="70" w:type="dxa"/>
              <w:end w:w="90" w:type="dxa"/>
            </w:tcMar>
          </w:tcPr>
          <w:p>
            <w:pPr>
              <w:spacing w:after="0"/>
            </w:pPr>
            <w:r>
              <w:rPr>
                <w:sz w:val="15"/>
              </w:rPr>
              <w:t>Can coordinate browser/API actions; rigorous concurrency testing may need dedicated harnesses.</w:t>
            </w:r>
          </w:p>
        </w:tc>
      </w:tr>
    </w:tbl>
    <w:p>
      <w:pPr>
        <w:spacing w:after="0"/>
      </w:pPr>
    </w:p>
    <w:tbl>
      <w:tblPr>
        <w:tblW w:type="auto" w:w="0"/>
        <w:jc w:val="center"/>
        <w:tblLook w:firstColumn="1" w:firstRow="1" w:lastColumn="0" w:lastRow="0" w:noHBand="0" w:noVBand="1" w:val="04A0"/>
      </w:tblPr>
      <w:tblGrid>
        <w:gridCol w:w="10166"/>
      </w:tblGrid>
      <w:tr>
        <w:tc>
          <w:tcPr>
            <w:tcW w:type="dxa" w:w="10166"/>
            <w:shd w:fill="F2F5F8"/>
            <w:tcMar>
              <w:top w:w="110" w:type="dxa"/>
              <w:start w:w="140" w:type="dxa"/>
              <w:bottom w:w="110" w:type="dxa"/>
              <w:end w:w="140" w:type="dxa"/>
            </w:tcMar>
          </w:tcPr>
          <w:p>
            <w:pPr>
              <w:spacing w:after="0"/>
            </w:pPr>
            <w:r>
              <w:rPr>
                <w:b/>
                <w:color w:val="1F4E79"/>
              </w:rPr>
              <w:t xml:space="preserve">Scope boundary  </w:t>
            </w:r>
            <w:r>
              <w:t>Playwright can automate many checks across these families, but automation capability does not make it the best tool for every kind of testing.</w:t>
            </w:r>
          </w:p>
        </w:tc>
      </w:tr>
    </w:tbl>
    <w:p>
      <w:pPr>
        <w:spacing w:after="0"/>
      </w:pPr>
    </w:p>
    <w:p>
      <w:r>
        <w:br w:type="page"/>
      </w:r>
    </w:p>
    <w:p>
      <w:pPr>
        <w:spacing w:after="40"/>
      </w:pPr>
      <w:r>
        <w:rPr>
          <w:b/>
          <w:color w:val="5B6573"/>
          <w:sz w:val="16"/>
        </w:rPr>
        <w:t>03 / TEST DESIGN</w:t>
      </w:r>
    </w:p>
    <w:p>
      <w:pPr>
        <w:pStyle w:val="Heading1"/>
      </w:pPr>
      <w:r>
        <w:t>What can be combined in a single test?</w:t>
      </w:r>
    </w:p>
    <w:p>
      <w:pPr>
        <w:spacing w:after="120"/>
      </w:pPr>
      <w:r>
        <w:rPr>
          <w:i/>
          <w:color w:val="555555"/>
        </w:rPr>
        <w:t>Classify a test by its main scenario, then record the relevant secondary dimensions.</w:t>
      </w:r>
    </w:p>
    <w:p>
      <w:pPr>
        <w:pStyle w:val="Heading2"/>
      </w:pPr>
      <w:r>
        <w:t>A practical example: invalid registration email</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376"/>
            <w:shd w:fill="D9EAF7"/>
            <w:vAlign w:val="center"/>
            <w:tcMar>
              <w:top w:w="70" w:type="dxa"/>
              <w:start w:w="90" w:type="dxa"/>
              <w:bottom w:w="70" w:type="dxa"/>
              <w:end w:w="90" w:type="dxa"/>
            </w:tcMar>
          </w:tcPr>
          <w:p>
            <w:pPr>
              <w:spacing w:after="0"/>
            </w:pPr>
            <w:r>
              <w:rPr>
                <w:b/>
                <w:color w:val="17365D"/>
                <w:sz w:val="15"/>
              </w:rPr>
              <w:t>Arrange</w:t>
            </w:r>
          </w:p>
        </w:tc>
        <w:tc>
          <w:tcPr>
            <w:tcW w:type="dxa" w:w="2376"/>
            <w:shd w:fill="D9EAF7"/>
            <w:vAlign w:val="center"/>
            <w:tcMar>
              <w:top w:w="70" w:type="dxa"/>
              <w:start w:w="90" w:type="dxa"/>
              <w:bottom w:w="70" w:type="dxa"/>
              <w:end w:w="90" w:type="dxa"/>
            </w:tcMar>
          </w:tcPr>
          <w:p>
            <w:pPr>
              <w:spacing w:after="0"/>
            </w:pPr>
            <w:r>
              <w:rPr>
                <w:b/>
                <w:color w:val="17365D"/>
                <w:sz w:val="15"/>
              </w:rPr>
              <w:t>Act</w:t>
            </w:r>
          </w:p>
        </w:tc>
        <w:tc>
          <w:tcPr>
            <w:tcW w:type="dxa" w:w="2376"/>
            <w:shd w:fill="D9EAF7"/>
            <w:vAlign w:val="center"/>
            <w:tcMar>
              <w:top w:w="70" w:type="dxa"/>
              <w:start w:w="90" w:type="dxa"/>
              <w:bottom w:w="70" w:type="dxa"/>
              <w:end w:w="90" w:type="dxa"/>
            </w:tcMar>
          </w:tcPr>
          <w:p>
            <w:pPr>
              <w:spacing w:after="0"/>
            </w:pPr>
            <w:r>
              <w:rPr>
                <w:b/>
                <w:color w:val="17365D"/>
                <w:sz w:val="15"/>
              </w:rPr>
              <w:t>Assert</w:t>
            </w:r>
          </w:p>
        </w:tc>
        <w:tc>
          <w:tcPr>
            <w:tcW w:type="dxa" w:w="2376"/>
            <w:shd w:fill="D9EAF7"/>
            <w:vAlign w:val="center"/>
            <w:tcMar>
              <w:top w:w="70" w:type="dxa"/>
              <w:start w:w="90" w:type="dxa"/>
              <w:bottom w:w="70" w:type="dxa"/>
              <w:end w:w="90" w:type="dxa"/>
            </w:tcMar>
          </w:tcPr>
          <w:p>
            <w:pPr>
              <w:spacing w:after="0"/>
            </w:pPr>
            <w:r>
              <w:rPr>
                <w:b/>
                <w:color w:val="17365D"/>
                <w:sz w:val="15"/>
              </w:rPr>
              <w:t>Optional deeper check</w:t>
            </w:r>
          </w:p>
        </w:tc>
      </w:tr>
      <w:tr>
        <w:tc>
          <w:tcPr>
            <w:tcW w:type="dxa" w:w="2376"/>
            <w:vAlign w:val="center"/>
            <w:tcMar>
              <w:top w:w="70" w:type="dxa"/>
              <w:start w:w="90" w:type="dxa"/>
              <w:bottom w:w="70" w:type="dxa"/>
              <w:end w:w="90" w:type="dxa"/>
            </w:tcMar>
          </w:tcPr>
          <w:p>
            <w:pPr>
              <w:spacing w:after="0"/>
            </w:pPr>
            <w:r>
              <w:rPr>
                <w:sz w:val="15"/>
              </w:rPr>
              <w:t>Open registration page; prepare valid values for other fields.</w:t>
            </w:r>
          </w:p>
        </w:tc>
        <w:tc>
          <w:tcPr>
            <w:tcW w:type="dxa" w:w="2376"/>
            <w:vAlign w:val="center"/>
            <w:tcMar>
              <w:top w:w="70" w:type="dxa"/>
              <w:start w:w="90" w:type="dxa"/>
              <w:bottom w:w="70" w:type="dxa"/>
              <w:end w:w="90" w:type="dxa"/>
            </w:tcMar>
          </w:tcPr>
          <w:p>
            <w:pPr>
              <w:spacing w:after="0"/>
            </w:pPr>
            <w:r>
              <w:rPr>
                <w:sz w:val="15"/>
              </w:rPr>
              <w:t>Enter malformed email and submit.</w:t>
            </w:r>
          </w:p>
        </w:tc>
        <w:tc>
          <w:tcPr>
            <w:tcW w:type="dxa" w:w="2376"/>
            <w:vAlign w:val="center"/>
            <w:tcMar>
              <w:top w:w="70" w:type="dxa"/>
              <w:start w:w="90" w:type="dxa"/>
              <w:bottom w:w="70" w:type="dxa"/>
              <w:end w:w="90" w:type="dxa"/>
            </w:tcMar>
          </w:tcPr>
          <w:p>
            <w:pPr>
              <w:spacing w:after="0"/>
            </w:pPr>
            <w:r>
              <w:rPr>
                <w:sz w:val="15"/>
              </w:rPr>
              <w:t>Correct field error appears; no successful navigation occurs.</w:t>
            </w:r>
          </w:p>
        </w:tc>
        <w:tc>
          <w:tcPr>
            <w:tcW w:type="dxa" w:w="2376"/>
            <w:vAlign w:val="center"/>
            <w:tcMar>
              <w:top w:w="70" w:type="dxa"/>
              <w:start w:w="90" w:type="dxa"/>
              <w:bottom w:w="70" w:type="dxa"/>
              <w:end w:w="90" w:type="dxa"/>
            </w:tcMar>
          </w:tcPr>
          <w:p>
            <w:pPr>
              <w:spacing w:after="0"/>
            </w:pPr>
            <w:r>
              <w:rPr>
                <w:sz w:val="15"/>
              </w:rPr>
              <w:t>Confirm API/database state was not changed if the scenario requires it.</w:t>
            </w:r>
          </w:p>
        </w:tc>
      </w:tr>
    </w:tbl>
    <w:p>
      <w:pPr>
        <w:spacing w:after="0"/>
      </w:pPr>
    </w:p>
    <w:p>
      <w:r>
        <w:t>This single test can be tagged as: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376"/>
            <w:shd w:fill="D9EAF7"/>
            <w:vAlign w:val="center"/>
            <w:tcMar>
              <w:top w:w="70" w:type="dxa"/>
              <w:start w:w="90" w:type="dxa"/>
              <w:bottom w:w="70" w:type="dxa"/>
              <w:end w:w="90" w:type="dxa"/>
            </w:tcMar>
          </w:tcPr>
          <w:p>
            <w:pPr>
              <w:spacing w:after="0"/>
            </w:pPr>
            <w:r>
              <w:rPr>
                <w:b/>
                <w:color w:val="17365D"/>
                <w:sz w:val="16"/>
              </w:rPr>
              <w:t>Primary scenario</w:t>
            </w:r>
          </w:p>
        </w:tc>
        <w:tc>
          <w:tcPr>
            <w:tcW w:type="dxa" w:w="7128"/>
            <w:shd w:fill="D9EAF7"/>
            <w:vAlign w:val="center"/>
            <w:tcMar>
              <w:top w:w="70" w:type="dxa"/>
              <w:start w:w="90" w:type="dxa"/>
              <w:bottom w:w="70" w:type="dxa"/>
              <w:end w:w="90" w:type="dxa"/>
            </w:tcMar>
          </w:tcPr>
          <w:p>
            <w:pPr>
              <w:spacing w:after="0"/>
            </w:pPr>
            <w:r>
              <w:rPr>
                <w:b/>
                <w:color w:val="17365D"/>
                <w:sz w:val="16"/>
              </w:rPr>
              <w:t>Secondary categories that overlap</w:t>
            </w:r>
          </w:p>
        </w:tc>
      </w:tr>
      <w:tr>
        <w:tc>
          <w:tcPr>
            <w:tcW w:type="dxa" w:w="2376"/>
            <w:vAlign w:val="center"/>
            <w:tcMar>
              <w:top w:w="70" w:type="dxa"/>
              <w:start w:w="90" w:type="dxa"/>
              <w:bottom w:w="70" w:type="dxa"/>
              <w:end w:w="90" w:type="dxa"/>
            </w:tcMar>
          </w:tcPr>
          <w:p>
            <w:pPr>
              <w:spacing w:after="0"/>
            </w:pPr>
            <w:r>
              <w:rPr>
                <w:sz w:val="16"/>
              </w:rPr>
              <w:t>Invalid email submission</w:t>
            </w:r>
          </w:p>
        </w:tc>
        <w:tc>
          <w:tcPr>
            <w:tcW w:type="dxa" w:w="7128"/>
            <w:vAlign w:val="center"/>
            <w:tcMar>
              <w:top w:w="70" w:type="dxa"/>
              <w:start w:w="90" w:type="dxa"/>
              <w:bottom w:w="70" w:type="dxa"/>
              <w:end w:w="90" w:type="dxa"/>
            </w:tcMar>
          </w:tcPr>
          <w:p>
            <w:pPr>
              <w:spacing w:after="0"/>
            </w:pPr>
            <w:r>
              <w:rPr>
                <w:sz w:val="16"/>
              </w:rPr>
              <w:t>Functional • Negative • Format validation • Field-error message • Form behavior • Accessibility (if checked)</w:t>
            </w:r>
          </w:p>
        </w:tc>
      </w:tr>
    </w:tbl>
    <w:p>
      <w:pPr>
        <w:spacing w:after="0"/>
      </w:pPr>
    </w:p>
    <w:p>
      <w:pPr>
        <w:pStyle w:val="Heading2"/>
      </w:pPr>
      <w:r>
        <w:t>Common combinations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880"/>
            <w:shd w:fill="D9EAF7"/>
            <w:vAlign w:val="center"/>
            <w:tcMar>
              <w:top w:w="70" w:type="dxa"/>
              <w:start w:w="90" w:type="dxa"/>
              <w:bottom w:w="70" w:type="dxa"/>
              <w:end w:w="90" w:type="dxa"/>
            </w:tcMar>
          </w:tcPr>
          <w:p>
            <w:pPr>
              <w:spacing w:after="0"/>
            </w:pPr>
            <w:r>
              <w:rPr>
                <w:b/>
                <w:color w:val="17365D"/>
                <w:sz w:val="15"/>
              </w:rPr>
              <w:t>Scenario</w:t>
            </w:r>
          </w:p>
        </w:tc>
        <w:tc>
          <w:tcPr>
            <w:tcW w:type="dxa" w:w="6624"/>
            <w:shd w:fill="D9EAF7"/>
            <w:vAlign w:val="center"/>
            <w:tcMar>
              <w:top w:w="70" w:type="dxa"/>
              <w:start w:w="90" w:type="dxa"/>
              <w:bottom w:w="70" w:type="dxa"/>
              <w:end w:w="90" w:type="dxa"/>
            </w:tcMar>
          </w:tcPr>
          <w:p>
            <w:pPr>
              <w:spacing w:after="0"/>
            </w:pPr>
            <w:r>
              <w:rPr>
                <w:b/>
                <w:color w:val="17365D"/>
                <w:sz w:val="15"/>
              </w:rPr>
              <w:t>Categories commonly combined</w:t>
            </w:r>
          </w:p>
        </w:tc>
      </w:tr>
      <w:tr>
        <w:tc>
          <w:tcPr>
            <w:tcW w:type="dxa" w:w="2880"/>
            <w:vAlign w:val="center"/>
            <w:tcMar>
              <w:top w:w="70" w:type="dxa"/>
              <w:start w:w="90" w:type="dxa"/>
              <w:bottom w:w="70" w:type="dxa"/>
              <w:end w:w="90" w:type="dxa"/>
            </w:tcMar>
          </w:tcPr>
          <w:p>
            <w:pPr>
              <w:spacing w:after="0"/>
            </w:pPr>
            <w:r>
              <w:rPr>
                <w:sz w:val="15"/>
              </w:rPr>
              <w:t>Valid login</w:t>
            </w:r>
          </w:p>
        </w:tc>
        <w:tc>
          <w:tcPr>
            <w:tcW w:type="dxa" w:w="6624"/>
            <w:vAlign w:val="center"/>
            <w:tcMar>
              <w:top w:w="70" w:type="dxa"/>
              <w:start w:w="90" w:type="dxa"/>
              <w:bottom w:w="70" w:type="dxa"/>
              <w:end w:w="90" w:type="dxa"/>
            </w:tcMar>
          </w:tcPr>
          <w:p>
            <w:pPr>
              <w:spacing w:after="0"/>
            </w:pPr>
            <w:r>
              <w:rPr>
                <w:sz w:val="15"/>
              </w:rPr>
              <w:t>Functional + positive + UI + authentication</w:t>
            </w:r>
          </w:p>
        </w:tc>
      </w:tr>
      <w:tr>
        <w:tc>
          <w:tcPr>
            <w:tcW w:type="dxa" w:w="2880"/>
            <w:vAlign w:val="center"/>
            <w:tcMar>
              <w:top w:w="70" w:type="dxa"/>
              <w:start w:w="90" w:type="dxa"/>
              <w:bottom w:w="70" w:type="dxa"/>
              <w:end w:w="90" w:type="dxa"/>
            </w:tcMar>
          </w:tcPr>
          <w:p>
            <w:pPr>
              <w:spacing w:after="0"/>
            </w:pPr>
            <w:r>
              <w:rPr>
                <w:sz w:val="15"/>
              </w:rPr>
              <w:t>Wrong password</w:t>
            </w:r>
          </w:p>
        </w:tc>
        <w:tc>
          <w:tcPr>
            <w:tcW w:type="dxa" w:w="6624"/>
            <w:vAlign w:val="center"/>
            <w:tcMar>
              <w:top w:w="70" w:type="dxa"/>
              <w:start w:w="90" w:type="dxa"/>
              <w:bottom w:w="70" w:type="dxa"/>
              <w:end w:w="90" w:type="dxa"/>
            </w:tcMar>
          </w:tcPr>
          <w:p>
            <w:pPr>
              <w:spacing w:after="0"/>
            </w:pPr>
            <w:r>
              <w:rPr>
                <w:sz w:val="15"/>
              </w:rPr>
              <w:t>Functional + negative + authentication + error handling</w:t>
            </w:r>
          </w:p>
        </w:tc>
      </w:tr>
      <w:tr>
        <w:tc>
          <w:tcPr>
            <w:tcW w:type="dxa" w:w="2880"/>
            <w:vAlign w:val="center"/>
            <w:tcMar>
              <w:top w:w="70" w:type="dxa"/>
              <w:start w:w="90" w:type="dxa"/>
              <w:bottom w:w="70" w:type="dxa"/>
              <w:end w:w="90" w:type="dxa"/>
            </w:tcMar>
          </w:tcPr>
          <w:p>
            <w:pPr>
              <w:spacing w:after="0"/>
            </w:pPr>
            <w:r>
              <w:rPr>
                <w:sz w:val="15"/>
              </w:rPr>
              <w:t>Empty required field</w:t>
            </w:r>
          </w:p>
        </w:tc>
        <w:tc>
          <w:tcPr>
            <w:tcW w:type="dxa" w:w="6624"/>
            <w:vAlign w:val="center"/>
            <w:tcMar>
              <w:top w:w="70" w:type="dxa"/>
              <w:start w:w="90" w:type="dxa"/>
              <w:bottom w:w="70" w:type="dxa"/>
              <w:end w:w="90" w:type="dxa"/>
            </w:tcMar>
          </w:tcPr>
          <w:p>
            <w:pPr>
              <w:spacing w:after="0"/>
            </w:pPr>
            <w:r>
              <w:rPr>
                <w:sz w:val="15"/>
              </w:rPr>
              <w:t>Functional + negative + required-field validation + error-message check</w:t>
            </w:r>
          </w:p>
        </w:tc>
      </w:tr>
      <w:tr>
        <w:tc>
          <w:tcPr>
            <w:tcW w:type="dxa" w:w="2880"/>
            <w:vAlign w:val="center"/>
            <w:tcMar>
              <w:top w:w="70" w:type="dxa"/>
              <w:start w:w="90" w:type="dxa"/>
              <w:bottom w:w="70" w:type="dxa"/>
              <w:end w:w="90" w:type="dxa"/>
            </w:tcMar>
          </w:tcPr>
          <w:p>
            <w:pPr>
              <w:spacing w:after="0"/>
            </w:pPr>
            <w:r>
              <w:rPr>
                <w:sz w:val="15"/>
              </w:rPr>
              <w:t>Backend returns 500</w:t>
            </w:r>
          </w:p>
        </w:tc>
        <w:tc>
          <w:tcPr>
            <w:tcW w:type="dxa" w:w="6624"/>
            <w:vAlign w:val="center"/>
            <w:tcMar>
              <w:top w:w="70" w:type="dxa"/>
              <w:start w:w="90" w:type="dxa"/>
              <w:bottom w:w="70" w:type="dxa"/>
              <w:end w:w="90" w:type="dxa"/>
            </w:tcMar>
          </w:tcPr>
          <w:p>
            <w:pPr>
              <w:spacing w:after="0"/>
            </w:pPr>
            <w:r>
              <w:rPr>
                <w:sz w:val="15"/>
              </w:rPr>
              <w:t>Functional + error handling + API/integration + UI error state</w:t>
            </w:r>
          </w:p>
        </w:tc>
      </w:tr>
      <w:tr>
        <w:tc>
          <w:tcPr>
            <w:tcW w:type="dxa" w:w="2880"/>
            <w:vAlign w:val="center"/>
            <w:tcMar>
              <w:top w:w="70" w:type="dxa"/>
              <w:start w:w="90" w:type="dxa"/>
              <w:bottom w:w="70" w:type="dxa"/>
              <w:end w:w="90" w:type="dxa"/>
            </w:tcMar>
          </w:tcPr>
          <w:p>
            <w:pPr>
              <w:spacing w:after="0"/>
            </w:pPr>
            <w:r>
              <w:rPr>
                <w:sz w:val="15"/>
              </w:rPr>
              <w:t>Payment succeeds</w:t>
            </w:r>
          </w:p>
        </w:tc>
        <w:tc>
          <w:tcPr>
            <w:tcW w:type="dxa" w:w="6624"/>
            <w:vAlign w:val="center"/>
            <w:tcMar>
              <w:top w:w="70" w:type="dxa"/>
              <w:start w:w="90" w:type="dxa"/>
              <w:bottom w:w="70" w:type="dxa"/>
              <w:end w:w="90" w:type="dxa"/>
            </w:tcMar>
          </w:tcPr>
          <w:p>
            <w:pPr>
              <w:spacing w:after="0"/>
            </w:pPr>
            <w:r>
              <w:rPr>
                <w:sz w:val="15"/>
              </w:rPr>
              <w:t>E2E + positive + business logic + integration + state transition</w:t>
            </w:r>
          </w:p>
        </w:tc>
      </w:tr>
      <w:tr>
        <w:tc>
          <w:tcPr>
            <w:tcW w:type="dxa" w:w="2880"/>
            <w:vAlign w:val="center"/>
            <w:tcMar>
              <w:top w:w="70" w:type="dxa"/>
              <w:start w:w="90" w:type="dxa"/>
              <w:bottom w:w="70" w:type="dxa"/>
              <w:end w:w="90" w:type="dxa"/>
            </w:tcMar>
          </w:tcPr>
          <w:p>
            <w:pPr>
              <w:spacing w:after="0"/>
            </w:pPr>
            <w:r>
              <w:rPr>
                <w:sz w:val="15"/>
              </w:rPr>
              <w:t>Unauthorized resource request</w:t>
            </w:r>
          </w:p>
        </w:tc>
        <w:tc>
          <w:tcPr>
            <w:tcW w:type="dxa" w:w="6624"/>
            <w:vAlign w:val="center"/>
            <w:tcMar>
              <w:top w:w="70" w:type="dxa"/>
              <w:start w:w="90" w:type="dxa"/>
              <w:bottom w:w="70" w:type="dxa"/>
              <w:end w:w="90" w:type="dxa"/>
            </w:tcMar>
          </w:tcPr>
          <w:p>
            <w:pPr>
              <w:spacing w:after="0"/>
            </w:pPr>
            <w:r>
              <w:rPr>
                <w:sz w:val="15"/>
              </w:rPr>
              <w:t>Security + negative + authorization + response verification</w:t>
            </w:r>
          </w:p>
        </w:tc>
      </w:tr>
      <w:tr>
        <w:tc>
          <w:tcPr>
            <w:tcW w:type="dxa" w:w="2880"/>
            <w:vAlign w:val="center"/>
            <w:tcMar>
              <w:top w:w="70" w:type="dxa"/>
              <w:start w:w="90" w:type="dxa"/>
              <w:bottom w:w="70" w:type="dxa"/>
              <w:end w:w="90" w:type="dxa"/>
            </w:tcMar>
          </w:tcPr>
          <w:p>
            <w:pPr>
              <w:spacing w:after="0"/>
            </w:pPr>
            <w:r>
              <w:rPr>
                <w:sz w:val="15"/>
              </w:rPr>
              <w:t>Injection attempt</w:t>
            </w:r>
          </w:p>
        </w:tc>
        <w:tc>
          <w:tcPr>
            <w:tcW w:type="dxa" w:w="6624"/>
            <w:vAlign w:val="center"/>
            <w:tcMar>
              <w:top w:w="70" w:type="dxa"/>
              <w:start w:w="90" w:type="dxa"/>
              <w:bottom w:w="70" w:type="dxa"/>
              <w:end w:w="90" w:type="dxa"/>
            </w:tcMar>
          </w:tcPr>
          <w:p>
            <w:pPr>
              <w:spacing w:after="0"/>
            </w:pPr>
            <w:r>
              <w:rPr>
                <w:sz w:val="15"/>
              </w:rPr>
              <w:t>Security + injection + negative + input handling + backend-effect verification</w:t>
            </w:r>
          </w:p>
        </w:tc>
      </w:tr>
      <w:tr>
        <w:tc>
          <w:tcPr>
            <w:tcW w:type="dxa" w:w="2880"/>
            <w:vAlign w:val="center"/>
            <w:tcMar>
              <w:top w:w="70" w:type="dxa"/>
              <w:start w:w="90" w:type="dxa"/>
              <w:bottom w:w="70" w:type="dxa"/>
              <w:end w:w="90" w:type="dxa"/>
            </w:tcMar>
          </w:tcPr>
          <w:p>
            <w:pPr>
              <w:spacing w:after="0"/>
            </w:pPr>
            <w:r>
              <w:rPr>
                <w:sz w:val="15"/>
              </w:rPr>
              <w:t>CSS change shifts layout</w:t>
            </w:r>
          </w:p>
        </w:tc>
        <w:tc>
          <w:tcPr>
            <w:tcW w:type="dxa" w:w="6624"/>
            <w:vAlign w:val="center"/>
            <w:tcMar>
              <w:top w:w="70" w:type="dxa"/>
              <w:start w:w="90" w:type="dxa"/>
              <w:bottom w:w="70" w:type="dxa"/>
              <w:end w:w="90" w:type="dxa"/>
            </w:tcMar>
          </w:tcPr>
          <w:p>
            <w:pPr>
              <w:spacing w:after="0"/>
            </w:pPr>
            <w:r>
              <w:rPr>
                <w:sz w:val="15"/>
              </w:rPr>
              <w:t>Visual regression + UI testing</w:t>
            </w:r>
          </w:p>
        </w:tc>
      </w:tr>
      <w:tr>
        <w:tc>
          <w:tcPr>
            <w:tcW w:type="dxa" w:w="2880"/>
            <w:vAlign w:val="center"/>
            <w:tcMar>
              <w:top w:w="70" w:type="dxa"/>
              <w:start w:w="90" w:type="dxa"/>
              <w:bottom w:w="70" w:type="dxa"/>
              <w:end w:w="90" w:type="dxa"/>
            </w:tcMar>
          </w:tcPr>
          <w:p>
            <w:pPr>
              <w:spacing w:after="0"/>
            </w:pPr>
            <w:r>
              <w:rPr>
                <w:sz w:val="15"/>
              </w:rPr>
              <w:t>Repeated payment click</w:t>
            </w:r>
          </w:p>
        </w:tc>
        <w:tc>
          <w:tcPr>
            <w:tcW w:type="dxa" w:w="6624"/>
            <w:vAlign w:val="center"/>
            <w:tcMar>
              <w:top w:w="70" w:type="dxa"/>
              <w:start w:w="90" w:type="dxa"/>
              <w:bottom w:w="70" w:type="dxa"/>
              <w:end w:w="90" w:type="dxa"/>
            </w:tcMar>
          </w:tcPr>
          <w:p>
            <w:pPr>
              <w:spacing w:after="0"/>
            </w:pPr>
            <w:r>
              <w:rPr>
                <w:sz w:val="15"/>
              </w:rPr>
              <w:t>Functional + negative/edge case + concurrency/idempotency + business rules</w:t>
            </w:r>
          </w:p>
        </w:tc>
      </w:tr>
    </w:tbl>
    <w:p>
      <w:pPr>
        <w:spacing w:after="0"/>
      </w:pPr>
    </w:p>
    <w:p>
      <w:pPr>
        <w:pStyle w:val="Heading2"/>
      </w:pPr>
      <w:r>
        <w:t>What should not be combined?</w:t>
      </w:r>
    </w:p>
    <w:p>
      <w:pPr>
        <w:pStyle w:val="ListBullet"/>
        <w:spacing w:after="30"/>
      </w:pPr>
      <w:r>
        <w:t>Avoid putting unrelated cases in one test (e.g., invalid email, API outage, payment failure and password reset).</w:t>
      </w:r>
    </w:p>
    <w:p>
      <w:pPr>
        <w:pStyle w:val="ListBullet"/>
        <w:spacing w:after="30"/>
      </w:pPr>
      <w:r>
        <w:t>Avoid tests that depend on another test having run first; each test should establish its own preconditions.</w:t>
      </w:r>
    </w:p>
    <w:p>
      <w:pPr>
        <w:pStyle w:val="ListBullet"/>
        <w:spacing w:after="30"/>
      </w:pPr>
      <w:r>
        <w:t>Do not check database persistence in every UI test. Reserve deeper state checks for scenarios where persistence is part of the requirement.</w:t>
      </w:r>
    </w:p>
    <w:p>
      <w:pPr>
        <w:pStyle w:val="ListBullet"/>
        <w:spacing w:after="30"/>
      </w:pPr>
      <w:r>
        <w:t>Do not treat every label as a separate test. Positive/negative describe scenario intent; validation/error handling describe what is being checked; E2E describes scope.</w:t>
      </w:r>
    </w:p>
    <w:tbl>
      <w:tblPr>
        <w:tblW w:type="auto" w:w="0"/>
        <w:jc w:val="center"/>
        <w:tblLook w:firstColumn="1" w:firstRow="1" w:lastColumn="0" w:lastRow="0" w:noHBand="0" w:noVBand="1" w:val="04A0"/>
      </w:tblPr>
      <w:tblGrid>
        <w:gridCol w:w="10166"/>
      </w:tblGrid>
      <w:tr>
        <w:tc>
          <w:tcPr>
            <w:tcW w:type="dxa" w:w="10166"/>
            <w:shd w:fill="F2F5F8"/>
            <w:tcMar>
              <w:top w:w="110" w:type="dxa"/>
              <w:start w:w="140" w:type="dxa"/>
              <w:bottom w:w="110" w:type="dxa"/>
              <w:end w:w="140" w:type="dxa"/>
            </w:tcMar>
          </w:tcPr>
          <w:p>
            <w:pPr>
              <w:spacing w:after="0"/>
            </w:pPr>
            <w:r>
              <w:rPr>
                <w:b/>
                <w:color w:val="1F4E79"/>
              </w:rPr>
              <w:t xml:space="preserve">Rule of thumb  </w:t>
            </w:r>
            <w:r>
              <w:t>One test = one principal scenario + several closely related assertions. Split tests when failure diagnosis becomes ambiguous or when the cases have different setup, purpose, or recovery behavior.</w:t>
            </w:r>
          </w:p>
        </w:tc>
      </w:tr>
    </w:tbl>
    <w:p>
      <w:pPr>
        <w:spacing w:after="0"/>
      </w:pPr>
    </w:p>
    <w:p>
      <w:r>
        <w:br w:type="page"/>
      </w:r>
    </w:p>
    <w:p>
      <w:pPr>
        <w:spacing w:after="40"/>
      </w:pPr>
      <w:r>
        <w:rPr>
          <w:b/>
          <w:color w:val="5B6573"/>
          <w:sz w:val="16"/>
        </w:rPr>
        <w:t>04 / PHILOSOPHY</w:t>
      </w:r>
    </w:p>
    <w:p>
      <w:pPr>
        <w:pStyle w:val="Heading1"/>
      </w:pPr>
      <w:r>
        <w:t>A disciplined testing strategy</w:t>
      </w:r>
    </w:p>
    <w:p>
      <w:pPr>
        <w:spacing w:after="120"/>
      </w:pPr>
      <w:r>
        <w:rPr>
          <w:i/>
          <w:color w:val="555555"/>
        </w:rPr>
        <w:t>The goal is confidence in important behavior, not the largest possible test count.</w:t>
      </w:r>
    </w:p>
    <w:p>
      <w:pPr>
        <w:pStyle w:val="Heading2"/>
      </w:pPr>
      <w:r>
        <w:t>1. Testing philosophy</w:t>
      </w:r>
    </w:p>
    <w:p>
      <w:pPr>
        <w:pStyle w:val="ListNumber"/>
        <w:spacing w:after="30"/>
      </w:pPr>
      <w:r>
        <w:t>Start from risk and requirements. Identify critical user journeys, money/data/security risks, and the cost of failure.</w:t>
      </w:r>
    </w:p>
    <w:p>
      <w:pPr>
        <w:pStyle w:val="ListNumber"/>
        <w:spacing w:after="30"/>
      </w:pPr>
      <w:r>
        <w:t>Make expected behavior explicit. Define inputs, preconditions, expected UI/API outcomes, and forbidden side effects.</w:t>
      </w:r>
    </w:p>
    <w:p>
      <w:pPr>
        <w:pStyle w:val="ListNumber"/>
        <w:spacing w:after="30"/>
      </w:pPr>
      <w:r>
        <w:t>Test at the cheapest reliable layer. Test pure calculations as unit tests; component behavior at component level; cross-service behavior at integration level; critical user journeys end-to-end.</w:t>
      </w:r>
    </w:p>
    <w:p>
      <w:pPr>
        <w:pStyle w:val="ListNumber"/>
        <w:spacing w:after="30"/>
      </w:pPr>
      <w:r>
        <w:t>Cover both success and failure. Positive cases prove the intended path works; negative cases prove invalid paths are controlled.</w:t>
      </w:r>
    </w:p>
    <w:p>
      <w:pPr>
        <w:pStyle w:val="ListNumber"/>
        <w:spacing w:after="30"/>
      </w:pPr>
      <w:r>
        <w:t>Validate the whole error experience. Check message, placement, accessible association, loading state, retry/recovery, and absence of unintended side effects where relevant.</w:t>
      </w:r>
    </w:p>
    <w:p>
      <w:pPr>
        <w:pStyle w:val="ListNumber"/>
        <w:spacing w:after="30"/>
      </w:pPr>
      <w:r>
        <w:t>Keep tests deterministic and independent. Control data, isolate browser contexts, avoid arbitrary sleeps, use auto-retrying assertions, and mock unstable dependencies only when the test's purpose allows it.</w:t>
      </w:r>
    </w:p>
    <w:p>
      <w:pPr>
        <w:pStyle w:val="ListNumber"/>
        <w:spacing w:after="30"/>
      </w:pPr>
      <w:r>
        <w:t>Collect evidence. Use clear assertions, traces, screenshots, request logs, and server-side evidence for failures that the browser alone cannot explain.</w:t>
      </w:r>
    </w:p>
    <w:p>
      <w:pPr>
        <w:pStyle w:val="ListNumber"/>
        <w:spacing w:after="30"/>
      </w:pPr>
      <w:r>
        <w:t>Run the right suite at the right time. Fast smoke checks on deployment; broader regression on pull requests/nightly runs; specialized security and load tests in suitable environments.</w:t>
      </w:r>
    </w:p>
    <w:p>
      <w:pPr>
        <w:pStyle w:val="Heading2"/>
      </w:pPr>
      <w:r>
        <w:t>2. Suggested tool allocation</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096"/>
            <w:shd w:fill="D9EAF7"/>
            <w:vAlign w:val="center"/>
            <w:tcMar>
              <w:top w:w="70" w:type="dxa"/>
              <w:start w:w="90" w:type="dxa"/>
              <w:bottom w:w="70" w:type="dxa"/>
              <w:end w:w="90" w:type="dxa"/>
            </w:tcMar>
          </w:tcPr>
          <w:p>
            <w:pPr>
              <w:spacing w:after="0"/>
            </w:pPr>
            <w:r>
              <w:rPr>
                <w:b/>
                <w:color w:val="17365D"/>
                <w:sz w:val="16"/>
              </w:rPr>
              <w:t>Need</w:t>
            </w:r>
          </w:p>
        </w:tc>
        <w:tc>
          <w:tcPr>
            <w:tcW w:type="dxa" w:w="6408"/>
            <w:shd w:fill="D9EAF7"/>
            <w:vAlign w:val="center"/>
            <w:tcMar>
              <w:top w:w="70" w:type="dxa"/>
              <w:start w:w="90" w:type="dxa"/>
              <w:bottom w:w="70" w:type="dxa"/>
              <w:end w:w="90" w:type="dxa"/>
            </w:tcMar>
          </w:tcPr>
          <w:p>
            <w:pPr>
              <w:spacing w:after="0"/>
            </w:pPr>
            <w:r>
              <w:rPr>
                <w:b/>
                <w:color w:val="17365D"/>
                <w:sz w:val="16"/>
              </w:rPr>
              <w:t>Practical tool choice</w:t>
            </w:r>
          </w:p>
        </w:tc>
      </w:tr>
      <w:tr>
        <w:tc>
          <w:tcPr>
            <w:tcW w:type="dxa" w:w="3096"/>
            <w:vAlign w:val="center"/>
            <w:tcMar>
              <w:top w:w="70" w:type="dxa"/>
              <w:start w:w="90" w:type="dxa"/>
              <w:bottom w:w="70" w:type="dxa"/>
              <w:end w:w="90" w:type="dxa"/>
            </w:tcMar>
          </w:tcPr>
          <w:p>
            <w:pPr>
              <w:spacing w:after="0"/>
            </w:pPr>
            <w:r>
              <w:rPr>
                <w:sz w:val="16"/>
              </w:rPr>
              <w:t>Pure logic / unit tests</w:t>
            </w:r>
          </w:p>
        </w:tc>
        <w:tc>
          <w:tcPr>
            <w:tcW w:type="dxa" w:w="6408"/>
            <w:vAlign w:val="center"/>
            <w:tcMar>
              <w:top w:w="70" w:type="dxa"/>
              <w:start w:w="90" w:type="dxa"/>
              <w:bottom w:w="70" w:type="dxa"/>
              <w:end w:w="90" w:type="dxa"/>
            </w:tcMar>
          </w:tcPr>
          <w:p>
            <w:pPr>
              <w:spacing w:after="0"/>
            </w:pPr>
            <w:r>
              <w:rPr>
                <w:sz w:val="16"/>
              </w:rPr>
              <w:t>Vitest or Jest</w:t>
            </w:r>
          </w:p>
        </w:tc>
      </w:tr>
      <w:tr>
        <w:tc>
          <w:tcPr>
            <w:tcW w:type="dxa" w:w="3096"/>
            <w:vAlign w:val="center"/>
            <w:tcMar>
              <w:top w:w="70" w:type="dxa"/>
              <w:start w:w="90" w:type="dxa"/>
              <w:bottom w:w="70" w:type="dxa"/>
              <w:end w:w="90" w:type="dxa"/>
            </w:tcMar>
          </w:tcPr>
          <w:p>
            <w:pPr>
              <w:spacing w:after="0"/>
            </w:pPr>
            <w:r>
              <w:rPr>
                <w:sz w:val="16"/>
              </w:rPr>
              <w:t>Browser E2E and UI regression</w:t>
            </w:r>
          </w:p>
        </w:tc>
        <w:tc>
          <w:tcPr>
            <w:tcW w:type="dxa" w:w="6408"/>
            <w:vAlign w:val="center"/>
            <w:tcMar>
              <w:top w:w="70" w:type="dxa"/>
              <w:start w:w="90" w:type="dxa"/>
              <w:bottom w:w="70" w:type="dxa"/>
              <w:end w:w="90" w:type="dxa"/>
            </w:tcMar>
          </w:tcPr>
          <w:p>
            <w:pPr>
              <w:spacing w:after="0"/>
            </w:pPr>
            <w:r>
              <w:rPr>
                <w:sz w:val="16"/>
              </w:rPr>
              <w:t>Playwright Test</w:t>
            </w:r>
          </w:p>
        </w:tc>
      </w:tr>
      <w:tr>
        <w:tc>
          <w:tcPr>
            <w:tcW w:type="dxa" w:w="3096"/>
            <w:vAlign w:val="center"/>
            <w:tcMar>
              <w:top w:w="70" w:type="dxa"/>
              <w:start w:w="90" w:type="dxa"/>
              <w:bottom w:w="70" w:type="dxa"/>
              <w:end w:w="90" w:type="dxa"/>
            </w:tcMar>
          </w:tcPr>
          <w:p>
            <w:pPr>
              <w:spacing w:after="0"/>
            </w:pPr>
            <w:r>
              <w:rPr>
                <w:sz w:val="16"/>
              </w:rPr>
              <w:t>API checks and API-assisted setup</w:t>
            </w:r>
          </w:p>
        </w:tc>
        <w:tc>
          <w:tcPr>
            <w:tcW w:type="dxa" w:w="6408"/>
            <w:vAlign w:val="center"/>
            <w:tcMar>
              <w:top w:w="70" w:type="dxa"/>
              <w:start w:w="90" w:type="dxa"/>
              <w:bottom w:w="70" w:type="dxa"/>
              <w:end w:w="90" w:type="dxa"/>
            </w:tcMar>
          </w:tcPr>
          <w:p>
            <w:pPr>
              <w:spacing w:after="0"/>
            </w:pPr>
            <w:r>
              <w:rPr>
                <w:sz w:val="16"/>
              </w:rPr>
              <w:t>Playwright APIRequestContext or a dedicated API test framework</w:t>
            </w:r>
          </w:p>
        </w:tc>
      </w:tr>
      <w:tr>
        <w:tc>
          <w:tcPr>
            <w:tcW w:type="dxa" w:w="3096"/>
            <w:vAlign w:val="center"/>
            <w:tcMar>
              <w:top w:w="70" w:type="dxa"/>
              <w:start w:w="90" w:type="dxa"/>
              <w:bottom w:w="70" w:type="dxa"/>
              <w:end w:w="90" w:type="dxa"/>
            </w:tcMar>
          </w:tcPr>
          <w:p>
            <w:pPr>
              <w:spacing w:after="0"/>
            </w:pPr>
            <w:r>
              <w:rPr>
                <w:sz w:val="16"/>
              </w:rPr>
              <w:t>Accessibility checks</w:t>
            </w:r>
          </w:p>
        </w:tc>
        <w:tc>
          <w:tcPr>
            <w:tcW w:type="dxa" w:w="6408"/>
            <w:vAlign w:val="center"/>
            <w:tcMar>
              <w:top w:w="70" w:type="dxa"/>
              <w:start w:w="90" w:type="dxa"/>
              <w:bottom w:w="70" w:type="dxa"/>
              <w:end w:w="90" w:type="dxa"/>
            </w:tcMar>
          </w:tcPr>
          <w:p>
            <w:pPr>
              <w:spacing w:after="0"/>
            </w:pPr>
            <w:r>
              <w:rPr>
                <w:sz w:val="16"/>
              </w:rPr>
              <w:t>Playwright + axe-core; manual keyboard/screen-reader review where needed</w:t>
            </w:r>
          </w:p>
        </w:tc>
      </w:tr>
      <w:tr>
        <w:tc>
          <w:tcPr>
            <w:tcW w:type="dxa" w:w="3096"/>
            <w:vAlign w:val="center"/>
            <w:tcMar>
              <w:top w:w="70" w:type="dxa"/>
              <w:start w:w="90" w:type="dxa"/>
              <w:bottom w:w="70" w:type="dxa"/>
              <w:end w:w="90" w:type="dxa"/>
            </w:tcMar>
          </w:tcPr>
          <w:p>
            <w:pPr>
              <w:spacing w:after="0"/>
            </w:pPr>
            <w:r>
              <w:rPr>
                <w:sz w:val="16"/>
              </w:rPr>
              <w:t>Visual comparison</w:t>
            </w:r>
          </w:p>
        </w:tc>
        <w:tc>
          <w:tcPr>
            <w:tcW w:type="dxa" w:w="6408"/>
            <w:vAlign w:val="center"/>
            <w:tcMar>
              <w:top w:w="70" w:type="dxa"/>
              <w:start w:w="90" w:type="dxa"/>
              <w:bottom w:w="70" w:type="dxa"/>
              <w:end w:w="90" w:type="dxa"/>
            </w:tcMar>
          </w:tcPr>
          <w:p>
            <w:pPr>
              <w:spacing w:after="0"/>
            </w:pPr>
            <w:r>
              <w:rPr>
                <w:sz w:val="16"/>
              </w:rPr>
              <w:t>Playwright screenshot assertions</w:t>
            </w:r>
          </w:p>
        </w:tc>
      </w:tr>
      <w:tr>
        <w:tc>
          <w:tcPr>
            <w:tcW w:type="dxa" w:w="3096"/>
            <w:vAlign w:val="center"/>
            <w:tcMar>
              <w:top w:w="70" w:type="dxa"/>
              <w:start w:w="90" w:type="dxa"/>
              <w:bottom w:w="70" w:type="dxa"/>
              <w:end w:w="90" w:type="dxa"/>
            </w:tcMar>
          </w:tcPr>
          <w:p>
            <w:pPr>
              <w:spacing w:after="0"/>
            </w:pPr>
            <w:r>
              <w:rPr>
                <w:sz w:val="16"/>
              </w:rPr>
              <w:t>Security scanning</w:t>
            </w:r>
          </w:p>
        </w:tc>
        <w:tc>
          <w:tcPr>
            <w:tcW w:type="dxa" w:w="6408"/>
            <w:vAlign w:val="center"/>
            <w:tcMar>
              <w:top w:w="70" w:type="dxa"/>
              <w:start w:w="90" w:type="dxa"/>
              <w:bottom w:w="70" w:type="dxa"/>
              <w:end w:w="90" w:type="dxa"/>
            </w:tcMar>
          </w:tcPr>
          <w:p>
            <w:pPr>
              <w:spacing w:after="0"/>
            </w:pPr>
            <w:r>
              <w:rPr>
                <w:sz w:val="16"/>
              </w:rPr>
              <w:t>Playwright scenarios + DAST/SAST/dependency scanners</w:t>
            </w:r>
          </w:p>
        </w:tc>
      </w:tr>
      <w:tr>
        <w:tc>
          <w:tcPr>
            <w:tcW w:type="dxa" w:w="3096"/>
            <w:vAlign w:val="center"/>
            <w:tcMar>
              <w:top w:w="70" w:type="dxa"/>
              <w:start w:w="90" w:type="dxa"/>
              <w:bottom w:w="70" w:type="dxa"/>
              <w:end w:w="90" w:type="dxa"/>
            </w:tcMar>
          </w:tcPr>
          <w:p>
            <w:pPr>
              <w:spacing w:after="0"/>
            </w:pPr>
            <w:r>
              <w:rPr>
                <w:sz w:val="16"/>
              </w:rPr>
              <w:t>Load and stress</w:t>
            </w:r>
          </w:p>
        </w:tc>
        <w:tc>
          <w:tcPr>
            <w:tcW w:type="dxa" w:w="6408"/>
            <w:vAlign w:val="center"/>
            <w:tcMar>
              <w:top w:w="70" w:type="dxa"/>
              <w:start w:w="90" w:type="dxa"/>
              <w:bottom w:w="70" w:type="dxa"/>
              <w:end w:w="90" w:type="dxa"/>
            </w:tcMar>
          </w:tcPr>
          <w:p>
            <w:pPr>
              <w:spacing w:after="0"/>
            </w:pPr>
            <w:r>
              <w:rPr>
                <w:sz w:val="16"/>
              </w:rPr>
              <w:t>k6, Locust or JMeter</w:t>
            </w:r>
          </w:p>
        </w:tc>
      </w:tr>
      <w:tr>
        <w:tc>
          <w:tcPr>
            <w:tcW w:type="dxa" w:w="3096"/>
            <w:vAlign w:val="center"/>
            <w:tcMar>
              <w:top w:w="70" w:type="dxa"/>
              <w:start w:w="90" w:type="dxa"/>
              <w:bottom w:w="70" w:type="dxa"/>
              <w:end w:w="90" w:type="dxa"/>
            </w:tcMar>
          </w:tcPr>
          <w:p>
            <w:pPr>
              <w:spacing w:after="0"/>
            </w:pPr>
            <w:r>
              <w:rPr>
                <w:sz w:val="16"/>
              </w:rPr>
              <w:t>Mutation testing</w:t>
            </w:r>
          </w:p>
        </w:tc>
        <w:tc>
          <w:tcPr>
            <w:tcW w:type="dxa" w:w="6408"/>
            <w:vAlign w:val="center"/>
            <w:tcMar>
              <w:top w:w="70" w:type="dxa"/>
              <w:start w:w="90" w:type="dxa"/>
              <w:bottom w:w="70" w:type="dxa"/>
              <w:end w:w="90" w:type="dxa"/>
            </w:tcMar>
          </w:tcPr>
          <w:p>
            <w:pPr>
              <w:spacing w:after="0"/>
            </w:pPr>
            <w:r>
              <w:rPr>
                <w:sz w:val="16"/>
              </w:rPr>
              <w:t>Stryker or a language-appropriate mutation tool</w:t>
            </w:r>
          </w:p>
        </w:tc>
      </w:tr>
    </w:tbl>
    <w:p>
      <w:pPr>
        <w:spacing w:after="0"/>
      </w:pPr>
    </w:p>
    <w:p>
      <w:pPr>
        <w:pStyle w:val="Heading2"/>
      </w:pPr>
      <w:r>
        <w:t>3. A balanced minimum suite for a typical web form</w:t>
      </w:r>
    </w:p>
    <w:p>
      <w:pPr>
        <w:pStyle w:val="ListBullet"/>
        <w:spacing w:after="30"/>
      </w:pPr>
      <w:r>
        <w:t>Positive: valid submission succeeds and expected result is shown.</w:t>
      </w:r>
    </w:p>
    <w:p>
      <w:pPr>
        <w:pStyle w:val="ListBullet"/>
        <w:spacing w:after="30"/>
      </w:pPr>
      <w:r>
        <w:t>Required/format/boundary validation: each important rule has focused coverage.</w:t>
      </w:r>
    </w:p>
    <w:p>
      <w:pPr>
        <w:pStyle w:val="ListBullet"/>
        <w:spacing w:after="30"/>
      </w:pPr>
      <w:r>
        <w:t>Negative: invalid or prohibited inputs are rejected.</w:t>
      </w:r>
    </w:p>
    <w:p>
      <w:pPr>
        <w:pStyle w:val="ListBullet"/>
        <w:spacing w:after="30"/>
      </w:pPr>
      <w:r>
        <w:t>Error handling: validation errors, server failures, network failures, and recovery where applicable.</w:t>
      </w:r>
    </w:p>
    <w:p>
      <w:pPr>
        <w:pStyle w:val="ListBullet"/>
        <w:spacing w:after="30"/>
      </w:pPr>
      <w:r>
        <w:t>Integration: verify the request/response contract and important persisted outcomes.</w:t>
      </w:r>
    </w:p>
    <w:p>
      <w:pPr>
        <w:pStyle w:val="ListBullet"/>
        <w:spacing w:after="30"/>
      </w:pPr>
      <w:r>
        <w:t>Security: authorization checks and targeted input-abuse cases based on risk.</w:t>
      </w:r>
    </w:p>
    <w:p>
      <w:pPr>
        <w:pStyle w:val="ListBullet"/>
        <w:spacing w:after="30"/>
      </w:pPr>
      <w:r>
        <w:t>Regression: preserve critical behavior across changes; add smoke coverage for deployment.</w:t>
      </w:r>
    </w:p>
    <w:p>
      <w:pPr>
        <w:pStyle w:val="Heading2"/>
      </w:pPr>
      <w:r>
        <w:t>Final takeaway</w:t>
      </w:r>
    </w:p>
    <w:p>
      <w:r>
        <w:rPr>
          <w:b/>
        </w:rPr>
        <w:t>Use Playwright first for what it does best: realistic browser behavior, user-facing functional flows, cross-browser checks, and E2E/regression automation. Combine categories when they describe the same scenario, but keep each test focused and diagnosable. Use specialized tools where the goal is deep unit isolation, vulnerability discovery, or high-volume performance measurement.</w:t>
      </w:r>
    </w:p>
    <w:sectPr w:rsidR="00FC693F" w:rsidRPr="0006063C" w:rsidSect="00034616">
      <w:headerReference w:type="default" r:id="rId9"/>
      <w:footerReference w:type="default" r:id="rId10"/>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6"/>
      </w:rPr>
      <w:t>Practical taxonomy • Test design • Tool boundaries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777777"/>
        <w:sz w:val="16"/>
      </w:rPr>
      <w:t>PLAYWRIGHT TESTING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5" w:lineRule="auto"/>
    </w:pPr>
    <w:rPr>
      <w:rFonts w:ascii="Calibri" w:hAnsi="Calibri" w:eastAsia="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60"/>
      <w:outlineLvl w:val="0"/>
    </w:pPr>
    <w:rPr>
      <w:rFonts w:asciiTheme="majorHAnsi" w:eastAsiaTheme="majorEastAsia" w:hAnsiTheme="majorHAnsi" w:cstheme="majorBidi" w:ascii="Calibri" w:hAnsi="Calibri" w:eastAsia="Calibr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ascii="Calibri" w:hAnsi="Calibri" w:eastAsia="Calibri"/>
      <w:b/>
      <w:bCs/>
      <w:color w:val="1F4E79"/>
      <w:sz w:val="23"/>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Calibri" w:hAnsi="Calibri" w:eastAsia="Calibri"/>
      <w:b/>
      <w:bCs/>
      <w:color w:val="40404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60" w:line="240" w:lineRule="auto" w:before="120"/>
      <w:contextualSpacing/>
    </w:pPr>
    <w:rPr>
      <w:rFonts w:asciiTheme="majorHAnsi" w:eastAsiaTheme="majorEastAsia" w:hAnsiTheme="majorHAnsi" w:cstheme="majorBidi" w:ascii="Calibri" w:hAnsi="Calibri" w:eastAsia="Calibri"/>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Playwright Testing Guide</dc:title>
  <dc:subject>Testing taxonomy, Playwright strengths, test combinations, and testing philosophy</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