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有限数据与模型不确定性下的期权对冲研究</w:t>
      </w:r>
    </w:p>
    <w:p>
      <w:pPr>
        <w:pStyle w:val="Subtitle"/>
      </w:pPr>
      <w:r>
        <w:t>统计估计 数值计算与成本约束决策</w:t>
      </w:r>
    </w:p>
    <w:p>
      <w:r>
        <w:t>FinMath Risk Lab   课程延伸计算研究报告   2026年10月6日</w:t>
      </w:r>
    </w:p>
    <w:p>
      <w:r>
        <w:t>项目发起人  杨又铭   版本 1.0   配套成果  Python研究库 本地交互工作台 可复现实验与数据证据</w:t>
      </w:r>
    </w:p>
    <w:p>
      <w:pPr>
        <w:pStyle w:val="Heading1"/>
      </w:pPr>
      <w:r>
        <w:t>摘要</w:t>
      </w:r>
    </w:p>
    <w:p>
      <w:r>
        <w:t>金融数学课程给出了理想市场中的定价和复制框架，但有限数据、离散交易以及模型错误会共同影响实际计算结果。本研究建立从公开数据、方差预测、期权定价到自融资对冲账本的统一实验链，考察更精确的计算、更复杂的估计与更频繁的调仓，何时能够改善终端风险，何时不能。研究同时采用可控路径模拟与欧洲央行历史参考汇率，避免只在单一模型内部验证模型本身。</w:t>
      </w:r>
    </w:p>
    <w:p>
      <w:r>
        <w:t>模拟覆盖七种场景、三档费用和六种策略，每场景使用1024条验证路径与8192条独立测试路径。模型匹配且费用为5 bps时，验证选择的每日策略相对每五步策略的平均平方终端损失差为-0.6705，95%配对区间为[-0.7047, -0.6363]。这一结论不跨越至全部模型：波动率切换与跳跃场景仍保留显著复制误差，且共同初始权利金的定价失配也是损益来源。</w:t>
      </w:r>
    </w:p>
    <w:p>
      <w:r>
        <w:t>历史研究采用每欧元对应美元与日元的两条参考汇率，将2005至2016年用于训练、2017至2020年用于验证、2021至2025年用于测试。Ridge在日元系列的方差代理损失上优于滚动基线，但其对冲平方损失差的区间仍包含零。美元系列的阈值策略降低了费用，同时增加净损益RMSE。由此，预测改善、成本下降和最终风险改善应分别检验。</w:t>
      </w:r>
    </w:p>
    <w:p>
      <w:r>
        <w:t>成果包含解析与数值定价、因果时间特征、冻结模型与验证选择、配对推断、移动块重采样、成本约束、审计账本、SQLite证据库、交互界面和可复现报告。研究贡献是可核验的方法整合与条件性发现，不主张新定价理论、市场最优策略或实盘盈利。开发和报告整理有实质性AI协助，个人贡献与后续学习应另行真实记录。</w:t>
      </w:r>
    </w:p>
    <w:p>
      <w:r>
        <w:t>关键词  金融数学  波动率预测  离散对冲  交易成本  模型风险  可复现研究</w:t>
      </w:r>
    </w:p>
    <w:p>
      <w:pPr>
        <w:pStyle w:val="Heading1"/>
      </w:pPr>
      <w:r>
        <w:t>Abstract</w:t>
      </w:r>
    </w:p>
    <w:p>
      <w:r>
        <w:t>This course-extension computational study examines the connection between finite-data variance forecasting and cost-aware option hedging. A unified research pipeline links data provenance, analytic and numerical pricing, causal estimation, self-financing cash accounting and risk evaluation. Seven simulated mechanisms are evaluated with separate validation and test paths. A second study uses European Central Bank reference exchange rates with chronological training, validation and test periods. Model and policy selection is kept separate from final evaluation.</w:t>
      </w:r>
    </w:p>
    <w:p>
      <w:r>
        <w:t>The results support conditional rather than universal improvements. More frequent rebalancing reduces replication loss in a matched low-cost setting. Under misspecification, substantial residual risk persists. Better out-of-sample variance-proxy forecasts for one currency do not establish a statistically clear improvement in downstream hedging loss. A transaction-cost reduction can also increase net replication RMSE. The package includes executed experiments, inspectable fitted parameters, numerical and accounting tests, moving-block uncertainty analysis, a research dashboard and reproducible evidence. Historical experiments use hypothetical options on informational reference prices and do not establish executable trading performance.</w:t>
      </w:r>
    </w:p>
    <w:p>
      <w:pPr>
        <w:pStyle w:val="Heading1"/>
      </w:pPr>
      <w:r>
        <w:t>1 研究动机与问题</w:t>
      </w:r>
    </w:p>
    <w:p>
      <w:r>
        <w:t>本项目延伸自Introduction to Financial Mathematics课程。所提供资料列示课程时间为2024年10月11日至2025年1月5日、54小时、成绩84.40，内容包括货币时间价值、债券利率、远期与期货、无套利、二叉树、动态规划、随机游走、Black–Scholes、波动率、均值方差与CAPM。课程为本研究提供概念起点；本研究没有把所有课程章节扩成互不相关的功能，而是围绕期权复制建立一条可追溯的实证链。证书本身不构成授课教师所在大学的正式学分或研究任职证明。</w:t>
      </w:r>
    </w:p>
    <w:p>
      <w:r>
        <w:t>计算一个期权价格并不足以回答风险决策问题。解析公式依赖波动率等不可直接观察的输入；用有限历史样本估计输入会产生不确定性；离散调仓又将估计误差与路径变化、费用共同传递到终端损益。如果只展示预测精度或界面功能，便无法知道模型是否改善了下游决策。因此本研究把账本作为所有方法的共同评价终点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3528"/>
        <w:gridCol w:w="3672"/>
      </w:tblGrid>
      <w:tr>
        <w:trPr>
          <w:tblHeader/>
          <w:cantSplit/>
        </w:trPr>
        <w:tc>
          <w:tcPr>
            <w:tcW w:type="dxa" w:w="2376"/>
            <w:shd w:fill="EDEFF1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b/>
                <w:sz w:val="18"/>
              </w:rPr>
              <w:t>研究问题</w:t>
            </w:r>
          </w:p>
        </w:tc>
        <w:tc>
          <w:tcPr>
            <w:tcW w:type="dxa" w:w="3528"/>
            <w:shd w:fill="EDEFF1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b/>
                <w:sz w:val="18"/>
              </w:rPr>
              <w:t>可观察证据</w:t>
            </w:r>
          </w:p>
        </w:tc>
        <w:tc>
          <w:tcPr>
            <w:tcW w:type="dxa" w:w="3672"/>
            <w:shd w:fill="EDEFF1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b/>
                <w:sz w:val="18"/>
              </w:rPr>
              <w:t>不能由该证据推出的结论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Q1 数值近似是否正确</w:t>
            </w:r>
          </w:p>
        </w:tc>
        <w:tc>
          <w:tcPr>
            <w:tcW w:type="dxa" w:w="3528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解析基准、树收敛、MC标准误、恒等式测试</w:t>
            </w:r>
          </w:p>
        </w:tc>
        <w:tc>
          <w:tcPr>
            <w:tcW w:type="dxa" w:w="3672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真实市场价格一定服从模型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Q2 有限数据与失配如何影响复制</w:t>
            </w:r>
          </w:p>
        </w:tc>
        <w:tc>
          <w:tcPr>
            <w:tcW w:type="dxa" w:w="3528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独立校准样本、制度切换、跳跃与完整损益</w:t>
            </w:r>
          </w:p>
        </w:tc>
        <w:tc>
          <w:tcPr>
            <w:tcW w:type="dxa" w:w="3672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各现实风险来源已被完全识别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Q3 预测改善是否传到对冲</w:t>
            </w:r>
          </w:p>
        </w:tc>
        <w:tc>
          <w:tcPr>
            <w:tcW w:type="dxa" w:w="3528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同日期方差代理损失与共同保费下终端损失</w:t>
            </w:r>
          </w:p>
        </w:tc>
        <w:tc>
          <w:tcPr>
            <w:tcW w:type="dxa" w:w="3672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更复杂模型必然经济价值更高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Q4 成本预算如何改变策略</w:t>
            </w:r>
          </w:p>
        </w:tc>
        <w:tc>
          <w:tcPr>
            <w:tcW w:type="dxa" w:w="3528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验证集有限候选选择及测试风险成本</w:t>
            </w:r>
          </w:p>
        </w:tc>
        <w:tc>
          <w:tcPr>
            <w:tcW w:type="dxa" w:w="3672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获得所有策略空间的全局最优</w:t>
            </w:r>
          </w:p>
        </w:tc>
      </w:tr>
    </w:tbl>
    <w:p/>
    <w:p>
      <w:pPr>
        <w:pStyle w:val="Heading1"/>
      </w:pPr>
      <w:r>
        <w:t>2 相关方法与研究定位</w:t>
      </w:r>
    </w:p>
    <w:p>
      <w:r>
        <w:t>Black与Scholes的解析定价提供可验证基准[R1]；Cox、Ross与Rubinstein的重组二叉树将定价转化为向后递推[R2]。本项目实现这些已有方法，并用独立金融恒等式和误差趋势检查实现。美式树作为数值能力扩展保留在库中，核心对冲研究统一使用欧式看涨期权，避免混入提前行权政策差异。</w:t>
      </w:r>
    </w:p>
    <w:p>
      <w:r>
        <w:t>交易成本使连续复制的理想逻辑发生改变。Leland的工作是本研究讨论费用与调仓频率的文献背景[R3]；本项目直接计算离散现金流，没有实现或声称验证其渐近修正定价定理。针对预测评价，Patton强调波动率代理和损失函数选择的重要性[R4]。这里用次观测平方对数收益作为噪声代理，同时报告QLIKE与MSE，不把该代理直接称为真实潜在方差。</w:t>
      </w:r>
    </w:p>
    <w:p>
      <w:r>
        <w:t>历史序列上的损失比较采用Künsch相关框架所启发的移动块bootstrap[R5]，保留块内短期依赖并展示块长敏感性。Ridge使用公开文档所规定的正则化目标[R6]；时间评估遵守先训练、再验证、最后测试的顺序[R7]。这些方法的组合形成一项课程延伸研究，而非新的学习算法或未经证明的理论突破。</w:t>
      </w:r>
    </w:p>
    <w:p>
      <w:pPr>
        <w:pStyle w:val="Heading1"/>
      </w:pPr>
      <w:r>
        <w:t>3 数学设定与账本约定</w:t>
      </w:r>
    </w:p>
    <w:p>
      <w:pPr>
        <w:pStyle w:val="Heading2"/>
      </w:pPr>
      <w:r>
        <w:t>3.1 定价与敏感度</w:t>
      </w:r>
    </w:p>
    <w:p>
      <w:r>
        <w:t>记S为现价，K为执行价，τ为剩余期限，r为连续复利率，q为连续收益率，σ为年化波动率，Φ为标准正态分布函数。常参数欧式看涨期权的解析价格与delta为：</w:t>
      </w:r>
    </w:p>
    <w:p>
      <w:pPr>
        <w:spacing w:before="100" w:after="160"/>
        <w:jc w:val="center"/>
      </w:pPr>
      <m:oMathPara>
        <m:oMath>
          <m:r>
            <m:t>C = S exp(−qτ) Φ(d₁) − K exp(−rτ) Φ(d₂)</m:t>
          </m:r>
        </m:oMath>
      </m:oMathPara>
    </w:p>
    <w:p>
      <w:pPr>
        <w:spacing w:before="100" w:after="160"/>
        <w:jc w:val="center"/>
      </w:pPr>
      <m:oMathPara>
        <m:oMath>
          <m:r>
            <m:t>d₁ = [ln(S/K) + (r − q + σ²/2)τ] / (σ√τ)     d₂ = d₁ − σ√τ</m:t>
          </m:r>
        </m:oMath>
      </m:oMathPara>
    </w:p>
    <w:p>
      <w:pPr>
        <w:spacing w:before="100" w:after="160"/>
        <w:jc w:val="center"/>
      </w:pPr>
      <m:oMathPara>
        <m:oMath>
          <m:r>
            <m:t>Δ = exp(−qτ) Φ(d₁)</m:t>
          </m:r>
        </m:oMath>
      </m:oMathPara>
    </w:p>
    <w:p>
      <w:r>
        <w:t>定价API同时支持看跌与q，并输出gamma、vega、theta、rho。Vega按波动率变化1.0计，rho按利率变化1.0计，theta按一年时间衰减计；界面明确单位。到期、零波动率及不可微折点单独处理。隐含波动率先核验无套利价格界，再进行数值求根，边界情况不伪造有限解。对冲研究则明确限制q=0。</w:t>
      </w:r>
    </w:p>
    <w:p>
      <w:pPr>
        <w:pStyle w:val="Heading2"/>
      </w:pPr>
      <w:r>
        <w:t>3.2 二叉树与Monte Carlo</w:t>
      </w:r>
    </w:p>
    <w:p>
      <w:r>
        <w:t>CRR取u=exp(σ√Δt)、d=1/u，以风险中性概率p=(exp((r−q)Δt)−d)/(u−d)向后递推。若网格导致p不在[0,1]内，程序拒绝输入而非截断概率。美式期权在每个节点比较继续持有价值与立即行权价值。该结构直接对应课程中的多步二叉树与动态规划。</w:t>
      </w:r>
    </w:p>
    <w:p>
      <w:pPr>
        <w:spacing w:before="100" w:after="160"/>
        <w:jc w:val="center"/>
      </w:pPr>
      <m:oMathPara>
        <m:oMath>
          <m:r>
            <m:t>V = exp(−rT) </m:t>
          </m:r>
          <m:sSup>
            <m:e>
              <m:r>
                <m:t>E</m:t>
              </m:r>
            </m:e>
            <m:sup>
              <m:r>
                <m:t>Q</m:t>
              </m:r>
            </m:sup>
          </m:sSup>
          <m:r>
            <m:t>[max(</m:t>
          </m:r>
          <m:sSub>
            <m:e>
              <m:r>
                <m:t>S</m:t>
              </m:r>
            </m:e>
            <m:sub>
              <m:r>
                <m:t>T</m:t>
              </m:r>
            </m:sub>
          </m:sSub>
          <m:r>
            <m:t> − K, 0)]</m:t>
          </m:r>
        </m:oMath>
      </m:oMathPara>
    </w:p>
    <w:p>
      <w:r>
        <w:t>Monte Carlo在风险中性终端分布下估价，标准误来自独立估计单位。反变量方法令正态样本Z与−Z成对，以两者折现收益的均值作为一个独立单位。因此200000条终端路径只有100000个独立配对单位。不能以相关的单条路径直接计算独立样本标准误。数值误差不会在每一个随机样本量上严格单调下降。</w:t>
      </w:r>
    </w:p>
    <w:p>
      <w:pPr>
        <w:pStyle w:val="Heading2"/>
      </w:pPr>
      <w:r>
        <w:t>3.3 自融资离散对冲</w:t>
      </w:r>
    </w:p>
    <w:p>
      <w:r>
        <w:t>研究从卖方视角出发：初始收到共同权利金，购入delta数量标的，余额存入或借入现金账户。每一步先让上一步现金计息，再按当期可用信息决定持仓，再经历下一步价格变化。交易额绝对值乘费用率得到手续费。入场、调仓与到期平仓全部计费，到期扣除期权赔付。借贷使用同一利率，未引入外部注资、破产停止或保证金。</w:t>
      </w:r>
    </w:p>
    <w:p>
      <w:pPr>
        <w:spacing w:before="100" w:after="160"/>
        <w:jc w:val="center"/>
      </w:pPr>
      <m:oMathPara>
        <m:oMath>
          <m:r>
            <m:t>Bₜ = Bₜ₋₁ exp(rΔt) − (Δₜ − Δₜ₋₁)Sₜ − κ |Δₜ − Δₜ₋₁| Sₜ</m:t>
          </m:r>
        </m:oMath>
      </m:oMathPara>
    </w:p>
    <w:p>
      <w:pPr>
        <w:spacing w:before="100" w:after="160"/>
        <w:jc w:val="center"/>
      </w:pPr>
      <m:oMathPara>
        <m:oMath>
          <m:sSub>
            <m:e>
              <m:r>
                <m:t>Π</m:t>
              </m:r>
            </m:e>
            <m:sub>
              <m:r>
                <m:t>T</m:t>
              </m:r>
            </m:sub>
          </m:sSub>
          <m:r>
            <m:t> = </m:t>
          </m:r>
          <m:sSub>
            <m:e>
              <m:r>
                <m:t>B</m:t>
              </m:r>
            </m:e>
            <m:sub>
              <m:r>
                <m:t>N−1</m:t>
              </m:r>
            </m:sub>
          </m:sSub>
          <m:r>
            <m:t> exp(rΔt) + </m:t>
          </m:r>
          <m:sSub>
            <m:e>
              <m:r>
                <m:t>Δ</m:t>
              </m:r>
            </m:e>
            <m:sub>
              <m:r>
                <m:t>N−1</m:t>
              </m:r>
            </m:sub>
          </m:sSub>
          <m:sSub>
            <m:e>
              <m:r>
                <m:t>S</m:t>
              </m:r>
            </m:e>
            <m:sub>
              <m:r>
                <m:t>T</m:t>
              </m:r>
            </m:sub>
          </m:sSub>
          <m:r>
            <m:t> − κ |</m:t>
          </m:r>
          <m:sSub>
            <m:e>
              <m:r>
                <m:t>Δ</m:t>
              </m:r>
            </m:e>
            <m:sub>
              <m:r>
                <m:t>N−1</m:t>
              </m:r>
            </m:sub>
          </m:sSub>
          <m:r>
            <m:t>|</m:t>
          </m:r>
          <m:sSub>
            <m:e>
              <m:r>
                <m:t>S</m:t>
              </m:r>
            </m:e>
            <m:sub>
              <m:r>
                <m:t>T</m:t>
              </m:r>
            </m:sub>
          </m:sSub>
          <m:r>
            <m:t> − max(</m:t>
          </m:r>
          <m:sSub>
            <m:e>
              <m:r>
                <m:t>S</m:t>
              </m:r>
            </m:e>
            <m:sub>
              <m:r>
                <m:t>T</m:t>
              </m:r>
            </m:sub>
          </m:sSub>
          <m:r>
            <m:t> − K, 0)</m:t>
          </m:r>
        </m:oMath>
      </m:oMathPara>
    </w:p>
    <w:p>
      <w:r>
        <w:t>第二式描述第N步到期时的终端P&amp;L，T=NΔt；代码账本用明确的step与event区分调仓和到期事件。费用总量按融资利率积累到终点。对于不随现金变化的同一交易规则，免费P&amp;L与收费P&amp;L之差应恰等于费用终值，这是比单看回测图更强的核验条件。逐笔账本还记录目标delta、成交量、利息、余额、费用与最终赔付。</w:t>
      </w:r>
    </w:p>
    <w:p>
      <w:pPr>
        <w:pStyle w:val="Heading2"/>
      </w:pPr>
      <w:r>
        <w:t>3.4 风险目标与统计单位</w:t>
      </w:r>
    </w:p>
    <w:p>
      <w:pPr>
        <w:spacing w:before="100" w:after="160"/>
        <w:jc w:val="center"/>
      </w:pPr>
      <m:oMathPara>
        <m:oMath>
          <m:r>
            <m:t>L = −Π     RMSE = √mean(Π²)     QLIKE = mean[ln(h) + y/h]</m:t>
          </m:r>
        </m:oMath>
      </m:oMathPara>
    </w:p>
    <w:p>
      <w:r>
        <w:t>RMSE以零终端P&amp;L为目标，包含平均偏差和离散风险，不等于去均值标准差。VaR95采用线性经验分位数；ES95对最坏5%的经验质量取平均，在尾部边界使用部分权重，避免样本量不整除时扩大尾部比例。QLIKE省略仅依赖真实目标的项，数值可以为负，比较必须使用相同观测日期。</w:t>
      </w:r>
    </w:p>
    <w:p>
      <w:r>
        <w:t>模拟的独立单位是完整测试路径，同一路径上策略结果配对。历史的独立性不作相同假设：预测误差按观测日块重采样，非重叠对冲episode按有序episode块重采样。非重叠不等于相互独立；两个汇率也不合并为独立重复实验。</w:t>
      </w:r>
    </w:p>
    <w:p>
      <w:pPr>
        <w:pStyle w:val="Heading1"/>
      </w:pPr>
      <w:r>
        <w:t>4 模拟实验协议</w:t>
      </w:r>
    </w:p>
    <w:p>
      <w:r>
        <w:t>所有场景统一S₀=K=100、T=0.5年、r=0.03、126个调仓步长，基础波动率0.20，物理漂移0.03。物理漂移与r数值相同是实验设定，不意味着风险中性概率与物理概率概念相同。每场景1024条验证路径与8192条测试路径来自不同随机流；所有候选策略在同一组路径上比较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2"/>
        <w:gridCol w:w="5472"/>
        <w:gridCol w:w="3312"/>
      </w:tblGrid>
      <w:tr>
        <w:trPr>
          <w:tblHeader/>
          <w:cantSplit/>
        </w:trPr>
        <w:tc>
          <w:tcPr>
            <w:tcW w:type="dxa" w:w="792"/>
            <w:shd w:fill="EDEFF1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b/>
                <w:sz w:val="18"/>
              </w:rPr>
              <w:t>场景</w:t>
            </w:r>
          </w:p>
        </w:tc>
        <w:tc>
          <w:tcPr>
            <w:tcW w:type="dxa" w:w="5472"/>
            <w:shd w:fill="EDEFF1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b/>
                <w:sz w:val="18"/>
              </w:rPr>
              <w:t>路径生成与估计</w:t>
            </w:r>
          </w:p>
        </w:tc>
        <w:tc>
          <w:tcPr>
            <w:tcW w:type="dxa" w:w="3312"/>
            <w:shd w:fill="EDEFF1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b/>
                <w:sz w:val="18"/>
              </w:rPr>
              <w:t>目的</w:t>
            </w:r>
          </w:p>
        </w:tc>
      </w:tr>
      <w:tr>
        <w:trPr>
          <w:cantSplit/>
        </w:trPr>
        <w:tc>
          <w:tcPr>
            <w:tcW w:type="dxa" w:w="792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S1</w:t>
            </w:r>
          </w:p>
        </w:tc>
        <w:tc>
          <w:tcPr>
            <w:tcW w:type="dxa" w:w="5472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GBM σ=0.20 对冲σ=0.20</w:t>
            </w:r>
          </w:p>
        </w:tc>
        <w:tc>
          <w:tcPr>
            <w:tcW w:type="dxa" w:w="3312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模型匹配基准</w:t>
            </w:r>
          </w:p>
        </w:tc>
      </w:tr>
      <w:tr>
        <w:trPr>
          <w:cantSplit/>
        </w:trPr>
        <w:tc>
          <w:tcPr>
            <w:tcW w:type="dxa" w:w="792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S2</w:t>
            </w:r>
          </w:p>
        </w:tc>
        <w:tc>
          <w:tcPr>
            <w:tcW w:type="dxa" w:w="5472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GBM σ=0.20 对冲σ=0.15</w:t>
            </w:r>
          </w:p>
        </w:tc>
        <w:tc>
          <w:tcPr>
            <w:tcW w:type="dxa" w:w="3312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低估波动率</w:t>
            </w:r>
          </w:p>
        </w:tc>
      </w:tr>
      <w:tr>
        <w:trPr>
          <w:cantSplit/>
        </w:trPr>
        <w:tc>
          <w:tcPr>
            <w:tcW w:type="dxa" w:w="792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S3</w:t>
            </w:r>
          </w:p>
        </w:tc>
        <w:tc>
          <w:tcPr>
            <w:tcW w:type="dxa" w:w="5472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GBM σ=0.20 对冲σ=0.30</w:t>
            </w:r>
          </w:p>
        </w:tc>
        <w:tc>
          <w:tcPr>
            <w:tcW w:type="dxa" w:w="3312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高估波动率</w:t>
            </w:r>
          </w:p>
        </w:tc>
      </w:tr>
      <w:tr>
        <w:trPr>
          <w:cantSplit/>
        </w:trPr>
        <w:tc>
          <w:tcPr>
            <w:tcW w:type="dxa" w:w="792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S4</w:t>
            </w:r>
          </w:p>
        </w:tc>
        <w:tc>
          <w:tcPr>
            <w:tcW w:type="dxa" w:w="5472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20个独立正态历史收益估计σ</w:t>
            </w:r>
          </w:p>
        </w:tc>
        <w:tc>
          <w:tcPr>
            <w:tcW w:type="dxa" w:w="3312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短样本估计不确定性</w:t>
            </w:r>
          </w:p>
        </w:tc>
      </w:tr>
      <w:tr>
        <w:trPr>
          <w:cantSplit/>
        </w:trPr>
        <w:tc>
          <w:tcPr>
            <w:tcW w:type="dxa" w:w="792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S5</w:t>
            </w:r>
          </w:p>
        </w:tc>
        <w:tc>
          <w:tcPr>
            <w:tcW w:type="dxa" w:w="5472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120个独立正态历史收益估计σ</w:t>
            </w:r>
          </w:p>
        </w:tc>
        <w:tc>
          <w:tcPr>
            <w:tcW w:type="dxa" w:w="3312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较长样本对照</w:t>
            </w:r>
          </w:p>
        </w:tc>
      </w:tr>
      <w:tr>
        <w:trPr>
          <w:cantSplit/>
        </w:trPr>
        <w:tc>
          <w:tcPr>
            <w:tcW w:type="dxa" w:w="792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S6</w:t>
            </w:r>
          </w:p>
        </w:tc>
        <w:tc>
          <w:tcPr>
            <w:tcW w:type="dxa" w:w="5472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中途σ由0.20切换0.40 对冲仍0.20</w:t>
            </w:r>
          </w:p>
        </w:tc>
        <w:tc>
          <w:tcPr>
            <w:tcW w:type="dxa" w:w="3312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制度变化失配</w:t>
            </w:r>
          </w:p>
        </w:tc>
      </w:tr>
      <w:tr>
        <w:trPr>
          <w:cantSplit/>
        </w:trPr>
        <w:tc>
          <w:tcPr>
            <w:tcW w:type="dxa" w:w="792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S7</w:t>
            </w:r>
          </w:p>
        </w:tc>
        <w:tc>
          <w:tcPr>
            <w:tcW w:type="dxa" w:w="5472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补偿跳跃 λ=1 均值−0.10 标准差0.15</w:t>
            </w:r>
          </w:p>
        </w:tc>
        <w:tc>
          <w:tcPr>
            <w:tcW w:type="dxa" w:w="3312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连续模型遗漏跳跃</w:t>
            </w:r>
          </w:p>
        </w:tc>
      </w:tr>
    </w:tbl>
    <w:p/>
    <w:p>
      <w:r>
        <w:t>S4与S5逐路径使用独立于未来路径的校准样本，以样本标准差和252观测年约定年化。两个场景使用不同路径和种子，因此样本长度之间的比较不是配对估计。S6的切换时间由实验者预设，策略不提前知道新增波动率。跳跃过程包含补偿项以维持所规定的期望增长参数。</w:t>
      </w:r>
    </w:p>
    <w:p>
      <w:r>
        <w:t>所有策略和场景共用Black–Scholes基础σ=0.20所给初始权利金6.371028。对跳跃或切换场景，这不一定是公平价格；因此其终端损益同时包含初始定价失配与后续复制误差，不可全归因于调仓规则。采用共同融资是为了避免通过不同初始价格暗中改善某一策略表现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40"/>
        <w:gridCol w:w="3456"/>
        <w:gridCol w:w="4680"/>
      </w:tblGrid>
      <w:tr>
        <w:trPr>
          <w:tblHeader/>
          <w:cantSplit/>
        </w:trPr>
        <w:tc>
          <w:tcPr>
            <w:tcW w:type="dxa" w:w="1440"/>
            <w:shd w:fill="EDEFF1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b/>
                <w:sz w:val="18"/>
              </w:rPr>
              <w:t>规则类别</w:t>
            </w:r>
          </w:p>
        </w:tc>
        <w:tc>
          <w:tcPr>
            <w:tcW w:type="dxa" w:w="3456"/>
            <w:shd w:fill="EDEFF1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b/>
                <w:sz w:val="18"/>
              </w:rPr>
              <w:t>候选</w:t>
            </w:r>
          </w:p>
        </w:tc>
        <w:tc>
          <w:tcPr>
            <w:tcW w:type="dxa" w:w="4680"/>
            <w:shd w:fill="EDEFF1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b/>
                <w:sz w:val="18"/>
              </w:rPr>
              <w:t>验证选择与预算</w:t>
            </w:r>
          </w:p>
        </w:tc>
      </w:tr>
      <w:tr>
        <w:trPr>
          <w:cantSplit/>
        </w:trPr>
        <w:tc>
          <w:tcPr>
            <w:tcW w:type="dxa" w:w="1440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固定间隔</w:t>
            </w:r>
          </w:p>
        </w:tc>
        <w:tc>
          <w:tcPr>
            <w:tcW w:type="dxa" w:w="3456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daily 每步 every5 每5步 every21 每21步</w:t>
            </w:r>
          </w:p>
        </w:tc>
        <w:tc>
          <w:tcPr>
            <w:tcW w:type="dxa" w:w="4680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在平均费用终值≤0.50的候选中选择验证RMSE最小者</w:t>
            </w:r>
          </w:p>
        </w:tc>
      </w:tr>
      <w:tr>
        <w:trPr>
          <w:cantSplit/>
        </w:trPr>
        <w:tc>
          <w:tcPr>
            <w:tcW w:type="dxa" w:w="1440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Delta阈值</w:t>
            </w:r>
          </w:p>
        </w:tc>
        <w:tc>
          <w:tcPr>
            <w:tcW w:type="dxa" w:w="3456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band02 0.02 band05 0.05 band10 0.10</w:t>
            </w:r>
          </w:p>
        </w:tc>
        <w:tc>
          <w:tcPr>
            <w:tcW w:type="dxa" w:w="4680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阈值指目标与当前持仓delta之差 入场和退出固定执行</w:t>
            </w:r>
          </w:p>
        </w:tc>
      </w:tr>
      <w:tr>
        <w:trPr>
          <w:cantSplit/>
        </w:trPr>
        <w:tc>
          <w:tcPr>
            <w:tcW w:type="dxa" w:w="1440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费用情景</w:t>
            </w:r>
          </w:p>
        </w:tc>
        <w:tc>
          <w:tcPr>
            <w:tcW w:type="dxa" w:w="3456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0 5 20 bps</w:t>
            </w:r>
          </w:p>
        </w:tc>
        <w:tc>
          <w:tcPr>
            <w:tcW w:type="dxa" w:w="4680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无可行候选则选最低成本并显式记录不满足预算</w:t>
            </w:r>
          </w:p>
        </w:tc>
      </w:tr>
    </w:tbl>
    <w:p/>
    <w:p>
      <w:r>
        <w:t>协议哈希在结果文件中保留；协议在当次计算之前写入，不声称第三方预注册。主比较事先限定为S1、5 bps下验证所选策略相对every5的平均平方损失差，使用95%配对t区间。其余20组区间作为探索性结果，没有多重比较后的整体覆盖保证。预算约束是验证平均量，不保证每条路径或测试平均值满足。</w:t>
      </w:r>
    </w:p>
    <w:p>
      <w:pPr>
        <w:pStyle w:val="Heading1"/>
      </w:pPr>
      <w:r>
        <w:t>5 真实数据与预测方法</w:t>
      </w:r>
    </w:p>
    <w:p>
      <w:pPr>
        <w:pStyle w:val="Heading2"/>
      </w:pPr>
      <w:r>
        <w:t>5.1 数据来源与日期范围</w:t>
      </w:r>
    </w:p>
    <w:p>
      <w:r>
        <w:t>数据来自欧洲央行公开欧元参考汇率[D1]。原始ZIP按来源原样归档，处理CSV选取USD和JPY列并固定分析截止日2025年12月31日，共6913个发布日期，始于1999年1月4日。计价方向均为一欧元对应的外币数量。没有重复日期、所选报价缺失或非正报价；最大自然日间隔5天，超过3天的间隔57次。未插值、前填或对极端收益进行截尾。</w:t>
      </w:r>
    </w:p>
    <w:p>
      <w:r>
        <w:t>研究将相邻发布观测作为一步，用252步表示一年。周末与节假日的不等自然时间间隔仍是近似来源。现今下载可能包含修订后的历史值，并非逐日封存的数据版本；严格的代码时间顺序无法消除未知来源修订。ECB数据再利用条件、来源标注和加工说明随包保留[D2]，本研究结果不代表ECB分析或认可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"/>
        <w:gridCol w:w="2088"/>
        <w:gridCol w:w="1728"/>
        <w:gridCol w:w="4752"/>
      </w:tblGrid>
      <w:tr>
        <w:trPr>
          <w:tblHeader/>
          <w:cantSplit/>
        </w:trPr>
        <w:tc>
          <w:tcPr>
            <w:tcW w:type="dxa" w:w="1008"/>
            <w:shd w:fill="EDEFF1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b/>
                <w:sz w:val="18"/>
              </w:rPr>
              <w:t>阶段</w:t>
            </w:r>
          </w:p>
        </w:tc>
        <w:tc>
          <w:tcPr>
            <w:tcW w:type="dxa" w:w="2088"/>
            <w:shd w:fill="EDEFF1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b/>
                <w:sz w:val="18"/>
              </w:rPr>
              <w:t>目标日期范围</w:t>
            </w:r>
          </w:p>
        </w:tc>
        <w:tc>
          <w:tcPr>
            <w:tcW w:type="dxa" w:w="1728"/>
            <w:shd w:fill="EDEFF1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b/>
                <w:sz w:val="18"/>
              </w:rPr>
              <w:t>每货币预测行数</w:t>
            </w:r>
          </w:p>
        </w:tc>
        <w:tc>
          <w:tcPr>
            <w:tcW w:type="dxa" w:w="4752"/>
            <w:shd w:fill="EDEFF1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b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1008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预热</w:t>
            </w:r>
          </w:p>
        </w:tc>
        <w:tc>
          <w:tcPr>
            <w:tcW w:type="dxa" w:w="2088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1999至2004年</w:t>
            </w:r>
          </w:p>
        </w:tc>
        <w:tc>
          <w:tcPr>
            <w:tcW w:type="dxa" w:w="1728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不作预测性能样本</w:t>
            </w:r>
          </w:p>
        </w:tc>
        <w:tc>
          <w:tcPr>
            <w:tcW w:type="dxa" w:w="4752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初始化滚动与EWMA状态</w:t>
            </w:r>
          </w:p>
        </w:tc>
      </w:tr>
      <w:tr>
        <w:trPr>
          <w:cantSplit/>
        </w:trPr>
        <w:tc>
          <w:tcPr>
            <w:tcW w:type="dxa" w:w="1008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训练</w:t>
            </w:r>
          </w:p>
        </w:tc>
        <w:tc>
          <w:tcPr>
            <w:tcW w:type="dxa" w:w="2088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2005至2016年</w:t>
            </w:r>
          </w:p>
        </w:tc>
        <w:tc>
          <w:tcPr>
            <w:tcW w:type="dxa" w:w="1728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3073</w:t>
            </w:r>
          </w:p>
        </w:tc>
        <w:tc>
          <w:tcPr>
            <w:tcW w:type="dxa" w:w="4752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拟合标准化 回归与校正 常量基线</w:t>
            </w:r>
          </w:p>
        </w:tc>
      </w:tr>
      <w:tr>
        <w:trPr>
          <w:cantSplit/>
        </w:trPr>
        <w:tc>
          <w:tcPr>
            <w:tcW w:type="dxa" w:w="1008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验证</w:t>
            </w:r>
          </w:p>
        </w:tc>
        <w:tc>
          <w:tcPr>
            <w:tcW w:type="dxa" w:w="2088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2017至2020年</w:t>
            </w:r>
          </w:p>
        </w:tc>
        <w:tc>
          <w:tcPr>
            <w:tcW w:type="dxa" w:w="1728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1022</w:t>
            </w:r>
          </w:p>
        </w:tc>
        <w:tc>
          <w:tcPr>
            <w:tcW w:type="dxa" w:w="4752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选择超参数 预测族与调仓阈值</w:t>
            </w:r>
          </w:p>
        </w:tc>
      </w:tr>
      <w:tr>
        <w:trPr>
          <w:cantSplit/>
        </w:trPr>
        <w:tc>
          <w:tcPr>
            <w:tcW w:type="dxa" w:w="1008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测试</w:t>
            </w:r>
          </w:p>
        </w:tc>
        <w:tc>
          <w:tcPr>
            <w:tcW w:type="dxa" w:w="2088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2021至2025年</w:t>
            </w:r>
          </w:p>
        </w:tc>
        <w:tc>
          <w:tcPr>
            <w:tcW w:type="dxa" w:w="1728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1281</w:t>
            </w:r>
          </w:p>
        </w:tc>
        <w:tc>
          <w:tcPr>
            <w:tcW w:type="dxa" w:w="4752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冻结选择后的最终评价</w:t>
            </w:r>
          </w:p>
        </w:tc>
      </w:tr>
    </w:tbl>
    <w:p/>
    <w:p>
      <w:r>
        <w:t>特征行时点t预测下一观测的平方对数收益，按目标日期分组。例如2016年最后一个决策预测2017年第一个收益，该行属于验证而不能进入训练。训练CSV中的拟合值标记为样本内结果，不用于泛化证据。</w:t>
      </w:r>
    </w:p>
    <w:p>
      <w:pPr>
        <w:pStyle w:val="Heading2"/>
      </w:pPr>
      <w:r>
        <w:t>5.2 四类方差预测</w:t>
      </w:r>
    </w:p>
    <w:p>
      <w:r>
        <w:t>训练常量以训练期平方收益均值预测未来；Rolling63使用截至当前的63步平方收益均值；EWMA按λ加权更新，候选λ为0.94、0.97、0.99。Ridge以次步平方收益对数为训练响应，七个特征是截至当前的1、5、21、63、126步平方收益均值对数、5步收益和、21步负收益比例。标准化参数完全由训练期确定。</w:t>
      </w:r>
    </w:p>
    <w:p>
      <w:r>
        <w:t>Ridge的L2惩罚α从0.1、1、10、100中按验证QLIKE选择。指数变换后的预测乘以训练期mean(y/exp(fitted_log))，以缓解对数变换后的尺度偏差。这个训练期均值比校正是建模近似，不保证每个条件状态下无偏。方差上下界预设为10⁻¹⁰与0.04；正式结果显示各模型输出均未触及裁剪。参数、系数、截距、标准化与校正量以JSON保存，便于直接审查。</w:t>
      </w:r>
    </w:p>
    <w:p>
      <w:r>
        <w:t>训练后不再重新拟合系数。测试中滚动窗口与EWMA状态可吸收已经发生的观测，这是因果更新，不能混同为使用未来信息。验证阶段两种货币均选择EWMA λ=0.97为运行预测族；Ridge内部最佳α分别为USD的100和JPY的0.1。即使测试期Ridge点估计更好，也不追改验证选择。</w:t>
      </w:r>
    </w:p>
    <w:p>
      <w:pPr>
        <w:pStyle w:val="Heading2"/>
      </w:pPr>
      <w:r>
        <w:t>5.3 历史对冲与区间</w:t>
      </w:r>
    </w:p>
    <w:p>
      <w:r>
        <w:t>每个货币和分组构造非重叠的21收益episode，每段需22个报价，相邻段仅共享边界价格。验证各48段、测试各60段；测试从2021年1月4日起，最后完整段截至2025年12月1日。余下20个测试收益不足一段而不用于对冲，但预测评价保留至年底。每段起始现价和执行价归一为100，r=q=0，T=21/252，初始权利金统一使用起始Rolling63波动率。</w:t>
      </w:r>
    </w:p>
    <w:p>
      <w:r>
        <w:t>次步方差预测乘252再开根号，作为剩余期限delta的平坦波动率输入。这是简化决策规则，不是完整期限结构预测，也未按真实外汇双利率估值。比较冻结起始波动率、动态Rolling63、EWMA、Ridge每日策略，以及验证所选预测族的每日、每五步和阈值策略。selected_daily与ewma_daily相同，不能计成独立模型。</w:t>
      </w:r>
    </w:p>
    <w:p>
      <w:r>
        <w:t>费用为0、5、10 bps的假设情景。阈值在验证集5 bps时从0.025、0.05、0.10、0.15、0.20选择，以平均成本≤0.12下最小净RMSE为目标；选定后用于全部测试费用情景。USD选0.10、JPY选0.05。预测损失差采用2000次移动块重采样，块长5、21、63；episode差采用块长1、3、6。区间均为条件于已选模型的逐项近似，不包括选择不确定性。</w:t>
      </w:r>
    </w:p>
    <w:p>
      <w:pPr>
        <w:pStyle w:val="Heading1"/>
      </w:pPr>
      <w:r>
        <w:t>6 数值核验与模拟结果</w:t>
      </w:r>
    </w:p>
    <w:p>
      <w:pPr>
        <w:pStyle w:val="Heading2"/>
      </w:pPr>
      <w:r>
        <w:t>6.1 解析基准与数值误差</w:t>
      </w:r>
    </w:p>
    <w:p>
      <w:r>
        <w:t>在S=K=100、T=1、r=0.05、σ=0.20条件下，解析看涨价格为10.45058357。CRR使用16至1024步的偶数网格；Monte Carlo使用2000至200000条终端路径。图1分别展示树误差和Monte Carlo标准误。偶数子序列的收敛不能据此表述成所有网格的严格单调定理。单次计时仅作描述，不用于宣称算法普遍更快。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6080760" cy="2088342"/>
            <wp:docPr id="1" name="Picture 1" descr="图1 解析基准下的数值近似与Monte Carlo不确定性。反变量标准误基于配对均值，横轴为总终端路径数。来源 numerical_benchmarks.csv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numeric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0883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00"/>
      </w:pPr>
      <w:r>
        <w:t>图1 解析基准下的数值近似与Monte Carlo不确定性。反变量标准误基于配对均值，横轴为总终端路径数。来源 numerical_benchmarks.csv。</w:t>
      </w:r>
    </w:p>
    <w:p>
      <w:pPr>
        <w:pStyle w:val="Heading2"/>
      </w:pPr>
      <w:r>
        <w:t>6.2 七种机制下的风险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"/>
        <w:gridCol w:w="2592"/>
        <w:gridCol w:w="2016"/>
        <w:gridCol w:w="2016"/>
        <w:gridCol w:w="2088"/>
      </w:tblGrid>
      <w:tr>
        <w:trPr>
          <w:tblHeader/>
          <w:cantSplit/>
        </w:trPr>
        <w:tc>
          <w:tcPr>
            <w:tcW w:type="dxa" w:w="864"/>
            <w:shd w:fill="EDEFF1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b/>
                <w:sz w:val="18"/>
              </w:rPr>
              <w:t>场景</w:t>
            </w:r>
          </w:p>
        </w:tc>
        <w:tc>
          <w:tcPr>
            <w:tcW w:type="dxa" w:w="2592"/>
            <w:shd w:fill="EDEFF1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b/>
                <w:sz w:val="18"/>
              </w:rPr>
              <w:t>验证所选策略</w:t>
            </w:r>
          </w:p>
        </w:tc>
        <w:tc>
          <w:tcPr>
            <w:tcW w:type="dxa" w:w="2016"/>
            <w:shd w:fill="EDEFF1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b/>
                <w:sz w:val="18"/>
              </w:rPr>
              <w:t>测试RMSE</w:t>
            </w:r>
          </w:p>
        </w:tc>
        <w:tc>
          <w:tcPr>
            <w:tcW w:type="dxa" w:w="2016"/>
            <w:shd w:fill="EDEFF1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b/>
                <w:sz w:val="18"/>
              </w:rPr>
              <w:t>测试ES95</w:t>
            </w:r>
          </w:p>
        </w:tc>
        <w:tc>
          <w:tcPr>
            <w:tcW w:type="dxa" w:w="2088"/>
            <w:shd w:fill="EDEFF1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b/>
                <w:sz w:val="18"/>
              </w:rPr>
              <w:t>平均成本</w:t>
            </w:r>
          </w:p>
        </w:tc>
      </w:tr>
      <w:tr>
        <w:trPr>
          <w:cantSplit/>
        </w:trPr>
        <w:tc>
          <w:tcPr>
            <w:tcW w:type="dxa" w:w="864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S1</w:t>
            </w:r>
          </w:p>
        </w:tc>
        <w:tc>
          <w:tcPr>
            <w:tcW w:type="dxa" w:w="2592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daily</w:t>
            </w:r>
          </w:p>
        </w:tc>
        <w:tc>
          <w:tcPr>
            <w:tcW w:type="dxa" w:w="2016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0.4977</w:t>
            </w:r>
          </w:p>
        </w:tc>
        <w:tc>
          <w:tcPr>
            <w:tcW w:type="dxa" w:w="2016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1.2818</w:t>
            </w:r>
          </w:p>
        </w:tc>
        <w:tc>
          <w:tcPr>
            <w:tcW w:type="dxa" w:w="2088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0.2355</w:t>
            </w:r>
          </w:p>
        </w:tc>
      </w:tr>
      <w:tr>
        <w:trPr>
          <w:cantSplit/>
        </w:trPr>
        <w:tc>
          <w:tcPr>
            <w:tcW w:type="dxa" w:w="864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S2</w:t>
            </w:r>
          </w:p>
        </w:tc>
        <w:tc>
          <w:tcPr>
            <w:tcW w:type="dxa" w:w="2592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daily</w:t>
            </w:r>
          </w:p>
        </w:tc>
        <w:tc>
          <w:tcPr>
            <w:tcW w:type="dxa" w:w="2016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0.8682</w:t>
            </w:r>
          </w:p>
        </w:tc>
        <w:tc>
          <w:tcPr>
            <w:tcW w:type="dxa" w:w="2016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2.2775</w:t>
            </w:r>
          </w:p>
        </w:tc>
        <w:tc>
          <w:tcPr>
            <w:tcW w:type="dxa" w:w="2088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0.2612</w:t>
            </w:r>
          </w:p>
        </w:tc>
      </w:tr>
      <w:tr>
        <w:trPr>
          <w:cantSplit/>
        </w:trPr>
        <w:tc>
          <w:tcPr>
            <w:tcW w:type="dxa" w:w="864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S3</w:t>
            </w:r>
          </w:p>
        </w:tc>
        <w:tc>
          <w:tcPr>
            <w:tcW w:type="dxa" w:w="2592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daily</w:t>
            </w:r>
          </w:p>
        </w:tc>
        <w:tc>
          <w:tcPr>
            <w:tcW w:type="dxa" w:w="2016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0.9469</w:t>
            </w:r>
          </w:p>
        </w:tc>
        <w:tc>
          <w:tcPr>
            <w:tcW w:type="dxa" w:w="2016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1.8867</w:t>
            </w:r>
          </w:p>
        </w:tc>
        <w:tc>
          <w:tcPr>
            <w:tcW w:type="dxa" w:w="2088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0.2005</w:t>
            </w:r>
          </w:p>
        </w:tc>
      </w:tr>
      <w:tr>
        <w:trPr>
          <w:cantSplit/>
        </w:trPr>
        <w:tc>
          <w:tcPr>
            <w:tcW w:type="dxa" w:w="864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S4</w:t>
            </w:r>
          </w:p>
        </w:tc>
        <w:tc>
          <w:tcPr>
            <w:tcW w:type="dxa" w:w="2592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daily</w:t>
            </w:r>
          </w:p>
        </w:tc>
        <w:tc>
          <w:tcPr>
            <w:tcW w:type="dxa" w:w="2016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0.6361</w:t>
            </w:r>
          </w:p>
        </w:tc>
        <w:tc>
          <w:tcPr>
            <w:tcW w:type="dxa" w:w="2016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1.6814</w:t>
            </w:r>
          </w:p>
        </w:tc>
        <w:tc>
          <w:tcPr>
            <w:tcW w:type="dxa" w:w="2088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0.2388</w:t>
            </w:r>
          </w:p>
        </w:tc>
      </w:tr>
      <w:tr>
        <w:trPr>
          <w:cantSplit/>
        </w:trPr>
        <w:tc>
          <w:tcPr>
            <w:tcW w:type="dxa" w:w="864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S5</w:t>
            </w:r>
          </w:p>
        </w:tc>
        <w:tc>
          <w:tcPr>
            <w:tcW w:type="dxa" w:w="2592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daily</w:t>
            </w:r>
          </w:p>
        </w:tc>
        <w:tc>
          <w:tcPr>
            <w:tcW w:type="dxa" w:w="2016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0.5249</w:t>
            </w:r>
          </w:p>
        </w:tc>
        <w:tc>
          <w:tcPr>
            <w:tcW w:type="dxa" w:w="2016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1.3697</w:t>
            </w:r>
          </w:p>
        </w:tc>
        <w:tc>
          <w:tcPr>
            <w:tcW w:type="dxa" w:w="2088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0.2364</w:t>
            </w:r>
          </w:p>
        </w:tc>
      </w:tr>
      <w:tr>
        <w:trPr>
          <w:cantSplit/>
        </w:trPr>
        <w:tc>
          <w:tcPr>
            <w:tcW w:type="dxa" w:w="864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S6</w:t>
            </w:r>
          </w:p>
        </w:tc>
        <w:tc>
          <w:tcPr>
            <w:tcW w:type="dxa" w:w="2592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band05</w:t>
            </w:r>
          </w:p>
        </w:tc>
        <w:tc>
          <w:tcPr>
            <w:tcW w:type="dxa" w:w="2016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4.2837</w:t>
            </w:r>
          </w:p>
        </w:tc>
        <w:tc>
          <w:tcPr>
            <w:tcW w:type="dxa" w:w="2016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9.4201</w:t>
            </w:r>
          </w:p>
        </w:tc>
        <w:tc>
          <w:tcPr>
            <w:tcW w:type="dxa" w:w="2088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0.2295</w:t>
            </w:r>
          </w:p>
        </w:tc>
      </w:tr>
      <w:tr>
        <w:trPr>
          <w:cantSplit/>
        </w:trPr>
        <w:tc>
          <w:tcPr>
            <w:tcW w:type="dxa" w:w="864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S7</w:t>
            </w:r>
          </w:p>
        </w:tc>
        <w:tc>
          <w:tcPr>
            <w:tcW w:type="dxa" w:w="2592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band10</w:t>
            </w:r>
          </w:p>
        </w:tc>
        <w:tc>
          <w:tcPr>
            <w:tcW w:type="dxa" w:w="2016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4.1708</w:t>
            </w:r>
          </w:p>
        </w:tc>
        <w:tc>
          <w:tcPr>
            <w:tcW w:type="dxa" w:w="2016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14.7056</w:t>
            </w:r>
          </w:p>
        </w:tc>
        <w:tc>
          <w:tcPr>
            <w:tcW w:type="dxa" w:w="2088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0.1336</w:t>
            </w:r>
          </w:p>
        </w:tc>
      </w:tr>
    </w:tbl>
    <w:p/>
    <w:p>
      <w:pPr>
        <w:keepNext/>
      </w:pPr>
      <w:r>
        <w:drawing>
          <wp:inline xmlns:a="http://schemas.openxmlformats.org/drawingml/2006/main" xmlns:pic="http://schemas.openxmlformats.org/drawingml/2006/picture">
            <wp:extent cx="6080760" cy="2169207"/>
            <wp:docPr id="2" name="Picture 2" descr="图2 全部126个测试条件的净损益RMSE。七种场景、六种策略、三档费用均展示，避免只保留表现最佳的条件。每条件8192条路径，同一场景的条件共享路径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scenario_ris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1692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00"/>
      </w:pPr>
      <w:r>
        <w:t>图2 全部126个测试条件的净损益RMSE。七种场景、六种策略、三档费用均展示，避免只保留表现最佳的条件。每条件8192条路径，同一场景的条件共享路径。</w:t>
      </w:r>
    </w:p>
    <w:p>
      <w:r>
        <w:t>有限校准样本增加了对冲输入的不确定性，较长校准样本在此实验中减轻该效应，但不能把两种独立场景的差当作配对显著性结果。制度切换和跳跃导致的误差远大于模型匹配基准，说明把数值求解器算得更精确，并不会自动消除生成机制失配。共同初始权利金也使场景间损益包含定价偏差。</w:t>
      </w:r>
    </w:p>
    <w:p>
      <w:pPr>
        <w:pStyle w:val="Heading2"/>
      </w:pPr>
      <w:r>
        <w:t>6.3 成本约束与主要比较</w:t>
      </w:r>
    </w:p>
    <w:p>
      <w:r>
        <w:t>S1、5 bps的每日策略测试RMSE为0.497736，every5为0.958251。主要配对平方损失差为-0.670504，标准误0.017438，95%区间[-0.704686, -0.636322]。这是对指定路径机制、费用与候选集的证据，不能扩展为市场中每日调仓恒优。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6080760" cy="1911096"/>
            <wp:docPr id="3" name="Picture 3" descr="图3 模型匹配场景的费用与风险。竖虚线是0.50平均成本预算；预算用于验证选择，图展示测试结果。同一费率下各点使用同组测试路径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cost_risk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19110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00"/>
      </w:pPr>
      <w:r>
        <w:t>图3 模型匹配场景的费用与风险。竖虚线是0.50平均成本预算；预算用于验证选择，图展示测试结果。同一费率下各点使用同组测试路径。</w:t>
      </w:r>
    </w:p>
    <w:p>
      <w:r>
        <w:t>高费用下预算可迫使选择较低频的策略，从而增加相对不受相同可行性限制的高频基线的误差。此类比较显示成本约束的代价，不能解释为所选策略在同一可行集合内一定失败。文件逐一保留验证是否可行及测试是否满足预算，未把预算外的结果隐藏。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6080760" cy="2380369"/>
            <wp:docPr id="4" name="Picture 4" descr="图4 5 bps下所选策略相对every5的平均平方损失差及95%配对区间。仅S1为主要比较，其余场景为探索性逐项区间。负值有利于所选策略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paired_comparison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3803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00"/>
      </w:pPr>
      <w:r>
        <w:t>图4 5 bps下所选策略相对every5的平均平方损失差及95%配对区间。仅S1为主要比较，其余场景为探索性逐项区间。负值有利于所选策略。</w:t>
      </w:r>
    </w:p>
    <w:p>
      <w:pPr>
        <w:pStyle w:val="Heading1"/>
      </w:pPr>
      <w:r>
        <w:t>7 历史预测与下游决策结果</w:t>
      </w:r>
    </w:p>
    <w:p>
      <w:pPr>
        <w:pStyle w:val="Heading2"/>
      </w:pPr>
      <w:r>
        <w:t>7.1 预测误差的跨货币差异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84"/>
        <w:gridCol w:w="2448"/>
        <w:gridCol w:w="2592"/>
        <w:gridCol w:w="2952"/>
      </w:tblGrid>
      <w:tr>
        <w:trPr>
          <w:tblHeader/>
          <w:cantSplit/>
        </w:trPr>
        <w:tc>
          <w:tcPr>
            <w:tcW w:type="dxa" w:w="1584"/>
            <w:shd w:fill="EDEFF1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b/>
                <w:sz w:val="18"/>
              </w:rPr>
              <w:t>货币每欧元</w:t>
            </w:r>
          </w:p>
        </w:tc>
        <w:tc>
          <w:tcPr>
            <w:tcW w:type="dxa" w:w="2448"/>
            <w:shd w:fill="EDEFF1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b/>
                <w:sz w:val="18"/>
              </w:rPr>
              <w:t>模型</w:t>
            </w:r>
          </w:p>
        </w:tc>
        <w:tc>
          <w:tcPr>
            <w:tcW w:type="dxa" w:w="2592"/>
            <w:shd w:fill="EDEFF1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b/>
                <w:sz w:val="18"/>
              </w:rPr>
              <w:t>测试QLIKE</w:t>
            </w:r>
          </w:p>
        </w:tc>
        <w:tc>
          <w:tcPr>
            <w:tcW w:type="dxa" w:w="2952"/>
            <w:shd w:fill="EDEFF1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b/>
                <w:sz w:val="18"/>
              </w:rPr>
              <w:t>测试MSE</w:t>
            </w:r>
          </w:p>
        </w:tc>
      </w:tr>
      <w:tr>
        <w:trPr>
          <w:cantSplit/>
        </w:trPr>
        <w:tc>
          <w:tcPr>
            <w:tcW w:type="dxa" w:w="1584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USD</w:t>
            </w:r>
          </w:p>
        </w:tc>
        <w:tc>
          <w:tcPr>
            <w:tcW w:type="dxa" w:w="2448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train_constant</w:t>
            </w:r>
          </w:p>
        </w:tc>
        <w:tc>
          <w:tcPr>
            <w:tcW w:type="dxa" w:w="2592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-9.570209</w:t>
            </w:r>
          </w:p>
        </w:tc>
        <w:tc>
          <w:tcPr>
            <w:tcW w:type="dxa" w:w="2952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3.6244e-09</w:t>
            </w:r>
          </w:p>
        </w:tc>
      </w:tr>
      <w:tr>
        <w:trPr>
          <w:cantSplit/>
        </w:trPr>
        <w:tc>
          <w:tcPr>
            <w:tcW w:type="dxa" w:w="1584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USD</w:t>
            </w:r>
          </w:p>
        </w:tc>
        <w:tc>
          <w:tcPr>
            <w:tcW w:type="dxa" w:w="2448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rolling63</w:t>
            </w:r>
          </w:p>
        </w:tc>
        <w:tc>
          <w:tcPr>
            <w:tcW w:type="dxa" w:w="2592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-9.779225</w:t>
            </w:r>
          </w:p>
        </w:tc>
        <w:tc>
          <w:tcPr>
            <w:tcW w:type="dxa" w:w="2952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3.2950e-09</w:t>
            </w:r>
          </w:p>
        </w:tc>
      </w:tr>
      <w:tr>
        <w:trPr>
          <w:cantSplit/>
        </w:trPr>
        <w:tc>
          <w:tcPr>
            <w:tcW w:type="dxa" w:w="1584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USD</w:t>
            </w:r>
          </w:p>
        </w:tc>
        <w:tc>
          <w:tcPr>
            <w:tcW w:type="dxa" w:w="2448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ewma</w:t>
            </w:r>
          </w:p>
        </w:tc>
        <w:tc>
          <w:tcPr>
            <w:tcW w:type="dxa" w:w="2592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-9.782140</w:t>
            </w:r>
          </w:p>
        </w:tc>
        <w:tc>
          <w:tcPr>
            <w:tcW w:type="dxa" w:w="2952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3.2753e-09</w:t>
            </w:r>
          </w:p>
        </w:tc>
      </w:tr>
      <w:tr>
        <w:trPr>
          <w:cantSplit/>
        </w:trPr>
        <w:tc>
          <w:tcPr>
            <w:tcW w:type="dxa" w:w="1584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USD</w:t>
            </w:r>
          </w:p>
        </w:tc>
        <w:tc>
          <w:tcPr>
            <w:tcW w:type="dxa" w:w="2448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ridge</w:t>
            </w:r>
          </w:p>
        </w:tc>
        <w:tc>
          <w:tcPr>
            <w:tcW w:type="dxa" w:w="2592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-9.783746</w:t>
            </w:r>
          </w:p>
        </w:tc>
        <w:tc>
          <w:tcPr>
            <w:tcW w:type="dxa" w:w="2952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3.2846e-09</w:t>
            </w:r>
          </w:p>
        </w:tc>
      </w:tr>
      <w:tr>
        <w:trPr>
          <w:cantSplit/>
        </w:trPr>
        <w:tc>
          <w:tcPr>
            <w:tcW w:type="dxa" w:w="1584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JPY</w:t>
            </w:r>
          </w:p>
        </w:tc>
        <w:tc>
          <w:tcPr>
            <w:tcW w:type="dxa" w:w="2448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train_constant</w:t>
            </w:r>
          </w:p>
        </w:tc>
        <w:tc>
          <w:tcPr>
            <w:tcW w:type="dxa" w:w="2592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-9.150672</w:t>
            </w:r>
          </w:p>
        </w:tc>
        <w:tc>
          <w:tcPr>
            <w:tcW w:type="dxa" w:w="2952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6.9396e-09</w:t>
            </w:r>
          </w:p>
        </w:tc>
      </w:tr>
      <w:tr>
        <w:trPr>
          <w:cantSplit/>
        </w:trPr>
        <w:tc>
          <w:tcPr>
            <w:tcW w:type="dxa" w:w="1584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JPY</w:t>
            </w:r>
          </w:p>
        </w:tc>
        <w:tc>
          <w:tcPr>
            <w:tcW w:type="dxa" w:w="2448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rolling63</w:t>
            </w:r>
          </w:p>
        </w:tc>
        <w:tc>
          <w:tcPr>
            <w:tcW w:type="dxa" w:w="2592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-9.398012</w:t>
            </w:r>
          </w:p>
        </w:tc>
        <w:tc>
          <w:tcPr>
            <w:tcW w:type="dxa" w:w="2952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6.0333e-09</w:t>
            </w:r>
          </w:p>
        </w:tc>
      </w:tr>
      <w:tr>
        <w:trPr>
          <w:cantSplit/>
        </w:trPr>
        <w:tc>
          <w:tcPr>
            <w:tcW w:type="dxa" w:w="1584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JPY</w:t>
            </w:r>
          </w:p>
        </w:tc>
        <w:tc>
          <w:tcPr>
            <w:tcW w:type="dxa" w:w="2448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ewma</w:t>
            </w:r>
          </w:p>
        </w:tc>
        <w:tc>
          <w:tcPr>
            <w:tcW w:type="dxa" w:w="2592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-9.436722</w:t>
            </w:r>
          </w:p>
        </w:tc>
        <w:tc>
          <w:tcPr>
            <w:tcW w:type="dxa" w:w="2952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5.9263e-09</w:t>
            </w:r>
          </w:p>
        </w:tc>
      </w:tr>
      <w:tr>
        <w:trPr>
          <w:cantSplit/>
        </w:trPr>
        <w:tc>
          <w:tcPr>
            <w:tcW w:type="dxa" w:w="1584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JPY</w:t>
            </w:r>
          </w:p>
        </w:tc>
        <w:tc>
          <w:tcPr>
            <w:tcW w:type="dxa" w:w="2448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ridge</w:t>
            </w:r>
          </w:p>
        </w:tc>
        <w:tc>
          <w:tcPr>
            <w:tcW w:type="dxa" w:w="2592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-9.468054</w:t>
            </w:r>
          </w:p>
        </w:tc>
        <w:tc>
          <w:tcPr>
            <w:tcW w:type="dxa" w:w="2952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5.7831e-09</w:t>
            </w:r>
          </w:p>
        </w:tc>
      </w:tr>
    </w:tbl>
    <w:p/>
    <w:p>
      <w:pPr>
        <w:keepNext/>
      </w:pPr>
      <w:r>
        <w:drawing>
          <wp:inline xmlns:a="http://schemas.openxmlformats.org/drawingml/2006/main" xmlns:pic="http://schemas.openxmlformats.org/drawingml/2006/picture">
            <wp:extent cx="6080760" cy="3309182"/>
            <wp:docPr id="5" name="Picture 5" descr="图5 测试期因果波动率预测。曲线由当期及过去信息产生，系数未用测试期重新拟合；年化252步是统一约定。来源 historical_forecasts.csv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historical_volatilit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3091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00"/>
      </w:pPr>
      <w:r>
        <w:t>图5 测试期因果波动率预测。曲线由当期及过去信息产生，系数未用测试期重新拟合；年化252步是统一约定。来源 historical_forecasts.csv。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6080760" cy="2201080"/>
            <wp:docPr id="6" name="Picture 6" descr="图6 相对Rolling63的测试QLIKE差。负值表示较低代理损失；点估计排序不是验证选择的替代，也不代表下游经济收益排序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forecast_comparis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201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00"/>
      </w:pPr>
      <w:r>
        <w:t>图6 相对Rolling63的测试QLIKE差。负值表示较低代理损失；点估计排序不是验证选择的替代，也不代表下游经济收益排序。</w:t>
      </w:r>
    </w:p>
    <w:p>
      <w:r>
        <w:t>USD的Ridge相对Rolling63的QLIKE差约为−0.004521，块长21的95%区间为[−0.027194, 0.013618]，包含零。JPY对应差约为−0.070042，区间[−0.129258, −0.022762]。块长5、21、63下USD均包含零，JPY均低于零；但仍需保留非平稳、代理噪声、多重比较以及忽略模型选择不确定性的限制。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6080760" cy="2086119"/>
            <wp:docPr id="7" name="Picture 7" descr="图7 Ridge相对Rolling63的QLIKE差对移动块长度的敏感性。三种块长全部展示，每种2000次重采样。不能从这些逐项区间推出全局覆盖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block_sensitivit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0861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00"/>
      </w:pPr>
      <w:r>
        <w:t>图7 Ridge相对Rolling63的QLIKE差对移动块长度的敏感性。三种块长全部展示，每种2000次重采样。不能从这些逐项区间推出全局覆盖。</w:t>
      </w:r>
    </w:p>
    <w:p>
      <w:pPr>
        <w:pStyle w:val="Heading2"/>
      </w:pPr>
      <w:r>
        <w:t>7.2 更好的预测是否带来更好的对冲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2"/>
        <w:gridCol w:w="3024"/>
        <w:gridCol w:w="1915"/>
        <w:gridCol w:w="1915"/>
        <w:gridCol w:w="1930"/>
      </w:tblGrid>
      <w:tr>
        <w:trPr>
          <w:tblHeader/>
          <w:cantSplit/>
        </w:trPr>
        <w:tc>
          <w:tcPr>
            <w:tcW w:type="dxa" w:w="792"/>
            <w:shd w:fill="EDEFF1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b/>
                <w:sz w:val="18"/>
              </w:rPr>
              <w:t>货币</w:t>
            </w:r>
          </w:p>
        </w:tc>
        <w:tc>
          <w:tcPr>
            <w:tcW w:type="dxa" w:w="3024"/>
            <w:shd w:fill="EDEFF1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b/>
                <w:sz w:val="18"/>
              </w:rPr>
              <w:t>策略</w:t>
            </w:r>
          </w:p>
        </w:tc>
        <w:tc>
          <w:tcPr>
            <w:tcW w:type="dxa" w:w="1915"/>
            <w:shd w:fill="EDEFF1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b/>
                <w:sz w:val="18"/>
              </w:rPr>
              <w:t>净RMSE</w:t>
            </w:r>
          </w:p>
        </w:tc>
        <w:tc>
          <w:tcPr>
            <w:tcW w:type="dxa" w:w="1915"/>
            <w:shd w:fill="EDEFF1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b/>
                <w:sz w:val="18"/>
              </w:rPr>
              <w:t>平均费用</w:t>
            </w:r>
          </w:p>
        </w:tc>
        <w:tc>
          <w:tcPr>
            <w:tcW w:type="dxa" w:w="1930"/>
            <w:shd w:fill="EDEFF1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b/>
                <w:sz w:val="18"/>
              </w:rPr>
              <w:t>ES95</w:t>
            </w:r>
          </w:p>
        </w:tc>
      </w:tr>
      <w:tr>
        <w:trPr>
          <w:cantSplit/>
        </w:trPr>
        <w:tc>
          <w:tcPr>
            <w:tcW w:type="dxa" w:w="792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USD</w:t>
            </w:r>
          </w:p>
        </w:tc>
        <w:tc>
          <w:tcPr>
            <w:tcW w:type="dxa" w:w="3024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rolling63 每日</w:t>
            </w:r>
          </w:p>
        </w:tc>
        <w:tc>
          <w:tcPr>
            <w:tcW w:type="dxa" w:w="1915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0.316224</w:t>
            </w:r>
          </w:p>
        </w:tc>
        <w:tc>
          <w:tcPr>
            <w:tcW w:type="dxa" w:w="1915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0.114780</w:t>
            </w:r>
          </w:p>
        </w:tc>
        <w:tc>
          <w:tcPr>
            <w:tcW w:type="dxa" w:w="1930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0.877026</w:t>
            </w:r>
          </w:p>
        </w:tc>
      </w:tr>
      <w:tr>
        <w:trPr>
          <w:cantSplit/>
        </w:trPr>
        <w:tc>
          <w:tcPr>
            <w:tcW w:type="dxa" w:w="792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USD</w:t>
            </w:r>
          </w:p>
        </w:tc>
        <w:tc>
          <w:tcPr>
            <w:tcW w:type="dxa" w:w="3024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ridge 每日</w:t>
            </w:r>
          </w:p>
        </w:tc>
        <w:tc>
          <w:tcPr>
            <w:tcW w:type="dxa" w:w="1915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0.314115</w:t>
            </w:r>
          </w:p>
        </w:tc>
        <w:tc>
          <w:tcPr>
            <w:tcW w:type="dxa" w:w="1915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0.113367</w:t>
            </w:r>
          </w:p>
        </w:tc>
        <w:tc>
          <w:tcPr>
            <w:tcW w:type="dxa" w:w="1930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0.884912</w:t>
            </w:r>
          </w:p>
        </w:tc>
      </w:tr>
      <w:tr>
        <w:trPr>
          <w:cantSplit/>
        </w:trPr>
        <w:tc>
          <w:tcPr>
            <w:tcW w:type="dxa" w:w="792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USD</w:t>
            </w:r>
          </w:p>
        </w:tc>
        <w:tc>
          <w:tcPr>
            <w:tcW w:type="dxa" w:w="3024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所选预测 daily</w:t>
            </w:r>
          </w:p>
        </w:tc>
        <w:tc>
          <w:tcPr>
            <w:tcW w:type="dxa" w:w="1915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0.317515</w:t>
            </w:r>
          </w:p>
        </w:tc>
        <w:tc>
          <w:tcPr>
            <w:tcW w:type="dxa" w:w="1915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0.114798</w:t>
            </w:r>
          </w:p>
        </w:tc>
        <w:tc>
          <w:tcPr>
            <w:tcW w:type="dxa" w:w="1930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0.889438</w:t>
            </w:r>
          </w:p>
        </w:tc>
      </w:tr>
      <w:tr>
        <w:trPr>
          <w:cantSplit/>
        </w:trPr>
        <w:tc>
          <w:tcPr>
            <w:tcW w:type="dxa" w:w="792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USD</w:t>
            </w:r>
          </w:p>
        </w:tc>
        <w:tc>
          <w:tcPr>
            <w:tcW w:type="dxa" w:w="3024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所选预测 every5</w:t>
            </w:r>
          </w:p>
        </w:tc>
        <w:tc>
          <w:tcPr>
            <w:tcW w:type="dxa" w:w="1915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0.350064</w:t>
            </w:r>
          </w:p>
        </w:tc>
        <w:tc>
          <w:tcPr>
            <w:tcW w:type="dxa" w:w="1915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0.080696</w:t>
            </w:r>
          </w:p>
        </w:tc>
        <w:tc>
          <w:tcPr>
            <w:tcW w:type="dxa" w:w="1930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0.780888</w:t>
            </w:r>
          </w:p>
        </w:tc>
      </w:tr>
      <w:tr>
        <w:trPr>
          <w:cantSplit/>
        </w:trPr>
        <w:tc>
          <w:tcPr>
            <w:tcW w:type="dxa" w:w="792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USD</w:t>
            </w:r>
          </w:p>
        </w:tc>
        <w:tc>
          <w:tcPr>
            <w:tcW w:type="dxa" w:w="3024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所选预测 threshold</w:t>
            </w:r>
          </w:p>
        </w:tc>
        <w:tc>
          <w:tcPr>
            <w:tcW w:type="dxa" w:w="1915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0.337122</w:t>
            </w:r>
          </w:p>
        </w:tc>
        <w:tc>
          <w:tcPr>
            <w:tcW w:type="dxa" w:w="1915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0.096046</w:t>
            </w:r>
          </w:p>
        </w:tc>
        <w:tc>
          <w:tcPr>
            <w:tcW w:type="dxa" w:w="1930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0.965064</w:t>
            </w:r>
          </w:p>
        </w:tc>
      </w:tr>
      <w:tr>
        <w:trPr>
          <w:cantSplit/>
        </w:trPr>
        <w:tc>
          <w:tcPr>
            <w:tcW w:type="dxa" w:w="792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JPY</w:t>
            </w:r>
          </w:p>
        </w:tc>
        <w:tc>
          <w:tcPr>
            <w:tcW w:type="dxa" w:w="3024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rolling63 每日</w:t>
            </w:r>
          </w:p>
        </w:tc>
        <w:tc>
          <w:tcPr>
            <w:tcW w:type="dxa" w:w="1915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0.424266</w:t>
            </w:r>
          </w:p>
        </w:tc>
        <w:tc>
          <w:tcPr>
            <w:tcW w:type="dxa" w:w="1915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0.125875</w:t>
            </w:r>
          </w:p>
        </w:tc>
        <w:tc>
          <w:tcPr>
            <w:tcW w:type="dxa" w:w="1930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1.234089</w:t>
            </w:r>
          </w:p>
        </w:tc>
      </w:tr>
      <w:tr>
        <w:trPr>
          <w:cantSplit/>
        </w:trPr>
        <w:tc>
          <w:tcPr>
            <w:tcW w:type="dxa" w:w="792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JPY</w:t>
            </w:r>
          </w:p>
        </w:tc>
        <w:tc>
          <w:tcPr>
            <w:tcW w:type="dxa" w:w="3024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ridge 每日</w:t>
            </w:r>
          </w:p>
        </w:tc>
        <w:tc>
          <w:tcPr>
            <w:tcW w:type="dxa" w:w="1915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0.419217</w:t>
            </w:r>
          </w:p>
        </w:tc>
        <w:tc>
          <w:tcPr>
            <w:tcW w:type="dxa" w:w="1915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0.125365</w:t>
            </w:r>
          </w:p>
        </w:tc>
        <w:tc>
          <w:tcPr>
            <w:tcW w:type="dxa" w:w="1930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1.192352</w:t>
            </w:r>
          </w:p>
        </w:tc>
      </w:tr>
      <w:tr>
        <w:trPr>
          <w:cantSplit/>
        </w:trPr>
        <w:tc>
          <w:tcPr>
            <w:tcW w:type="dxa" w:w="792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JPY</w:t>
            </w:r>
          </w:p>
        </w:tc>
        <w:tc>
          <w:tcPr>
            <w:tcW w:type="dxa" w:w="3024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所选预测 daily</w:t>
            </w:r>
          </w:p>
        </w:tc>
        <w:tc>
          <w:tcPr>
            <w:tcW w:type="dxa" w:w="1915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0.425496</w:t>
            </w:r>
          </w:p>
        </w:tc>
        <w:tc>
          <w:tcPr>
            <w:tcW w:type="dxa" w:w="1915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0.126016</w:t>
            </w:r>
          </w:p>
        </w:tc>
        <w:tc>
          <w:tcPr>
            <w:tcW w:type="dxa" w:w="1930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1.219461</w:t>
            </w:r>
          </w:p>
        </w:tc>
      </w:tr>
      <w:tr>
        <w:trPr>
          <w:cantSplit/>
        </w:trPr>
        <w:tc>
          <w:tcPr>
            <w:tcW w:type="dxa" w:w="792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JPY</w:t>
            </w:r>
          </w:p>
        </w:tc>
        <w:tc>
          <w:tcPr>
            <w:tcW w:type="dxa" w:w="3024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所选预测 every5</w:t>
            </w:r>
          </w:p>
        </w:tc>
        <w:tc>
          <w:tcPr>
            <w:tcW w:type="dxa" w:w="1915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0.537356</w:t>
            </w:r>
          </w:p>
        </w:tc>
        <w:tc>
          <w:tcPr>
            <w:tcW w:type="dxa" w:w="1915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0.092215</w:t>
            </w:r>
          </w:p>
        </w:tc>
        <w:tc>
          <w:tcPr>
            <w:tcW w:type="dxa" w:w="1930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1.369217</w:t>
            </w:r>
          </w:p>
        </w:tc>
      </w:tr>
      <w:tr>
        <w:trPr>
          <w:cantSplit/>
        </w:trPr>
        <w:tc>
          <w:tcPr>
            <w:tcW w:type="dxa" w:w="792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JPY</w:t>
            </w:r>
          </w:p>
        </w:tc>
        <w:tc>
          <w:tcPr>
            <w:tcW w:type="dxa" w:w="3024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所选预测 threshold</w:t>
            </w:r>
          </w:p>
        </w:tc>
        <w:tc>
          <w:tcPr>
            <w:tcW w:type="dxa" w:w="1915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0.424957</w:t>
            </w:r>
          </w:p>
        </w:tc>
        <w:tc>
          <w:tcPr>
            <w:tcW w:type="dxa" w:w="1915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0.117697</w:t>
            </w:r>
          </w:p>
        </w:tc>
        <w:tc>
          <w:tcPr>
            <w:tcW w:type="dxa" w:w="1930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1.230813</w:t>
            </w:r>
          </w:p>
        </w:tc>
      </w:tr>
    </w:tbl>
    <w:p/>
    <w:p>
      <w:r>
        <w:t>JPY的Ridge每日对冲净RMSE为0.419217，Rolling63为0.424266，但两者平方净损失差在3段块长下的95%区间为[−0.017831, 0.007734]。因此，方差代理预测上的优势尚不能转述为明确的下游对冲优势。这种不同目标间的证据落差，是研究发现本身。</w:t>
      </w:r>
    </w:p>
    <w:p>
      <w:r>
        <w:t>USD的所选预测每日策略平均费用0.114798，阈值策略降至0.096046，但净RMSE由0.317515升至0.337122。JPY费用由0.126016降至0.117697，净RMSE由0.425496变为0.424957，点估计接近。两货币阈值与每日策略的平方损失差区间均包含零，不能据点估计宣布普遍风险改善。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6080760" cy="2632524"/>
            <wp:docPr id="8" name="Picture 8" descr="图8 历史测试的费用与净复制风险。5 bps、每货币60段、起始价格归一为100。竖线0.12为验证预算；JPY每日策略测试平均费用超过此线仍如实展示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historical_hedging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6325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00"/>
      </w:pPr>
      <w:r>
        <w:t>图8 历史测试的费用与净复制风险。5 bps、每货币60段、起始价格归一为100。竖线0.12为验证预算；JPY每日策略测试平均费用超过此线仍如实展示。</w:t>
      </w:r>
    </w:p>
    <w:p>
      <w:r>
        <w:t>测试每货币只有60段，最差5%尾部约由3段决定，因此ES估计敏感，不能用六位小数制造可靠性印象。CSV保留完整精度便于复算，表内小数只服务于核对。两条货币路径共享欧元及宏观环境，研究不进行合并样本的显著性宣称。</w:t>
      </w:r>
    </w:p>
    <w:p>
      <w:pPr>
        <w:pStyle w:val="Heading1"/>
      </w:pPr>
      <w:r>
        <w:t>8 软件结构与可验证实现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"/>
        <w:gridCol w:w="4536"/>
        <w:gridCol w:w="4176"/>
      </w:tblGrid>
      <w:tr>
        <w:trPr>
          <w:tblHeader/>
          <w:cantSplit/>
        </w:trPr>
        <w:tc>
          <w:tcPr>
            <w:tcW w:type="dxa" w:w="864"/>
            <w:shd w:fill="EDEFF1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b/>
                <w:sz w:val="18"/>
              </w:rPr>
              <w:t>层</w:t>
            </w:r>
          </w:p>
        </w:tc>
        <w:tc>
          <w:tcPr>
            <w:tcW w:type="dxa" w:w="4536"/>
            <w:shd w:fill="EDEFF1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b/>
                <w:sz w:val="18"/>
              </w:rPr>
              <w:t>实现内容</w:t>
            </w:r>
          </w:p>
        </w:tc>
        <w:tc>
          <w:tcPr>
            <w:tcW w:type="dxa" w:w="4176"/>
            <w:shd w:fill="EDEFF1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b/>
                <w:sz w:val="18"/>
              </w:rPr>
              <w:t>验证依据</w:t>
            </w:r>
          </w:p>
        </w:tc>
      </w:tr>
      <w:tr>
        <w:trPr>
          <w:cantSplit/>
        </w:trPr>
        <w:tc>
          <w:tcPr>
            <w:tcW w:type="dxa" w:w="864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数据</w:t>
            </w:r>
          </w:p>
        </w:tc>
        <w:tc>
          <w:tcPr>
            <w:tcW w:type="dxa" w:w="4536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官方快照 来源许可 日期质量 SHA256</w:t>
            </w:r>
          </w:p>
        </w:tc>
        <w:tc>
          <w:tcPr>
            <w:tcW w:type="dxa" w:w="4176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原始与处理文件hash 缺失重复检查</w:t>
            </w:r>
          </w:p>
        </w:tc>
      </w:tr>
      <w:tr>
        <w:trPr>
          <w:cantSplit/>
        </w:trPr>
        <w:tc>
          <w:tcPr>
            <w:tcW w:type="dxa" w:w="864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模型</w:t>
            </w:r>
          </w:p>
        </w:tc>
        <w:tc>
          <w:tcPr>
            <w:tcW w:type="dxa" w:w="4536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BS Greeks IV CRR MC 路径过程 Ridge EWMA</w:t>
            </w:r>
          </w:p>
        </w:tc>
        <w:tc>
          <w:tcPr>
            <w:tcW w:type="dxa" w:w="4176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平价 边界 差分 收敛 未来扰动测试</w:t>
            </w:r>
          </w:p>
        </w:tc>
      </w:tr>
      <w:tr>
        <w:trPr>
          <w:cantSplit/>
        </w:trPr>
        <w:tc>
          <w:tcPr>
            <w:tcW w:type="dxa" w:w="864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决策</w:t>
            </w:r>
          </w:p>
        </w:tc>
        <w:tc>
          <w:tcPr>
            <w:tcW w:type="dxa" w:w="4536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共同premium 固定与阈值规则 验证预算</w:t>
            </w:r>
          </w:p>
        </w:tc>
        <w:tc>
          <w:tcPr>
            <w:tcW w:type="dxa" w:w="4176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现金流手算 费用终值恒等式 时间切分</w:t>
            </w:r>
          </w:p>
        </w:tc>
      </w:tr>
      <w:tr>
        <w:trPr>
          <w:cantSplit/>
        </w:trPr>
        <w:tc>
          <w:tcPr>
            <w:tcW w:type="dxa" w:w="864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证据</w:t>
            </w:r>
          </w:p>
        </w:tc>
        <w:tc>
          <w:tcPr>
            <w:tcW w:type="dxa" w:w="4536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JSON CSV SQLite 来源外键与只读查询</w:t>
            </w:r>
          </w:p>
        </w:tc>
        <w:tc>
          <w:tcPr>
            <w:tcW w:type="dxa" w:w="4176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输出一致性 SQL聚合与CSV核验</w:t>
            </w:r>
          </w:p>
        </w:tc>
      </w:tr>
      <w:tr>
        <w:trPr>
          <w:cantSplit/>
        </w:trPr>
        <w:tc>
          <w:tcPr>
            <w:tcW w:type="dxa" w:w="864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交互</w:t>
            </w:r>
          </w:p>
        </w:tc>
        <w:tc>
          <w:tcPr>
            <w:tcW w:type="dxa" w:w="4536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定价 敏感度 模拟 历史与能力证据</w:t>
            </w:r>
          </w:p>
        </w:tc>
        <w:tc>
          <w:tcPr>
            <w:tcW w:type="dxa" w:w="4176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真实API 请求界限 错误反馈 浏览器流程</w:t>
            </w:r>
          </w:p>
        </w:tc>
      </w:tr>
      <w:tr>
        <w:trPr>
          <w:cantSplit/>
        </w:trPr>
        <w:tc>
          <w:tcPr>
            <w:tcW w:type="dxa" w:w="864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复现</w:t>
            </w:r>
          </w:p>
        </w:tc>
        <w:tc>
          <w:tcPr>
            <w:tcW w:type="dxa" w:w="4536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冻结协议 固定种子 版本与报告构建</w:t>
            </w:r>
          </w:p>
        </w:tc>
        <w:tc>
          <w:tcPr>
            <w:tcW w:type="dxa" w:w="4176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测试结果 产物审计 独立复现入口</w:t>
            </w:r>
          </w:p>
        </w:tc>
      </w:tr>
    </w:tbl>
    <w:p/>
    <w:p>
      <w:r>
        <w:t>交互工作台在本地运行。参数变更会调用真实计算核心；保存的正式实验与临时交互实验分开标示，避免用户在界面试参数后误认为论文已更新。API限制路径数、步数与总体数组规模，对非有限值、异常JSON及越界输入给出明确错误。服务默认只监听127.0.0.1，无账户、真实交易或资金操作。</w:t>
      </w:r>
    </w:p>
    <w:p>
      <w:r>
        <w:t>SQLite证据库包含来源表、模拟条件表、预测表与episode表；主键阻止重复观察，外键把每行指向来源CSV和哈希。test_risk视图按货币、策略与成本聚合测试损失；查询脚本使用参数绑定与只读连接。此模块展示数据组织与可审计查询，未把单机研究库描述成大规模生产数据库。</w:t>
      </w:r>
    </w:p>
    <w:p>
      <w:pPr>
        <w:pStyle w:val="Heading2"/>
      </w:pPr>
      <w:r>
        <w:t>8.1 正确性测试与产物审计</w:t>
      </w:r>
    </w:p>
    <w:p>
      <w:r>
        <w:t>最终记录中共有163项自动化测试通过。测试重点是会影响研究结论的性质：看涨看跌平价、Greek差分、无套利界、零波动率与到期处理、反变量独立单位、独立账本手算、费用与财富恒等式、时间边界、未来数据扰动不改变过去预测、验证选择不受测试期修改影响，以及服务输入验证。</w:t>
      </w:r>
    </w:p>
    <w:p>
      <w:r>
        <w:t>另一个产物审计器核验协议与实现哈希、完整场景覆盖、仅用验证指标所作选择、历史共同premium、账本终值以及SQLite与CSV逐列一致。测试通过只支持已验证范围，不证明不存在所有软件缺陷，更不证明经济假设有效。CI配置随包提供；本地执行和远程CI执行在证据中明确区分。</w:t>
      </w:r>
    </w:p>
    <w:p>
      <w:pPr>
        <w:pStyle w:val="Heading2"/>
      </w:pPr>
      <w:r>
        <w:t>8.2 并行计算的实际负结果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3744"/>
        <w:gridCol w:w="3672"/>
      </w:tblGrid>
      <w:tr>
        <w:trPr>
          <w:tblHeader/>
          <w:cantSplit/>
        </w:trPr>
        <w:tc>
          <w:tcPr>
            <w:tcW w:type="dxa" w:w="2160"/>
            <w:shd w:fill="EDEFF1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b/>
                <w:sz w:val="18"/>
              </w:rPr>
              <w:t>工作进程数</w:t>
            </w:r>
          </w:p>
        </w:tc>
        <w:tc>
          <w:tcPr>
            <w:tcW w:type="dxa" w:w="3744"/>
            <w:shd w:fill="EDEFF1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b/>
                <w:sz w:val="18"/>
              </w:rPr>
              <w:t>三次运行中位秒数</w:t>
            </w:r>
          </w:p>
        </w:tc>
        <w:tc>
          <w:tcPr>
            <w:tcW w:type="dxa" w:w="3672"/>
            <w:shd w:fill="EDEFF1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b/>
                <w:sz w:val="18"/>
              </w:rPr>
              <w:t>相对串行速度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1</w:t>
            </w:r>
          </w:p>
        </w:tc>
        <w:tc>
          <w:tcPr>
            <w:tcW w:type="dxa" w:w="3744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0.02542</w:t>
            </w:r>
          </w:p>
        </w:tc>
        <w:tc>
          <w:tcPr>
            <w:tcW w:type="dxa" w:w="3672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1.0000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2</w:t>
            </w:r>
          </w:p>
        </w:tc>
        <w:tc>
          <w:tcPr>
            <w:tcW w:type="dxa" w:w="3744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0.65702</w:t>
            </w:r>
          </w:p>
        </w:tc>
        <w:tc>
          <w:tcPr>
            <w:tcW w:type="dxa" w:w="3672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0.0387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4</w:t>
            </w:r>
          </w:p>
        </w:tc>
        <w:tc>
          <w:tcPr>
            <w:tcW w:type="dxa" w:w="3744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0.70262</w:t>
            </w:r>
          </w:p>
        </w:tc>
        <w:tc>
          <w:tcPr>
            <w:tcW w:type="dxa" w:w="3672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0.0362</w:t>
            </w:r>
          </w:p>
        </w:tc>
      </w:tr>
    </w:tbl>
    <w:p/>
    <w:p>
      <w:r>
        <w:t>基准将200万终端路径分为8个固定SeedSequence子流，共100万个独立反变量配对单位。串行、2进程和4进程使用同一任务量及相同随机块，统计值完全一致，价格10.45147980，标准误0.00735353。计时纳入启动、计算、回收与合并，重复三次并轮换模式顺序。</w:t>
      </w:r>
    </w:p>
    <w:p>
      <w:r>
        <w:t>本机上多进程显著慢于向量化串行，说明任务开销超过当前规模的并行收益。项目证明实现了可核验的分块并行与性能测量，不宣称实现集群、GPU计算或取得加速。未来扩大任务、复用进程池等变化应重新按等量工作比较，而不能删掉这一负结果。</w:t>
      </w:r>
    </w:p>
    <w:p>
      <w:pPr>
        <w:pStyle w:val="Heading1"/>
      </w:pPr>
      <w:r>
        <w:t>9 十个目标项目的能力并集</w:t>
      </w:r>
    </w:p>
    <w:p>
      <w:r>
        <w:t>映射依据为2026年10月5日核验的十个项目官方招生或培养页面[P1至P10]。这里取相关能力的并集：保留不同项目独有的关注点，再区分本项目直接形成的证据、部分可迁移的证据和必须由其他经历或材料证明的能力。培养课程、推荐准备和正式入学门槛不是同一类要求；本项目没有声称穷尽所有招生细则，也不声称用一个项目替代整个硕士课程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3096"/>
        <w:gridCol w:w="4320"/>
      </w:tblGrid>
      <w:tr>
        <w:trPr>
          <w:tblHeader/>
          <w:cantSplit/>
        </w:trPr>
        <w:tc>
          <w:tcPr>
            <w:tcW w:type="dxa" w:w="2160"/>
            <w:shd w:fill="EDEFF1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b/>
                <w:sz w:val="18"/>
              </w:rPr>
              <w:t>项目</w:t>
            </w:r>
          </w:p>
        </w:tc>
        <w:tc>
          <w:tcPr>
            <w:tcW w:type="dxa" w:w="3096"/>
            <w:shd w:fill="EDEFF1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b/>
                <w:sz w:val="18"/>
              </w:rPr>
              <w:t>官方重点的相关部分</w:t>
            </w:r>
          </w:p>
        </w:tc>
        <w:tc>
          <w:tcPr>
            <w:tcW w:type="dxa" w:w="4320"/>
            <w:shd w:fill="EDEFF1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b/>
                <w:sz w:val="18"/>
              </w:rPr>
              <w:t>本研究连接与边界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CUHK DSBS</w:t>
            </w:r>
          </w:p>
        </w:tc>
        <w:tc>
          <w:tcPr>
            <w:tcW w:type="dxa" w:w="3096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统计推断 金融时间序列 Monte Carlo 研究</w:t>
            </w:r>
          </w:p>
        </w:tc>
        <w:tc>
          <w:tcPr>
            <w:tcW w:type="dxa" w:w="4320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预测与推断 数值实验 报告 对金融背景直接相关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CMU MISM BIDA</w:t>
            </w:r>
          </w:p>
        </w:tc>
        <w:tc>
          <w:tcPr>
            <w:tcW w:type="dxa" w:w="3096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分析 决策 软件数据 沟通管理</w:t>
            </w:r>
          </w:p>
        </w:tc>
        <w:tc>
          <w:tcPr>
            <w:tcW w:type="dxa" w:w="4320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预算决策 SQL与交互证据 管理协作需另证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HKU CS Financial Computing</w:t>
            </w:r>
          </w:p>
        </w:tc>
        <w:tc>
          <w:tcPr>
            <w:tcW w:type="dxa" w:w="3096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金融数学 衍生品计算 定量软件</w:t>
            </w:r>
          </w:p>
        </w:tc>
        <w:tc>
          <w:tcPr>
            <w:tcW w:type="dxa" w:w="4320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定价库与风险研究 课程准备仍需独立核对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Berkeley Analytics</w:t>
            </w:r>
          </w:p>
        </w:tc>
        <w:tc>
          <w:tcPr>
            <w:tcW w:type="dxa" w:w="3096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统计 仿真 优化 业务决策</w:t>
            </w:r>
          </w:p>
        </w:tc>
        <w:tc>
          <w:tcPr>
            <w:tcW w:type="dxa" w:w="4320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选择流程与成本风险 不宣称全球最优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Penn Systems Engineering</w:t>
            </w:r>
          </w:p>
        </w:tc>
        <w:tc>
          <w:tcPr>
            <w:tcW w:type="dxa" w:w="3096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系统建模 数据 优化与金融应用</w:t>
            </w:r>
          </w:p>
        </w:tc>
        <w:tc>
          <w:tcPr>
            <w:tcW w:type="dxa" w:w="4320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完整数据至决策链 有限候选约束选择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Penn DSAI</w:t>
            </w:r>
          </w:p>
        </w:tc>
        <w:tc>
          <w:tcPr>
            <w:tcW w:type="dxa" w:w="3096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统计 学习 算法 数据系统 责任</w:t>
            </w:r>
          </w:p>
        </w:tc>
        <w:tc>
          <w:tcPr>
            <w:tcW w:type="dxa" w:w="4320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实际Ridge 时间验证 数据审计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NTU Data Science</w:t>
            </w:r>
          </w:p>
        </w:tc>
        <w:tc>
          <w:tcPr>
            <w:tcW w:type="dxa" w:w="3096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数学 数据准备 建模 解释与应用</w:t>
            </w:r>
          </w:p>
        </w:tc>
        <w:tc>
          <w:tcPr>
            <w:tcW w:type="dxa" w:w="4320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完整研究管线 非只做前端展示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Imperial ACSE</w:t>
            </w:r>
          </w:p>
        </w:tc>
        <w:tc>
          <w:tcPr>
            <w:tcW w:type="dxa" w:w="3096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数值计算 科学编程 并行 研究</w:t>
            </w:r>
          </w:p>
        </w:tc>
        <w:tc>
          <w:tcPr>
            <w:tcW w:type="dxa" w:w="4320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树与MC 并行负结果 无集群实证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Harvard Health Data Science</w:t>
            </w:r>
          </w:p>
        </w:tc>
        <w:tc>
          <w:tcPr>
            <w:tcW w:type="dxa" w:w="3096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数学 编程 统计 健康兴趣</w:t>
            </w:r>
          </w:p>
        </w:tc>
        <w:tc>
          <w:tcPr>
            <w:tcW w:type="dxa" w:w="4320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定量方法可迁移 健康领域兴趣另证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Yale MPH Biostatistics</w:t>
            </w:r>
          </w:p>
        </w:tc>
        <w:tc>
          <w:tcPr>
            <w:tcW w:type="dxa" w:w="3096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数学 统计 公共卫生与协作</w:t>
            </w:r>
          </w:p>
        </w:tc>
        <w:tc>
          <w:tcPr>
            <w:tcW w:type="dxa" w:w="4320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推断与不确定性可迁移 非临床或公共卫生研究</w:t>
            </w:r>
          </w:p>
        </w:tc>
      </w:tr>
    </w:tbl>
    <w:p/>
    <w:p>
      <w:r>
        <w:t>因此并集不意味着每个能力都被这个金融项目完全实现。健康领域问题定义、公共卫生动机、真实团队合作、正式学分成绩和个人掌握程度必须保留为外部证据。与其他已完成项目连接时，可以说明方法如何迁移，但不能把金融汇率分析改名为健康数据分析。Yale条目明确为MPH Biostatistics，Harvard条目为Health Data Science SM；不混用其他学位的要求。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"/>
        <w:gridCol w:w="2376"/>
        <w:gridCol w:w="1224"/>
        <w:gridCol w:w="5328"/>
      </w:tblGrid>
      <w:tr>
        <w:trPr>
          <w:tblHeader/>
          <w:cantSplit/>
        </w:trPr>
        <w:tc>
          <w:tcPr>
            <w:tcW w:type="dxa" w:w="648"/>
            <w:shd w:fill="EDEFF1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b/>
                <w:sz w:val="18"/>
              </w:rPr>
              <w:t>编号</w:t>
            </w:r>
          </w:p>
        </w:tc>
        <w:tc>
          <w:tcPr>
            <w:tcW w:type="dxa" w:w="2376"/>
            <w:shd w:fill="EDEFF1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b/>
                <w:sz w:val="18"/>
              </w:rPr>
              <w:t>能力维度</w:t>
            </w:r>
          </w:p>
        </w:tc>
        <w:tc>
          <w:tcPr>
            <w:tcW w:type="dxa" w:w="1224"/>
            <w:shd w:fill="EDEFF1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b/>
                <w:sz w:val="18"/>
              </w:rPr>
              <w:t>覆盖性质</w:t>
            </w:r>
          </w:p>
        </w:tc>
        <w:tc>
          <w:tcPr>
            <w:tcW w:type="dxa" w:w="5328"/>
            <w:shd w:fill="EDEFF1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b/>
                <w:sz w:val="18"/>
              </w:rPr>
              <w:t>定位证据</w:t>
            </w:r>
          </w:p>
        </w:tc>
      </w:tr>
      <w:tr>
        <w:trPr>
          <w:cantSplit/>
        </w:trPr>
        <w:tc>
          <w:tcPr>
            <w:tcW w:type="dxa" w:w="648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C01</w:t>
            </w:r>
          </w:p>
        </w:tc>
        <w:tc>
          <w:tcPr>
            <w:tcW w:type="dxa" w:w="2376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问题定义与研究设计</w:t>
            </w:r>
          </w:p>
        </w:tc>
        <w:tc>
          <w:tcPr>
            <w:tcW w:type="dxa" w:w="1224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直接证据</w:t>
            </w:r>
          </w:p>
        </w:tc>
        <w:tc>
          <w:tcPr>
            <w:tcW w:type="dxa" w:w="5328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docs/simulation_protocol.json；docs/historical_method.md</w:t>
            </w:r>
          </w:p>
        </w:tc>
      </w:tr>
      <w:tr>
        <w:trPr>
          <w:cantSplit/>
        </w:trPr>
        <w:tc>
          <w:tcPr>
            <w:tcW w:type="dxa" w:w="648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C02</w:t>
            </w:r>
          </w:p>
        </w:tc>
        <w:tc>
          <w:tcPr>
            <w:tcW w:type="dxa" w:w="2376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数学与概率建模</w:t>
            </w:r>
          </w:p>
        </w:tc>
        <w:tc>
          <w:tcPr>
            <w:tcW w:type="dxa" w:w="1224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直接证据</w:t>
            </w:r>
          </w:p>
        </w:tc>
        <w:tc>
          <w:tcPr>
            <w:tcW w:type="dxa" w:w="5328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risklab/pricing.py；risklab/paths.py；risklab/hedging.py</w:t>
            </w:r>
          </w:p>
        </w:tc>
      </w:tr>
      <w:tr>
        <w:trPr>
          <w:cantSplit/>
        </w:trPr>
        <w:tc>
          <w:tcPr>
            <w:tcW w:type="dxa" w:w="648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C03</w:t>
            </w:r>
          </w:p>
        </w:tc>
        <w:tc>
          <w:tcPr>
            <w:tcW w:type="dxa" w:w="2376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统计推断与不确定性</w:t>
            </w:r>
          </w:p>
        </w:tc>
        <w:tc>
          <w:tcPr>
            <w:tcW w:type="dxa" w:w="1224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直接证据</w:t>
            </w:r>
          </w:p>
        </w:tc>
        <w:tc>
          <w:tcPr>
            <w:tcW w:type="dxa" w:w="5328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risklab/statistics.py；risklab/historical.py；results/simulation_comparisons.csv</w:t>
            </w:r>
          </w:p>
        </w:tc>
      </w:tr>
      <w:tr>
        <w:trPr>
          <w:cantSplit/>
        </w:trPr>
        <w:tc>
          <w:tcPr>
            <w:tcW w:type="dxa" w:w="648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C04</w:t>
            </w:r>
          </w:p>
        </w:tc>
        <w:tc>
          <w:tcPr>
            <w:tcW w:type="dxa" w:w="2376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真实数据处理</w:t>
            </w:r>
          </w:p>
        </w:tc>
        <w:tc>
          <w:tcPr>
            <w:tcW w:type="dxa" w:w="1224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直接证据</w:t>
            </w:r>
          </w:p>
        </w:tc>
        <w:tc>
          <w:tcPr>
            <w:tcW w:type="dxa" w:w="5328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data；scripts/fetch_ecb.py；results/historical_summary.json</w:t>
            </w:r>
          </w:p>
        </w:tc>
      </w:tr>
      <w:tr>
        <w:trPr>
          <w:cantSplit/>
        </w:trPr>
        <w:tc>
          <w:tcPr>
            <w:tcW w:type="dxa" w:w="648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C05</w:t>
            </w:r>
          </w:p>
        </w:tc>
        <w:tc>
          <w:tcPr>
            <w:tcW w:type="dxa" w:w="2376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机器学习与泛化评价</w:t>
            </w:r>
          </w:p>
        </w:tc>
        <w:tc>
          <w:tcPr>
            <w:tcW w:type="dxa" w:w="1224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直接证据</w:t>
            </w:r>
          </w:p>
        </w:tc>
        <w:tc>
          <w:tcPr>
            <w:tcW w:type="dxa" w:w="5328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risklab/historical.py；results/historical_forecasts.csv</w:t>
            </w:r>
          </w:p>
        </w:tc>
      </w:tr>
      <w:tr>
        <w:trPr>
          <w:cantSplit/>
        </w:trPr>
        <w:tc>
          <w:tcPr>
            <w:tcW w:type="dxa" w:w="648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C06</w:t>
            </w:r>
          </w:p>
        </w:tc>
        <w:tc>
          <w:tcPr>
            <w:tcW w:type="dxa" w:w="2376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数值算法与动态规划</w:t>
            </w:r>
          </w:p>
        </w:tc>
        <w:tc>
          <w:tcPr>
            <w:tcW w:type="dxa" w:w="1224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直接证据</w:t>
            </w:r>
          </w:p>
        </w:tc>
        <w:tc>
          <w:tcPr>
            <w:tcW w:type="dxa" w:w="5328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risklab/pricing.py；results/numerical_benchmarks.csv</w:t>
            </w:r>
          </w:p>
        </w:tc>
      </w:tr>
      <w:tr>
        <w:trPr>
          <w:cantSplit/>
        </w:trPr>
        <w:tc>
          <w:tcPr>
            <w:tcW w:type="dxa" w:w="648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C07</w:t>
            </w:r>
          </w:p>
        </w:tc>
        <w:tc>
          <w:tcPr>
            <w:tcW w:type="dxa" w:w="2376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约束决策与优化</w:t>
            </w:r>
          </w:p>
        </w:tc>
        <w:tc>
          <w:tcPr>
            <w:tcW w:type="dxa" w:w="1224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直接证据</w:t>
            </w:r>
          </w:p>
        </w:tc>
        <w:tc>
          <w:tcPr>
            <w:tcW w:type="dxa" w:w="5328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scripts/run_simulations.py；results/simulation_selection.csv</w:t>
            </w:r>
          </w:p>
        </w:tc>
      </w:tr>
      <w:tr>
        <w:trPr>
          <w:cantSplit/>
        </w:trPr>
        <w:tc>
          <w:tcPr>
            <w:tcW w:type="dxa" w:w="648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C08</w:t>
            </w:r>
          </w:p>
        </w:tc>
        <w:tc>
          <w:tcPr>
            <w:tcW w:type="dxa" w:w="2376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软件系统与可靠性</w:t>
            </w:r>
          </w:p>
        </w:tc>
        <w:tc>
          <w:tcPr>
            <w:tcW w:type="dxa" w:w="1224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直接证据</w:t>
            </w:r>
          </w:p>
        </w:tc>
        <w:tc>
          <w:tcPr>
            <w:tcW w:type="dxa" w:w="5328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risklab/server.py；scripts/build_research_store.py；tests；docs/api.md</w:t>
            </w:r>
          </w:p>
        </w:tc>
      </w:tr>
      <w:tr>
        <w:trPr>
          <w:cantSplit/>
        </w:trPr>
        <w:tc>
          <w:tcPr>
            <w:tcW w:type="dxa" w:w="648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C09</w:t>
            </w:r>
          </w:p>
        </w:tc>
        <w:tc>
          <w:tcPr>
            <w:tcW w:type="dxa" w:w="2376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可复现计算与数据治理</w:t>
            </w:r>
          </w:p>
        </w:tc>
        <w:tc>
          <w:tcPr>
            <w:tcW w:type="dxa" w:w="1224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直接证据</w:t>
            </w:r>
          </w:p>
        </w:tc>
        <w:tc>
          <w:tcPr>
            <w:tcW w:type="dxa" w:w="5328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scripts；data；results；docs/reproducibility.md</w:t>
            </w:r>
          </w:p>
        </w:tc>
      </w:tr>
      <w:tr>
        <w:trPr>
          <w:cantSplit/>
        </w:trPr>
        <w:tc>
          <w:tcPr>
            <w:tcW w:type="dxa" w:w="648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C10</w:t>
            </w:r>
          </w:p>
        </w:tc>
        <w:tc>
          <w:tcPr>
            <w:tcW w:type="dxa" w:w="2376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批判性评估与风险意识</w:t>
            </w:r>
          </w:p>
        </w:tc>
        <w:tc>
          <w:tcPr>
            <w:tcW w:type="dxa" w:w="1224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直接证据</w:t>
            </w:r>
          </w:p>
        </w:tc>
        <w:tc>
          <w:tcPr>
            <w:tcW w:type="dxa" w:w="5328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results/simulation_summary.json；results/historical_summary.json；report</w:t>
            </w:r>
          </w:p>
        </w:tc>
      </w:tr>
      <w:tr>
        <w:trPr>
          <w:cantSplit/>
        </w:trPr>
        <w:tc>
          <w:tcPr>
            <w:tcW w:type="dxa" w:w="648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C11</w:t>
            </w:r>
          </w:p>
        </w:tc>
        <w:tc>
          <w:tcPr>
            <w:tcW w:type="dxa" w:w="2376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可视化与研究表达</w:t>
            </w:r>
          </w:p>
        </w:tc>
        <w:tc>
          <w:tcPr>
            <w:tcW w:type="dxa" w:w="1224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直接证据</w:t>
            </w:r>
          </w:p>
        </w:tc>
        <w:tc>
          <w:tcPr>
            <w:tcW w:type="dxa" w:w="5328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web；figures；report</w:t>
            </w:r>
          </w:p>
        </w:tc>
      </w:tr>
      <w:tr>
        <w:trPr>
          <w:cantSplit/>
        </w:trPr>
        <w:tc>
          <w:tcPr>
            <w:tcW w:type="dxa" w:w="648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C12</w:t>
            </w:r>
          </w:p>
        </w:tc>
        <w:tc>
          <w:tcPr>
            <w:tcW w:type="dxa" w:w="2376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金融业务与经济解释</w:t>
            </w:r>
          </w:p>
        </w:tc>
        <w:tc>
          <w:tcPr>
            <w:tcW w:type="dxa" w:w="1224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直接证据</w:t>
            </w:r>
          </w:p>
        </w:tc>
        <w:tc>
          <w:tcPr>
            <w:tcW w:type="dxa" w:w="5328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docs/historical_method.md；risklab/hedging.py；report</w:t>
            </w:r>
          </w:p>
        </w:tc>
      </w:tr>
    </w:tbl>
    <w:p/>
    <w:p>
      <w:r>
        <w:t>保留部分覆盖与外部证据，避免将能力并集缩减为本项目恰好能做的内容。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"/>
        <w:gridCol w:w="2376"/>
        <w:gridCol w:w="1224"/>
        <w:gridCol w:w="5328"/>
      </w:tblGrid>
      <w:tr>
        <w:trPr>
          <w:tblHeader/>
          <w:cantSplit/>
        </w:trPr>
        <w:tc>
          <w:tcPr>
            <w:tcW w:type="dxa" w:w="648"/>
            <w:shd w:fill="EDEFF1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b/>
                <w:sz w:val="18"/>
              </w:rPr>
              <w:t>编号</w:t>
            </w:r>
          </w:p>
        </w:tc>
        <w:tc>
          <w:tcPr>
            <w:tcW w:type="dxa" w:w="2376"/>
            <w:shd w:fill="EDEFF1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b/>
                <w:sz w:val="18"/>
              </w:rPr>
              <w:t>能力维度</w:t>
            </w:r>
          </w:p>
        </w:tc>
        <w:tc>
          <w:tcPr>
            <w:tcW w:type="dxa" w:w="1224"/>
            <w:shd w:fill="EDEFF1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b/>
                <w:sz w:val="18"/>
              </w:rPr>
              <w:t>覆盖性质</w:t>
            </w:r>
          </w:p>
        </w:tc>
        <w:tc>
          <w:tcPr>
            <w:tcW w:type="dxa" w:w="5328"/>
            <w:shd w:fill="EDEFF1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b/>
                <w:sz w:val="18"/>
              </w:rPr>
              <w:t>定位证据</w:t>
            </w:r>
          </w:p>
        </w:tc>
      </w:tr>
      <w:tr>
        <w:trPr>
          <w:cantSplit/>
        </w:trPr>
        <w:tc>
          <w:tcPr>
            <w:tcW w:type="dxa" w:w="648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C13</w:t>
            </w:r>
          </w:p>
        </w:tc>
        <w:tc>
          <w:tcPr>
            <w:tcW w:type="dxa" w:w="2376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并行与大规模计算</w:t>
            </w:r>
          </w:p>
        </w:tc>
        <w:tc>
          <w:tcPr>
            <w:tcW w:type="dxa" w:w="1224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部分证据</w:t>
            </w:r>
          </w:p>
        </w:tc>
        <w:tc>
          <w:tcPr>
            <w:tcW w:type="dxa" w:w="5328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scripts/benchmark_parallel.py；results/parallel_benchmark.json</w:t>
            </w:r>
          </w:p>
        </w:tc>
      </w:tr>
      <w:tr>
        <w:trPr>
          <w:cantSplit/>
        </w:trPr>
        <w:tc>
          <w:tcPr>
            <w:tcW w:type="dxa" w:w="648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C14</w:t>
            </w:r>
          </w:p>
        </w:tc>
        <w:tc>
          <w:tcPr>
            <w:tcW w:type="dxa" w:w="2376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隐私 公平性与负责的研究</w:t>
            </w:r>
          </w:p>
        </w:tc>
        <w:tc>
          <w:tcPr>
            <w:tcW w:type="dxa" w:w="1224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部分证据</w:t>
            </w:r>
          </w:p>
        </w:tc>
        <w:tc>
          <w:tcPr>
            <w:tcW w:type="dxa" w:w="5328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docs/data_governance.md；docs/contribution_record.md</w:t>
            </w:r>
          </w:p>
        </w:tc>
      </w:tr>
      <w:tr>
        <w:trPr>
          <w:cantSplit/>
        </w:trPr>
        <w:tc>
          <w:tcPr>
            <w:tcW w:type="dxa" w:w="648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C15</w:t>
            </w:r>
          </w:p>
        </w:tc>
        <w:tc>
          <w:tcPr>
            <w:tcW w:type="dxa" w:w="2376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健康领域 生物统计与公共卫生</w:t>
            </w:r>
          </w:p>
        </w:tc>
        <w:tc>
          <w:tcPr>
            <w:tcW w:type="dxa" w:w="1224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需要外部证据</w:t>
            </w:r>
          </w:p>
        </w:tc>
        <w:tc>
          <w:tcPr>
            <w:tcW w:type="dxa" w:w="5328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</w:r>
          </w:p>
        </w:tc>
      </w:tr>
      <w:tr>
        <w:trPr>
          <w:cantSplit/>
        </w:trPr>
        <w:tc>
          <w:tcPr>
            <w:tcW w:type="dxa" w:w="648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C16</w:t>
            </w:r>
          </w:p>
        </w:tc>
        <w:tc>
          <w:tcPr>
            <w:tcW w:type="dxa" w:w="2376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团队合作 管理与真实用户沟通</w:t>
            </w:r>
          </w:p>
        </w:tc>
        <w:tc>
          <w:tcPr>
            <w:tcW w:type="dxa" w:w="1224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需要外部证据</w:t>
            </w:r>
          </w:p>
        </w:tc>
        <w:tc>
          <w:tcPr>
            <w:tcW w:type="dxa" w:w="5328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docs/contribution_record.md</w:t>
            </w:r>
          </w:p>
        </w:tc>
      </w:tr>
      <w:tr>
        <w:trPr>
          <w:cantSplit/>
        </w:trPr>
        <w:tc>
          <w:tcPr>
            <w:tcW w:type="dxa" w:w="648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C17</w:t>
            </w:r>
          </w:p>
        </w:tc>
        <w:tc>
          <w:tcPr>
            <w:tcW w:type="dxa" w:w="2376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正式学术先修与语言准备</w:t>
            </w:r>
          </w:p>
        </w:tc>
        <w:tc>
          <w:tcPr>
            <w:tcW w:type="dxa" w:w="1224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需要外部证据</w:t>
            </w:r>
          </w:p>
        </w:tc>
        <w:tc>
          <w:tcPr>
            <w:tcW w:type="dxa" w:w="5328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</w:r>
          </w:p>
        </w:tc>
      </w:tr>
      <w:tr>
        <w:trPr>
          <w:cantSplit/>
        </w:trPr>
        <w:tc>
          <w:tcPr>
            <w:tcW w:type="dxa" w:w="648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C18</w:t>
            </w:r>
          </w:p>
        </w:tc>
        <w:tc>
          <w:tcPr>
            <w:tcW w:type="dxa" w:w="2376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本人掌握与研究贡献</w:t>
            </w:r>
          </w:p>
        </w:tc>
        <w:tc>
          <w:tcPr>
            <w:tcW w:type="dxa" w:w="1224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需要外部证据</w:t>
            </w:r>
          </w:p>
        </w:tc>
        <w:tc>
          <w:tcPr>
            <w:tcW w:type="dxa" w:w="5328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docs/contribution_record.md；docs/research_defense.md</w:t>
            </w:r>
          </w:p>
        </w:tc>
      </w:tr>
    </w:tbl>
    <w:p/>
    <w:p>
      <w:r>
        <w:t>上述定位用于向读者解释研究内容，不是招生打分表。课程证书、报告页数和代码行数都不能自动转化为录取概率。个人使用本成果时，应能解释数据时序、关键公式、失败结果及自己真实完成的修改；无法解释的部分应作为学习计划，而非已有能力陈述。</w:t>
      </w:r>
    </w:p>
    <w:p>
      <w:pPr>
        <w:pStyle w:val="Heading1"/>
      </w:pPr>
      <w:r>
        <w:t>10 局限与可检验的后续方向</w:t>
      </w:r>
    </w:p>
    <w:p>
      <w:r>
        <w:t>第一，历史价格是信息参考价。没有实际可成交买卖价、滑点、价差、发布延迟建模、保证金或冲击成本；r=q=0也没有体现真实外汇双利率。结果应称为历史路径上的假设复制实验，而不是实盘收益回测。即使模型P&amp;L为正，也不足以证明可执行套利。</w:t>
      </w:r>
    </w:p>
    <w:p>
      <w:r>
        <w:t>第二，平方收益代理噪声大，条件均值并非严格为零；单步方差外推到剩余期权期限忽略了期限结构。Ridge校正、固定特征和长期冻结系数都可能在结构变化下失效。更复杂模型需要新的验证设计与未触碰测试数据，不能仅因当前测试结果不好而无记录地迭代到满意为止。</w:t>
      </w:r>
    </w:p>
    <w:p>
      <w:r>
        <w:t>第三，区间存在假设。模拟区间条件于生成机制；移动块区间依赖弱依赖和近似平稳假设，未包含模型选择不确定性。仅有60段的尾部风险尤其脆弱。主要比较以外的探索性结果需要重复证据，不应以多次尝试中最显著的一项作为核心成功故事。</w:t>
      </w:r>
    </w:p>
    <w:p>
      <w:r>
        <w:t>第四，有限候选策略的验证选择不等于全局优化。平均费用预算不控制最差路径，融资和偿付假设也较宽松。后续可研究ES或机会约束，但应先定义可行性、数据需求与求解误差，再决定是否值得增加算法复杂度。</w:t>
      </w:r>
    </w:p>
    <w:p>
      <w:r>
        <w:t>第五，软件为可复现研究工具，未经过生产安全审计、长期负载验证或真实用户研究。本地并行性能结果也不能外推至集群。真实团队协作、业务采纳和个人独立掌握不由自动测试证书替代。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3456"/>
        <w:gridCol w:w="3960"/>
      </w:tblGrid>
      <w:tr>
        <w:trPr>
          <w:tblHeader/>
          <w:cantSplit/>
        </w:trPr>
        <w:tc>
          <w:tcPr>
            <w:tcW w:type="dxa" w:w="2160"/>
            <w:shd w:fill="EDEFF1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b/>
                <w:sz w:val="18"/>
              </w:rPr>
              <w:t>下一项研究</w:t>
            </w:r>
          </w:p>
        </w:tc>
        <w:tc>
          <w:tcPr>
            <w:tcW w:type="dxa" w:w="3456"/>
            <w:shd w:fill="EDEFF1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b/>
                <w:sz w:val="18"/>
              </w:rPr>
              <w:t>所需新增证据</w:t>
            </w:r>
          </w:p>
        </w:tc>
        <w:tc>
          <w:tcPr>
            <w:tcW w:type="dxa" w:w="3960"/>
            <w:shd w:fill="EDEFF1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b/>
                <w:sz w:val="18"/>
              </w:rPr>
              <w:t>预先明确的检验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期限匹配的方差预测</w:t>
            </w:r>
          </w:p>
        </w:tc>
        <w:tc>
          <w:tcPr>
            <w:tcW w:type="dxa" w:w="3456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新的未观察时间窗或独立市场</w:t>
            </w:r>
          </w:p>
        </w:tc>
        <w:tc>
          <w:tcPr>
            <w:tcW w:type="dxa" w:w="3960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与单步外推在相同episode上比较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真实期权定价与对冲</w:t>
            </w:r>
          </w:p>
        </w:tc>
        <w:tc>
          <w:tcPr>
            <w:tcW w:type="dxa" w:w="3456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带时间戳报价 双利率 执行成本</w:t>
            </w:r>
          </w:p>
        </w:tc>
        <w:tc>
          <w:tcPr>
            <w:tcW w:type="dxa" w:w="3960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分离价格误差 复制误差与执行误差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尾部预算约束</w:t>
            </w:r>
          </w:p>
        </w:tc>
        <w:tc>
          <w:tcPr>
            <w:tcW w:type="dxa" w:w="3456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足够尾部样本与明确风险容忍度</w:t>
            </w:r>
          </w:p>
        </w:tc>
        <w:tc>
          <w:tcPr>
            <w:tcW w:type="dxa" w:w="3960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样本外可行率与尾部损失而非只看均值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长期部署与协作</w:t>
            </w:r>
          </w:p>
        </w:tc>
        <w:tc>
          <w:tcPr>
            <w:tcW w:type="dxa" w:w="3456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真实使用记录 代码审查 权限设计</w:t>
            </w:r>
          </w:p>
        </w:tc>
        <w:tc>
          <w:tcPr>
            <w:tcW w:type="dxa" w:w="3960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用户错误恢复 维护成本与复现一致性</w:t>
            </w:r>
          </w:p>
        </w:tc>
      </w:tr>
    </w:tbl>
    <w:p/>
    <w:p>
      <w:pPr>
        <w:pStyle w:val="Heading1"/>
      </w:pPr>
      <w:r>
        <w:t>11 结论</w:t>
      </w:r>
    </w:p>
    <w:p>
      <w:r>
        <w:t>本研究的核心结果是区分并连接三个层次：公式和程序能否正确计算，模型能否在未参与选择的数据上准确估计，以及该估计能否改善有成本约束的最终决策。模拟支持模型匹配、低费用下频繁调仓的条件性优势；历史实验同时展示预测改进未必传到对冲、费用下降可能伴随风险上升。保留这些负结果，使成果能够支撑对方法、假设和证据的讨论。</w:t>
      </w:r>
    </w:p>
    <w:p>
      <w:r>
        <w:t>配套项目将这些问题落实为可运行代码、冻结数据、可复算账本、统计区间、可查询证据和交互界面。它适合证明量化研究与数据软件实践的连接，也保留了健康领域经验、正式先修与个人贡献等必须独立证明的边界。其价值在于每一项结论都有可追踪的计算依据，而不是功能或篇幅的堆积。</w:t>
      </w:r>
    </w:p>
    <w:p>
      <w:pPr>
        <w:pStyle w:val="Heading1"/>
      </w:pPr>
      <w:r>
        <w:t>参考资料</w:t>
      </w:r>
    </w:p>
    <w:p>
      <w:r>
        <w:t>文献支持方法出处；院校页面支持能力映射。所有网络资料核验日期为2026年10月5日，课程或招生政策可能在后续申请周期更新。</w:t>
      </w:r>
    </w:p>
    <w:p>
      <w:pPr>
        <w:keepNext w:val="0"/>
      </w:pPr>
      <w:r>
        <w:t xml:space="preserve">[R1] Black F and Scholes M (1973). The Pricing of Options and Corporate Liabilities. Journal of Political Economy 81(3), 637–654. </w:t>
      </w:r>
      <w:hyperlink r:id="rId18">
        <w:r>
          <w:rPr>
            <w:color w:val="245B70"/>
          </w:rPr>
          <w:t>来源页面</w:t>
        </w:r>
      </w:hyperlink>
    </w:p>
    <w:p>
      <w:pPr>
        <w:keepNext w:val="0"/>
      </w:pPr>
      <w:r>
        <w:t xml:space="preserve">[R2] Cox JC, Ross SA and Rubinstein M (1979). Option pricing A simplified approach. Journal of Financial Economics 7, 229–263. </w:t>
      </w:r>
      <w:hyperlink r:id="rId19">
        <w:r>
          <w:rPr>
            <w:color w:val="245B70"/>
          </w:rPr>
          <w:t>来源页面</w:t>
        </w:r>
      </w:hyperlink>
    </w:p>
    <w:p>
      <w:pPr>
        <w:keepNext w:val="0"/>
      </w:pPr>
      <w:r>
        <w:t xml:space="preserve">[R3] Leland HE (1985). Option Pricing and Replication with Transactions Costs. Journal of Finance 40, 1283–1301. </w:t>
      </w:r>
      <w:hyperlink r:id="rId20">
        <w:r>
          <w:rPr>
            <w:color w:val="245B70"/>
          </w:rPr>
          <w:t>来源页面</w:t>
        </w:r>
      </w:hyperlink>
    </w:p>
    <w:p>
      <w:pPr>
        <w:keepNext w:val="0"/>
      </w:pPr>
      <w:r>
        <w:t xml:space="preserve">[R4] Patton AJ (2011). Volatility forecast comparison using imperfect volatility proxies. Journal of Econometrics 160(1), 246–256. </w:t>
      </w:r>
      <w:hyperlink r:id="rId21">
        <w:r>
          <w:rPr>
            <w:color w:val="245B70"/>
          </w:rPr>
          <w:t>来源页面</w:t>
        </w:r>
      </w:hyperlink>
    </w:p>
    <w:p>
      <w:pPr>
        <w:keepNext w:val="0"/>
      </w:pPr>
      <w:r>
        <w:t xml:space="preserve">[R5] Künsch HR (1989). The Jackknife and the Bootstrap for General Stationary Observations. Annals of Statistics 17(3), 1217–1241. </w:t>
      </w:r>
      <w:hyperlink r:id="rId22">
        <w:r>
          <w:rPr>
            <w:color w:val="245B70"/>
          </w:rPr>
          <w:t>来源页面</w:t>
        </w:r>
      </w:hyperlink>
    </w:p>
    <w:p>
      <w:pPr>
        <w:keepNext w:val="0"/>
      </w:pPr>
      <w:r>
        <w:t xml:space="preserve">[R6] scikit-learn documentation. Ridge and temporal evaluation. </w:t>
      </w:r>
      <w:hyperlink r:id="rId23">
        <w:r>
          <w:rPr>
            <w:color w:val="245B70"/>
          </w:rPr>
          <w:t>来源页面</w:t>
        </w:r>
      </w:hyperlink>
    </w:p>
    <w:p>
      <w:pPr>
        <w:keepNext w:val="0"/>
      </w:pPr>
      <w:r>
        <w:t xml:space="preserve">[R7] scikit-learn documentation. TimeSeriesSplit. </w:t>
      </w:r>
      <w:hyperlink r:id="rId24">
        <w:r>
          <w:rPr>
            <w:color w:val="245B70"/>
          </w:rPr>
          <w:t>来源页面</w:t>
        </w:r>
      </w:hyperlink>
    </w:p>
    <w:p>
      <w:pPr>
        <w:keepNext w:val="0"/>
      </w:pPr>
      <w:r>
        <w:t xml:space="preserve">[D1] European Central Bank. Euro foreign exchange reference rates. </w:t>
      </w:r>
      <w:hyperlink r:id="rId25">
        <w:r>
          <w:rPr>
            <w:color w:val="245B70"/>
          </w:rPr>
          <w:t>来源页面</w:t>
        </w:r>
      </w:hyperlink>
    </w:p>
    <w:p>
      <w:pPr>
        <w:keepNext w:val="0"/>
      </w:pPr>
      <w:r>
        <w:t xml:space="preserve">[D2] European Central Bank. Disclaimer and copyright. </w:t>
      </w:r>
      <w:hyperlink r:id="rId26">
        <w:r>
          <w:rPr>
            <w:color w:val="245B70"/>
          </w:rPr>
          <w:t>来源页面</w:t>
        </w:r>
      </w:hyperlink>
    </w:p>
    <w:p>
      <w:pPr>
        <w:keepNext w:val="0"/>
      </w:pPr>
      <w:r>
        <w:t xml:space="preserve">[P1] 香港中文大学 DSBS </w:t>
      </w:r>
      <w:hyperlink r:id="rId27">
        <w:r>
          <w:rPr>
            <w:color w:val="245B70"/>
          </w:rPr>
          <w:t>来源页面</w:t>
        </w:r>
      </w:hyperlink>
    </w:p>
    <w:p>
      <w:pPr>
        <w:keepNext w:val="0"/>
      </w:pPr>
      <w:r>
        <w:t xml:space="preserve">[P2] CMU MISM BIDA </w:t>
      </w:r>
      <w:hyperlink r:id="rId28">
        <w:r>
          <w:rPr>
            <w:color w:val="245B70"/>
          </w:rPr>
          <w:t>来源页面</w:t>
        </w:r>
      </w:hyperlink>
    </w:p>
    <w:p>
      <w:pPr>
        <w:keepNext w:val="0"/>
      </w:pPr>
      <w:r>
        <w:t xml:space="preserve">[P3] 香港大学 CS Financial Computing </w:t>
      </w:r>
      <w:hyperlink r:id="rId29">
        <w:r>
          <w:rPr>
            <w:color w:val="245B70"/>
          </w:rPr>
          <w:t>来源页面</w:t>
        </w:r>
      </w:hyperlink>
    </w:p>
    <w:p>
      <w:pPr>
        <w:keepNext w:val="0"/>
      </w:pPr>
      <w:r>
        <w:t xml:space="preserve">[P4] UC Berkeley Master of Analytics </w:t>
      </w:r>
      <w:hyperlink r:id="rId30">
        <w:r>
          <w:rPr>
            <w:color w:val="245B70"/>
          </w:rPr>
          <w:t>来源页面</w:t>
        </w:r>
      </w:hyperlink>
    </w:p>
    <w:p>
      <w:pPr>
        <w:keepNext w:val="0"/>
      </w:pPr>
      <w:r>
        <w:t xml:space="preserve">[P5] Penn MSE Systems Engineering </w:t>
      </w:r>
      <w:hyperlink r:id="rId31">
        <w:r>
          <w:rPr>
            <w:color w:val="245B70"/>
          </w:rPr>
          <w:t>来源页面</w:t>
        </w:r>
      </w:hyperlink>
    </w:p>
    <w:p>
      <w:pPr>
        <w:keepNext w:val="0"/>
      </w:pPr>
      <w:r>
        <w:t xml:space="preserve">[P6] Penn MSE Data Science and Artificial Intelligence </w:t>
      </w:r>
      <w:hyperlink r:id="rId32">
        <w:r>
          <w:rPr>
            <w:color w:val="245B70"/>
          </w:rPr>
          <w:t>来源页面</w:t>
        </w:r>
      </w:hyperlink>
    </w:p>
    <w:p>
      <w:pPr>
        <w:keepNext w:val="0"/>
      </w:pPr>
      <w:r>
        <w:t xml:space="preserve">[P7] NTU MSc Data Science </w:t>
      </w:r>
      <w:hyperlink r:id="rId33">
        <w:r>
          <w:rPr>
            <w:color w:val="245B70"/>
          </w:rPr>
          <w:t>来源页面</w:t>
        </w:r>
      </w:hyperlink>
    </w:p>
    <w:p>
      <w:pPr>
        <w:keepNext w:val="0"/>
      </w:pPr>
      <w:r>
        <w:t xml:space="preserve">[P8] Imperial Applied Computational Science and Engineering </w:t>
      </w:r>
      <w:hyperlink r:id="rId34">
        <w:r>
          <w:rPr>
            <w:color w:val="245B70"/>
          </w:rPr>
          <w:t>来源页面</w:t>
        </w:r>
      </w:hyperlink>
    </w:p>
    <w:p>
      <w:pPr>
        <w:keepNext w:val="0"/>
      </w:pPr>
      <w:r>
        <w:t xml:space="preserve">[P9] Harvard SM Health Data Science </w:t>
      </w:r>
      <w:hyperlink r:id="rId35">
        <w:r>
          <w:rPr>
            <w:color w:val="245B70"/>
          </w:rPr>
          <w:t>来源页面</w:t>
        </w:r>
      </w:hyperlink>
    </w:p>
    <w:p>
      <w:pPr>
        <w:keepNext w:val="0"/>
      </w:pPr>
      <w:r>
        <w:t xml:space="preserve">[P10] Yale MPH Biostatistics </w:t>
      </w:r>
      <w:hyperlink r:id="rId36">
        <w:r>
          <w:rPr>
            <w:color w:val="245B70"/>
          </w:rPr>
          <w:t>来源页面</w:t>
        </w:r>
      </w:hyperlink>
    </w:p>
    <w:p>
      <w:pPr>
        <w:pStyle w:val="Heading1"/>
      </w:pPr>
      <w:r>
        <w:t>附录A 文件与复现步骤</w:t>
      </w:r>
    </w:p>
    <w:p>
      <w:r>
        <w:t>在解压后的项目根目录创建Python 3.11或更高版本虚拟环境，安装pyproject.toml声明的研究依赖及dev、report可选依赖。requirements-reproduced.txt记录本次运行使用的直接依赖版本；平台计时差异和合理浮点误差不视为结果造假。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76"/>
        <w:gridCol w:w="5112"/>
        <w:gridCol w:w="3888"/>
      </w:tblGrid>
      <w:tr>
        <w:trPr>
          <w:tblHeader/>
          <w:cantSplit/>
        </w:trPr>
        <w:tc>
          <w:tcPr>
            <w:tcW w:type="dxa" w:w="576"/>
            <w:shd w:fill="EDEFF1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b/>
                <w:sz w:val="18"/>
              </w:rPr>
              <w:t>顺序</w:t>
            </w:r>
          </w:p>
        </w:tc>
        <w:tc>
          <w:tcPr>
            <w:tcW w:type="dxa" w:w="5112"/>
            <w:shd w:fill="EDEFF1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b/>
                <w:sz w:val="18"/>
              </w:rPr>
              <w:t>命令</w:t>
            </w:r>
          </w:p>
        </w:tc>
        <w:tc>
          <w:tcPr>
            <w:tcW w:type="dxa" w:w="3888"/>
            <w:shd w:fill="EDEFF1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b/>
                <w:sz w:val="18"/>
              </w:rPr>
              <w:t>输出或作用</w:t>
            </w:r>
          </w:p>
        </w:tc>
      </w:tr>
      <w:tr>
        <w:trPr>
          <w:cantSplit/>
        </w:trPr>
        <w:tc>
          <w:tcPr>
            <w:tcW w:type="dxa" w:w="576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1</w:t>
            </w:r>
          </w:p>
        </w:tc>
        <w:tc>
          <w:tcPr>
            <w:tcW w:type="dxa" w:w="5112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python -m pip install -e ".[dev,report]"</w:t>
            </w:r>
          </w:p>
        </w:tc>
        <w:tc>
          <w:tcPr>
            <w:tcW w:type="dxa" w:w="3888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安装本地项目及测试和报告依赖</w:t>
            </w:r>
          </w:p>
        </w:tc>
      </w:tr>
      <w:tr>
        <w:trPr>
          <w:cantSplit/>
        </w:trPr>
        <w:tc>
          <w:tcPr>
            <w:tcW w:type="dxa" w:w="576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2</w:t>
            </w:r>
          </w:p>
        </w:tc>
        <w:tc>
          <w:tcPr>
            <w:tcW w:type="dxa" w:w="5112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python -m pytest</w:t>
            </w:r>
          </w:p>
        </w:tc>
        <w:tc>
          <w:tcPr>
            <w:tcW w:type="dxa" w:w="3888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运行核心 历史 产物与接口测试</w:t>
            </w:r>
          </w:p>
        </w:tc>
      </w:tr>
      <w:tr>
        <w:trPr>
          <w:cantSplit/>
        </w:trPr>
        <w:tc>
          <w:tcPr>
            <w:tcW w:type="dxa" w:w="576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3</w:t>
            </w:r>
          </w:p>
        </w:tc>
        <w:tc>
          <w:tcPr>
            <w:tcW w:type="dxa" w:w="5112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python scripts/run_simulations.py</w:t>
            </w:r>
          </w:p>
        </w:tc>
        <w:tc>
          <w:tcPr>
            <w:tcW w:type="dxa" w:w="3888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重现正式模拟及数值基准</w:t>
            </w:r>
          </w:p>
        </w:tc>
      </w:tr>
      <w:tr>
        <w:trPr>
          <w:cantSplit/>
        </w:trPr>
        <w:tc>
          <w:tcPr>
            <w:tcW w:type="dxa" w:w="576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4</w:t>
            </w:r>
          </w:p>
        </w:tc>
        <w:tc>
          <w:tcPr>
            <w:tcW w:type="dxa" w:w="5112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python scripts/run_historical.py</w:t>
            </w:r>
          </w:p>
        </w:tc>
        <w:tc>
          <w:tcPr>
            <w:tcW w:type="dxa" w:w="3888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在冻结快照上重现历史结果</w:t>
            </w:r>
          </w:p>
        </w:tc>
      </w:tr>
      <w:tr>
        <w:trPr>
          <w:cantSplit/>
        </w:trPr>
        <w:tc>
          <w:tcPr>
            <w:tcW w:type="dxa" w:w="576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5</w:t>
            </w:r>
          </w:p>
        </w:tc>
        <w:tc>
          <w:tcPr>
            <w:tcW w:type="dxa" w:w="5112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python scripts/benchmark_parallel.py</w:t>
            </w:r>
          </w:p>
        </w:tc>
        <w:tc>
          <w:tcPr>
            <w:tcW w:type="dxa" w:w="3888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同量分块的串行和进程对照</w:t>
            </w:r>
          </w:p>
        </w:tc>
      </w:tr>
      <w:tr>
        <w:trPr>
          <w:cantSplit/>
        </w:trPr>
        <w:tc>
          <w:tcPr>
            <w:tcW w:type="dxa" w:w="576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6</w:t>
            </w:r>
          </w:p>
        </w:tc>
        <w:tc>
          <w:tcPr>
            <w:tcW w:type="dxa" w:w="5112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python scripts/build_research_store.py</w:t>
            </w:r>
          </w:p>
        </w:tc>
        <w:tc>
          <w:tcPr>
            <w:tcW w:type="dxa" w:w="3888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生成SQLite证据快照</w:t>
            </w:r>
          </w:p>
        </w:tc>
      </w:tr>
      <w:tr>
        <w:trPr>
          <w:cantSplit/>
        </w:trPr>
        <w:tc>
          <w:tcPr>
            <w:tcW w:type="dxa" w:w="576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7</w:t>
            </w:r>
          </w:p>
        </w:tc>
        <w:tc>
          <w:tcPr>
            <w:tcW w:type="dxa" w:w="5112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python scripts/verify_artifacts.py</w:t>
            </w:r>
          </w:p>
        </w:tc>
        <w:tc>
          <w:tcPr>
            <w:tcW w:type="dxa" w:w="3888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交叉核验协议 CSV JSON与数据库</w:t>
            </w:r>
          </w:p>
        </w:tc>
      </w:tr>
      <w:tr>
        <w:trPr>
          <w:cantSplit/>
        </w:trPr>
        <w:tc>
          <w:tcPr>
            <w:tcW w:type="dxa" w:w="576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8</w:t>
            </w:r>
          </w:p>
        </w:tc>
        <w:tc>
          <w:tcPr>
            <w:tcW w:type="dxa" w:w="5112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python scripts/build_figures.py</w:t>
            </w:r>
          </w:p>
        </w:tc>
        <w:tc>
          <w:tcPr>
            <w:tcW w:type="dxa" w:w="3888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从正式结果生成8幅图</w:t>
            </w:r>
          </w:p>
        </w:tc>
      </w:tr>
      <w:tr>
        <w:trPr>
          <w:cantSplit/>
        </w:trPr>
        <w:tc>
          <w:tcPr>
            <w:tcW w:type="dxa" w:w="576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9</w:t>
            </w:r>
          </w:p>
        </w:tc>
        <w:tc>
          <w:tcPr>
            <w:tcW w:type="dxa" w:w="5112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python scripts/build_report.py</w:t>
            </w:r>
          </w:p>
        </w:tc>
        <w:tc>
          <w:tcPr>
            <w:tcW w:type="dxa" w:w="3888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从正式结果生成本报告</w:t>
            </w:r>
          </w:p>
        </w:tc>
      </w:tr>
      <w:tr>
        <w:trPr>
          <w:cantSplit/>
        </w:trPr>
        <w:tc>
          <w:tcPr>
            <w:tcW w:type="dxa" w:w="576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10</w:t>
            </w:r>
          </w:p>
        </w:tc>
        <w:tc>
          <w:tcPr>
            <w:tcW w:type="dxa" w:w="5112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python -m risklab.server --port 8870</w:t>
            </w:r>
          </w:p>
        </w:tc>
        <w:tc>
          <w:tcPr>
            <w:tcW w:type="dxa" w:w="3888"/>
            <w:tcBorders>
              <w:top w:val="single" w:sz="4" w:color="D0D4D8"/>
              <w:left w:val="single" w:sz="4" w:color="D0D4D8"/>
              <w:bottom w:val="single" w:sz="4" w:color="D0D4D8"/>
              <w:right w:val="single" w:sz="4" w:color="D0D4D8"/>
            </w:tcBorders>
          </w:tcPr>
          <w:p>
            <w:pPr>
              <w:spacing w:after="80" w:before="60" w:line="269" w:lineRule="auto"/>
            </w:pPr>
            <w:r>
              <w:rPr>
                <w:sz w:val="18"/>
              </w:rPr>
              <w:t>打开本地研究工作台</w:t>
            </w:r>
          </w:p>
        </w:tc>
      </w:tr>
    </w:tbl>
    <w:p/>
    <w:p>
      <w:r>
        <w:t>浏览器地址为http://127.0.0.1:8870。快速模拟使用--quick，输出到results/smoke，不覆盖正式论文结果。fetch_ecb.py默认复用归档快照；只有显式--refresh才下载新快照，更新会改变来源证据并要求重新生成下游成果。后续算法改变须记录版本与已查看测试集的事实。</w:t>
      </w:r>
    </w:p>
    <w:p>
      <w:r>
        <w:t>正式模拟协议SHA256 a195049f755856a2ceb3e0af3a3d0f6d082bfdc57091116940c71ef4e770c307</w:t>
      </w:r>
    </w:p>
    <w:p>
      <w:r>
        <w:t>处理后ECB数据SHA256 948e16824482b1f50a4de137375a3fd02cf3f93b60cbb84e35ee5d7cf9608261</w:t>
      </w:r>
    </w:p>
    <w:p>
      <w:pPr>
        <w:pStyle w:val="Heading1"/>
      </w:pPr>
      <w:r>
        <w:t>附录B 贡献与结果追溯</w:t>
      </w:r>
    </w:p>
    <w:p>
      <w:r>
        <w:t>results目录提供252条模拟条件汇总、21项配对比较、10752行历史预测与4536个历史策略费用记录。后两者不能误作独立样本数量：预测包含训练期拟合值，对冲测试每货币仅60段。docs/evidence_index.md逐项列出报告图表与原始结果对应关系；数据与验证哈希用于复核来源和实现。</w:t>
      </w:r>
    </w:p>
    <w:p>
      <w:r>
        <w:t>贡献边界与个人学习记录说明见docs/contribution_record.md；研究理解检查见docs/research_defense.md。开发和报告使用实质性AI协助，没有据此推定独立研究、导师指导、发表、实习时长或团队管理经历。</w:t>
      </w:r>
    </w:p>
    <w:sectPr w:rsidR="00FC693F" w:rsidRPr="0006063C" w:rsidSect="00034616">
      <w:footerReference w:type="default" r:id="rId9"/>
      <w:pgSz w:w="12240" w:h="15840"/>
      <w:pgMar w:top="1123" w:right="1224" w:bottom="1037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93" w:lineRule="auto" w:after="120"/>
    </w:pPr>
    <w:rPr>
      <w:rFonts w:ascii="Calibri" w:hAnsi="Calibri" w:eastAsia="宋体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2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00" w:after="12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00" w:after="120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微软雅黑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 w:eastAsia="微软雅黑"/>
      <w:i w:val="0"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Calibri" w:hAnsi="Calibri" w:eastAsia="宋体"/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 w:eastAsia="宋体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hyperlink" Target="https://doi.org/10.1086/260062" TargetMode="External"/><Relationship Id="rId19" Type="http://schemas.openxmlformats.org/officeDocument/2006/relationships/hyperlink" Target="https://doi.org/10.1016/0304-405X(79)90015-1" TargetMode="External"/><Relationship Id="rId20" Type="http://schemas.openxmlformats.org/officeDocument/2006/relationships/hyperlink" Target="https://doi.org/10.1111/j.1540-6261.1985.tb02383.x" TargetMode="External"/><Relationship Id="rId21" Type="http://schemas.openxmlformats.org/officeDocument/2006/relationships/hyperlink" Target="https://scholars.duke.edu/publication/792433" TargetMode="External"/><Relationship Id="rId22" Type="http://schemas.openxmlformats.org/officeDocument/2006/relationships/hyperlink" Target="https://doi.org/10.1214/aos/1176347265" TargetMode="External"/><Relationship Id="rId23" Type="http://schemas.openxmlformats.org/officeDocument/2006/relationships/hyperlink" Target="https://scikit-learn.org/stable/modules/generated/sklearn.linear_model.Ridge.html" TargetMode="External"/><Relationship Id="rId24" Type="http://schemas.openxmlformats.org/officeDocument/2006/relationships/hyperlink" Target="https://scikit-learn.org/stable/modules/generated/sklearn.model_selection.TimeSeriesSplit.html" TargetMode="External"/><Relationship Id="rId25" Type="http://schemas.openxmlformats.org/officeDocument/2006/relationships/hyperlink" Target="https://www.ecb.europa.eu/stats/policy_and_exchange_rates/euro_reference_exchange_rates/html/index.en.html" TargetMode="External"/><Relationship Id="rId26" Type="http://schemas.openxmlformats.org/officeDocument/2006/relationships/hyperlink" Target="https://www.ecb.europa.eu/services/using-our-site/disclaimer/html/index.en.html" TargetMode="External"/><Relationship Id="rId27" Type="http://schemas.openxmlformats.org/officeDocument/2006/relationships/hyperlink" Target="https://dsbs.cuhk.edu.hk/programme-details/" TargetMode="External"/><Relationship Id="rId28" Type="http://schemas.openxmlformats.org/officeDocument/2006/relationships/hyperlink" Target="https://www.heinz.cmu.edu/programs/information-systems-management-master/bida" TargetMode="External"/><Relationship Id="rId29" Type="http://schemas.openxmlformats.org/officeDocument/2006/relationships/hyperlink" Target="https://master.cds.hku.hk/msccs/msc-in-computer-science-stream-financial-computing/" TargetMode="External"/><Relationship Id="rId30" Type="http://schemas.openxmlformats.org/officeDocument/2006/relationships/hyperlink" Target="https://graduate.catalog.berkeley.edu/programs/162G4ANLTG" TargetMode="External"/><Relationship Id="rId31" Type="http://schemas.openxmlformats.org/officeDocument/2006/relationships/hyperlink" Target="https://www.ese.upenn.edu/academics/masters/systems-engineering-program/mse-in-se-degree-requirements/" TargetMode="External"/><Relationship Id="rId32" Type="http://schemas.openxmlformats.org/officeDocument/2006/relationships/hyperlink" Target="https://dsai.engineering.upenn.edu/curriculum/" TargetMode="External"/><Relationship Id="rId33" Type="http://schemas.openxmlformats.org/officeDocument/2006/relationships/hyperlink" Target="https://www.ntu.edu.sg/spms/admissions/grad/detail/master-of-science-in-data-science-%28msds%29" TargetMode="External"/><Relationship Id="rId34" Type="http://schemas.openxmlformats.org/officeDocument/2006/relationships/hyperlink" Target="https://www.imperial.ac.uk/study/courses/postgraduate-taught/applied-computational-science/" TargetMode="External"/><Relationship Id="rId35" Type="http://schemas.openxmlformats.org/officeDocument/2006/relationships/hyperlink" Target="https://hsph.harvard.edu/program/sm-health-data-science/" TargetMode="External"/><Relationship Id="rId36" Type="http://schemas.openxmlformats.org/officeDocument/2006/relationships/hyperlink" Target="https://ysph.yale.edu/school-of-public-health/graduate-programs/master-of-public-health-mph-degree/biostatistic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有限数据与模型不确定性下的期权对冲研究</dc:title>
  <dc:subject>金融数学课程延伸计算研究与十项目能力并集证据</dc:subject>
  <dc:creator>Project initiated by Youming Yang; AI-assisted development and drafting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