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240"/>
        <w:ind w:firstLine="0"/>
        <w:jc w:val="center"/>
      </w:pPr>
      <w:r>
        <w:rPr>
          <w:rFonts w:ascii="SimHei" w:hAnsi="SimHei" w:eastAsia="SimHei"/>
          <w:b/>
          <w:sz w:val="44"/>
        </w:rPr>
        <w:t>项目建设方案</w:t>
      </w:r>
    </w:p>
    <w:p>
      <w:pPr>
        <w:spacing w:line="360" w:lineRule="auto" w:before="240" w:after="120"/>
        <w:ind w:firstLine="0"/>
        <w:jc w:val="left"/>
      </w:pPr>
      <w:r>
        <w:rPr>
          <w:rFonts w:ascii="SimHei" w:hAnsi="SimHei" w:eastAsia="SimHei"/>
          <w:b/>
          <w:sz w:val="32"/>
        </w:rPr>
        <w:t>一、项目背景</w:t>
      </w:r>
    </w:p>
    <w:p>
      <w:pPr>
        <w:spacing w:line="360" w:lineRule="auto" w:before="200" w:after="120"/>
        <w:ind w:firstLine="0"/>
        <w:jc w:val="left"/>
      </w:pPr>
      <w:r>
        <w:rPr>
          <w:rFonts w:ascii="SimHei" w:hAnsi="SimHei" w:eastAsia="SimHei"/>
          <w:b/>
          <w:sz w:val="30"/>
        </w:rPr>
        <w:t>（一）建设现状</w:t>
      </w:r>
    </w:p>
    <w:p>
      <w:pPr>
        <w:spacing w:line="360" w:lineRule="auto" w:before="160" w:after="80"/>
        <w:ind w:firstLine="0"/>
        <w:jc w:val="left"/>
      </w:pPr>
      <w:r>
        <w:rPr>
          <w:rFonts w:ascii="SimHei" w:hAnsi="SimHei" w:eastAsia="SimHei"/>
          <w:b/>
          <w:sz w:val="28"/>
        </w:rPr>
        <w:t>1. 当前问题</w:t>
      </w:r>
    </w:p>
    <w:p>
      <w:pPr>
        <w:spacing w:line="360" w:lineRule="auto" w:before="0" w:after="0"/>
        <w:ind w:firstLine="420"/>
        <w:jc w:val="both"/>
      </w:pPr>
      <w:r>
        <w:rPr>
          <w:rFonts w:ascii="SimSun" w:hAnsi="SimSun" w:eastAsia="SimSun"/>
          <w:b w:val="0"/>
          <w:sz w:val="24"/>
        </w:rPr>
        <w:t>当前项目文档来源较多，格式标准不完全一致，影响后续归档和审核效率。</w:t>
      </w:r>
    </w:p>
    <w:p>
      <w:pPr>
        <w:spacing w:line="360" w:lineRule="auto" w:before="0" w:after="0"/>
        <w:ind w:firstLine="480"/>
        <w:jc w:val="both"/>
      </w:pPr>
      <w:r>
        <w:rPr>
          <w:rFonts w:ascii="SimSun" w:hAnsi="SimSun" w:eastAsia="SimSun"/>
          <w:b w:val="0"/>
          <w:sz w:val="24"/>
        </w:rPr>
        <w:t>部分材料在段落缩进、字体字号和标题层级方面存在差异，需要进行统一排版。</w:t>
      </w:r>
    </w:p>
    <w:p>
      <w:pPr>
        <w:spacing w:line="360" w:lineRule="auto" w:before="0" w:after="0"/>
        <w:ind w:firstLine="420"/>
        <w:jc w:val="both"/>
      </w:pPr>
      <w:r>
        <w:rPr>
          <w:rFonts w:ascii="SimSun" w:hAnsi="SimSun" w:eastAsia="SimSun"/>
          <w:b w:val="0"/>
          <w:sz w:val="24"/>
        </w:rPr>
        <w:t>本示例文档用于验证离线 docx 模板化处理流程，不包含真实业务数据。</w:t>
      </w:r>
    </w:p>
    <w:p>
      <w:pPr>
        <w:spacing w:line="360" w:lineRule="auto" w:before="0" w:after="0"/>
        <w:ind w:firstLine="480"/>
        <w:jc w:val="both"/>
      </w:pPr>
      <w:r>
        <w:rPr>
          <w:rFonts w:ascii="SimSun" w:hAnsi="SimSun" w:eastAsia="SimSun"/>
          <w:b w:val="0"/>
          <w:sz w:val="24"/>
        </w:rPr>
        <w:t>处理过程应保持正文内容不变，仅对明确允许的格式属性进行调整。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imHei" w:hAnsi="SimHei" w:eastAsia="SimHei"/>
                <w:b w:val="0"/>
              </w:rPr>
            </w:r>
            <w:r>
              <w:rPr>
                <w:rFonts w:ascii="SimHei" w:hAnsi="SimHei" w:eastAsia="SimHei"/>
                <w:b w:val="0"/>
                <w:sz w:val="21"/>
              </w:rPr>
              <w:t>序号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Hei" w:hAnsi="SimHei" w:eastAsia="SimHei"/>
                <w:b w:val="0"/>
              </w:rPr>
            </w:r>
            <w:r>
              <w:rPr>
                <w:rFonts w:ascii="SimHei" w:hAnsi="SimHei" w:eastAsia="SimHei"/>
                <w:b w:val="0"/>
                <w:sz w:val="21"/>
              </w:rPr>
              <w:t>事项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Hei" w:hAnsi="SimHei" w:eastAsia="SimHei"/>
                <w:b w:val="0"/>
              </w:rPr>
            </w:r>
            <w:r>
              <w:rPr>
                <w:rFonts w:ascii="SimHei" w:hAnsi="SimHei" w:eastAsia="SimHei"/>
                <w:b w:val="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</w:rPr>
            </w:r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</w:rPr>
            </w:r>
            <w:r>
              <w:rPr>
                <w:rFonts w:ascii="SimSun" w:hAnsi="SimSun" w:eastAsia="SimSun"/>
                <w:b w:val="0"/>
                <w:sz w:val="21"/>
              </w:rPr>
              <w:t>资料收集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</w:rPr>
            </w:r>
            <w:r>
              <w:rPr>
                <w:rFonts w:ascii="SimSun" w:hAnsi="SimSun" w:eastAsia="SimSun"/>
                <w:b w:val="0"/>
                <w:sz w:val="21"/>
              </w:rPr>
              <w:t>汇总现有项目资料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</w:rPr>
            </w: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</w:rPr>
            </w:r>
            <w:r>
              <w:rPr>
                <w:rFonts w:ascii="SimSun" w:hAnsi="SimSun" w:eastAsia="SimSun"/>
                <w:b w:val="0"/>
                <w:sz w:val="21"/>
              </w:rPr>
              <w:t>格式检查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</w:rPr>
            </w:r>
            <w:r>
              <w:rPr>
                <w:rFonts w:ascii="SimSun" w:hAnsi="SimSun" w:eastAsia="SimSun"/>
                <w:b w:val="0"/>
                <w:sz w:val="21"/>
              </w:rPr>
              <w:t>识别不符合模板的格式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</w:rPr>
            </w: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</w:rPr>
            </w:r>
            <w:r>
              <w:rPr>
                <w:rFonts w:ascii="SimSun" w:hAnsi="SimSun" w:eastAsia="SimSun"/>
                <w:b w:val="0"/>
                <w:sz w:val="21"/>
              </w:rPr>
              <w:t>输出结果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</w:rPr>
            </w:r>
            <w:r>
              <w:rPr>
                <w:rFonts w:ascii="SimSun" w:hAnsi="SimSun" w:eastAsia="SimSun"/>
                <w:b w:val="0"/>
                <w:sz w:val="21"/>
              </w:rPr>
              <w:t>生成新的排版后文档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