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46184" w14:textId="77777777" w:rsidR="00513645" w:rsidRPr="007E08D3" w:rsidRDefault="00513645" w:rsidP="00513645">
      <w:pPr>
        <w:jc w:val="center"/>
        <w:rPr>
          <w:rFonts w:cstheme="minorHAnsi"/>
          <w:b/>
          <w:bCs/>
          <w:sz w:val="48"/>
          <w:szCs w:val="52"/>
        </w:rPr>
      </w:pPr>
      <w:r w:rsidRPr="007E08D3">
        <w:rPr>
          <w:rFonts w:cstheme="minorHAnsi"/>
          <w:b/>
          <w:bCs/>
          <w:sz w:val="48"/>
          <w:szCs w:val="52"/>
        </w:rPr>
        <w:t>Rattrapage</w:t>
      </w:r>
    </w:p>
    <w:p w14:paraId="5B8DAE03" w14:textId="77777777" w:rsidR="00513645" w:rsidRPr="007E08D3" w:rsidRDefault="00513645" w:rsidP="00513645">
      <w:pPr>
        <w:pStyle w:val="Titre1"/>
        <w:rPr>
          <w:rFonts w:cstheme="minorHAnsi"/>
        </w:rPr>
      </w:pPr>
    </w:p>
    <w:p w14:paraId="6559A31C" w14:textId="77777777" w:rsidR="00513645" w:rsidRPr="007E08D3" w:rsidRDefault="00513645" w:rsidP="00513645">
      <w:pPr>
        <w:pStyle w:val="Corpsdetexte"/>
        <w:rPr>
          <w:rFonts w:asciiTheme="minorHAnsi" w:hAnsiTheme="minorHAnsi" w:cstheme="minorHAnsi"/>
        </w:rPr>
      </w:pPr>
      <w:bookmarkStart w:id="0" w:name="document-de-cadrage"/>
    </w:p>
    <w:p w14:paraId="3AD34EA0" w14:textId="77777777" w:rsidR="00513645" w:rsidRPr="007E08D3" w:rsidRDefault="00513645" w:rsidP="00513645">
      <w:pPr>
        <w:pStyle w:val="Corpsdetexte"/>
        <w:jc w:val="center"/>
        <w:rPr>
          <w:rFonts w:asciiTheme="minorHAnsi" w:hAnsiTheme="minorHAnsi" w:cstheme="minorHAnsi"/>
        </w:rPr>
      </w:pPr>
      <w:r w:rsidRPr="007E08D3">
        <w:rPr>
          <w:rFonts w:asciiTheme="minorHAnsi" w:hAnsiTheme="minorHAnsi" w:cstheme="minorHAnsi"/>
          <w:noProof/>
        </w:rPr>
        <w:drawing>
          <wp:inline distT="0" distB="0" distL="0" distR="0" wp14:anchorId="08A83D0E" wp14:editId="393B00A7">
            <wp:extent cx="5019675" cy="1828800"/>
            <wp:effectExtent l="0" t="0" r="9525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27B7" w14:textId="77777777" w:rsidR="00513645" w:rsidRPr="007E08D3" w:rsidRDefault="00513645" w:rsidP="00513645">
      <w:pPr>
        <w:pStyle w:val="Corpsdetexte"/>
        <w:rPr>
          <w:rFonts w:asciiTheme="minorHAnsi" w:hAnsiTheme="minorHAnsi" w:cstheme="minorHAnsi"/>
        </w:rPr>
      </w:pPr>
    </w:p>
    <w:p w14:paraId="510C7E48" w14:textId="77777777" w:rsidR="00513645" w:rsidRPr="007E08D3" w:rsidRDefault="00513645" w:rsidP="00513645">
      <w:pPr>
        <w:jc w:val="center"/>
        <w:rPr>
          <w:rFonts w:cstheme="minorHAnsi"/>
          <w:sz w:val="160"/>
          <w:szCs w:val="200"/>
        </w:rPr>
      </w:pPr>
      <w:r w:rsidRPr="007E08D3">
        <w:rPr>
          <w:rFonts w:cstheme="minorHAnsi"/>
          <w:sz w:val="160"/>
          <w:szCs w:val="200"/>
        </w:rPr>
        <w:t>UE 04</w:t>
      </w:r>
    </w:p>
    <w:p w14:paraId="67557216" w14:textId="6E0BE166" w:rsidR="00513645" w:rsidRPr="00513645" w:rsidRDefault="00513645" w:rsidP="00513645">
      <w:pPr>
        <w:jc w:val="center"/>
        <w:rPr>
          <w:rFonts w:cstheme="minorHAnsi"/>
          <w:sz w:val="40"/>
          <w:szCs w:val="44"/>
        </w:rPr>
      </w:pPr>
      <w:r w:rsidRPr="00513645">
        <w:rPr>
          <w:rFonts w:cstheme="minorHAnsi"/>
          <w:sz w:val="40"/>
          <w:szCs w:val="44"/>
        </w:rPr>
        <w:t>Produit et Storytelling</w:t>
      </w:r>
      <w:r w:rsidRPr="00513645">
        <w:rPr>
          <w:rFonts w:cstheme="minorHAnsi"/>
          <w:sz w:val="40"/>
          <w:szCs w:val="44"/>
        </w:rPr>
        <w:t xml:space="preserve"> (</w:t>
      </w:r>
      <w:r w:rsidRPr="00513645">
        <w:rPr>
          <w:rFonts w:cstheme="minorHAnsi"/>
          <w:sz w:val="40"/>
          <w:szCs w:val="44"/>
        </w:rPr>
        <w:t>Annexe de transparence IA</w:t>
      </w:r>
      <w:r w:rsidRPr="00513645">
        <w:rPr>
          <w:rFonts w:cstheme="minorHAnsi"/>
          <w:sz w:val="40"/>
          <w:szCs w:val="44"/>
        </w:rPr>
        <w:t xml:space="preserve">) </w:t>
      </w:r>
    </w:p>
    <w:p w14:paraId="54069F57" w14:textId="77777777" w:rsidR="00513645" w:rsidRPr="007E08D3" w:rsidRDefault="00513645" w:rsidP="00513645">
      <w:pPr>
        <w:jc w:val="center"/>
        <w:rPr>
          <w:rFonts w:cstheme="minorHAnsi"/>
          <w:sz w:val="44"/>
          <w:szCs w:val="48"/>
        </w:rPr>
      </w:pPr>
    </w:p>
    <w:p w14:paraId="1D1BB548" w14:textId="77777777" w:rsidR="00513645" w:rsidRPr="007E08D3" w:rsidRDefault="00513645" w:rsidP="00513645">
      <w:pPr>
        <w:jc w:val="center"/>
        <w:rPr>
          <w:rFonts w:cstheme="minorHAnsi"/>
          <w:sz w:val="44"/>
          <w:szCs w:val="48"/>
        </w:rPr>
      </w:pPr>
    </w:p>
    <w:p w14:paraId="4B065B7B" w14:textId="77777777" w:rsidR="00513645" w:rsidRPr="007E08D3" w:rsidRDefault="00513645" w:rsidP="00513645">
      <w:pPr>
        <w:jc w:val="center"/>
        <w:rPr>
          <w:rFonts w:cstheme="minorHAnsi"/>
          <w:sz w:val="44"/>
          <w:szCs w:val="48"/>
        </w:rPr>
      </w:pPr>
    </w:p>
    <w:p w14:paraId="4DF04CBB" w14:textId="77777777" w:rsidR="00513645" w:rsidRPr="007E08D3" w:rsidRDefault="00513645" w:rsidP="00513645">
      <w:pPr>
        <w:jc w:val="center"/>
        <w:rPr>
          <w:rFonts w:cstheme="minorHAnsi"/>
          <w:b/>
          <w:bCs/>
          <w:sz w:val="28"/>
          <w:szCs w:val="32"/>
        </w:rPr>
      </w:pPr>
      <w:r w:rsidRPr="007E08D3">
        <w:rPr>
          <w:rFonts w:cstheme="minorHAnsi"/>
          <w:b/>
          <w:bCs/>
          <w:sz w:val="28"/>
          <w:szCs w:val="32"/>
        </w:rPr>
        <w:t>Promotion 2026</w:t>
      </w:r>
    </w:p>
    <w:p w14:paraId="16BC93FA" w14:textId="77777777" w:rsidR="00513645" w:rsidRPr="007E08D3" w:rsidRDefault="00513645" w:rsidP="00513645">
      <w:pPr>
        <w:pStyle w:val="Corpsdetexte"/>
        <w:rPr>
          <w:rFonts w:asciiTheme="minorHAnsi" w:hAnsiTheme="minorHAnsi" w:cstheme="minorHAnsi"/>
        </w:rPr>
      </w:pPr>
    </w:p>
    <w:p w14:paraId="4EB1C188" w14:textId="77777777" w:rsidR="00513645" w:rsidRPr="007E08D3" w:rsidRDefault="00513645" w:rsidP="00513645">
      <w:pPr>
        <w:pStyle w:val="Corpsdetexte"/>
        <w:rPr>
          <w:rFonts w:asciiTheme="minorHAnsi" w:hAnsiTheme="minorHAnsi" w:cstheme="minorHAnsi"/>
        </w:rPr>
      </w:pPr>
    </w:p>
    <w:p w14:paraId="145A5E3E" w14:textId="77777777" w:rsidR="00513645" w:rsidRPr="007E08D3" w:rsidRDefault="00513645" w:rsidP="00513645">
      <w:pPr>
        <w:rPr>
          <w:rFonts w:cstheme="minorHAnsi"/>
        </w:rPr>
      </w:pPr>
    </w:p>
    <w:p w14:paraId="69DE3036" w14:textId="77777777" w:rsidR="00513645" w:rsidRPr="007E08D3" w:rsidRDefault="00513645" w:rsidP="00513645">
      <w:pPr>
        <w:rPr>
          <w:rFonts w:cstheme="minorHAnsi"/>
        </w:rPr>
      </w:pPr>
    </w:p>
    <w:p w14:paraId="26BA5C2F" w14:textId="77777777" w:rsidR="00362625" w:rsidRDefault="00362625" w:rsidP="00513645">
      <w:pPr>
        <w:jc w:val="center"/>
        <w:rPr>
          <w:rFonts w:cstheme="minorHAnsi"/>
        </w:rPr>
      </w:pPr>
    </w:p>
    <w:p w14:paraId="7FF72868" w14:textId="566F3BEF" w:rsidR="00C116A7" w:rsidRDefault="00513645" w:rsidP="00513645">
      <w:pPr>
        <w:jc w:val="center"/>
        <w:rPr>
          <w:rFonts w:cstheme="minorHAnsi"/>
          <w:b/>
          <w:bCs/>
        </w:rPr>
      </w:pPr>
      <w:r w:rsidRPr="007E08D3">
        <w:rPr>
          <w:rFonts w:cstheme="minorHAnsi"/>
        </w:rPr>
        <w:t xml:space="preserve">Auteur :  </w:t>
      </w:r>
      <w:r w:rsidRPr="007E08D3">
        <w:rPr>
          <w:rFonts w:cstheme="minorHAnsi"/>
          <w:b/>
          <w:bCs/>
        </w:rPr>
        <w:t>Younes Benaggoun</w:t>
      </w:r>
      <w:bookmarkEnd w:id="0"/>
    </w:p>
    <w:p w14:paraId="1A8FA710" w14:textId="77777777" w:rsidR="001005AA" w:rsidRDefault="001005AA" w:rsidP="001005AA">
      <w:pPr>
        <w:pStyle w:val="Titre1"/>
      </w:pPr>
      <w:r w:rsidRPr="00DB1C0F">
        <w:lastRenderedPageBreak/>
        <w:t>Annexe — Transparence IA</w:t>
      </w:r>
    </w:p>
    <w:p w14:paraId="1F5F5FF2" w14:textId="77777777" w:rsidR="001005AA" w:rsidRPr="001005AA" w:rsidRDefault="001005AA" w:rsidP="001005AA">
      <w:r w:rsidRPr="001005AA">
        <w:t>Conformément aux modalités de l’UE04, l’IA générative a été utilisée comme assistant sous les conditions suivantes :</w:t>
      </w:r>
    </w:p>
    <w:p w14:paraId="28F08DB9" w14:textId="77777777" w:rsidR="001005AA" w:rsidRPr="001005AA" w:rsidRDefault="001005AA" w:rsidP="001005AA">
      <w:pPr>
        <w:numPr>
          <w:ilvl w:val="0"/>
          <w:numId w:val="1"/>
        </w:numPr>
      </w:pPr>
      <w:r w:rsidRPr="001005AA">
        <w:rPr>
          <w:b/>
          <w:bCs/>
        </w:rPr>
        <w:t>Usages :</w:t>
      </w:r>
      <w:r w:rsidRPr="001005AA">
        <w:t xml:space="preserve"> aide à la structuration du dossier, relecture de la cohérence des articles RGPD, formulation des user/abuser stories, génération de la trame HTML, suggestions de vecteurs CVSS et de formulations de notification.</w:t>
      </w:r>
    </w:p>
    <w:p w14:paraId="2F79BEA3" w14:textId="77777777" w:rsidR="001005AA" w:rsidRPr="001005AA" w:rsidRDefault="001005AA" w:rsidP="001005AA">
      <w:pPr>
        <w:numPr>
          <w:ilvl w:val="0"/>
          <w:numId w:val="1"/>
        </w:numPr>
      </w:pPr>
      <w:r w:rsidRPr="001005AA">
        <w:rPr>
          <w:b/>
          <w:bCs/>
        </w:rPr>
        <w:t>Ce qui n’a pas été délégué à l’IA :</w:t>
      </w:r>
      <w:r w:rsidRPr="001005AA">
        <w:t xml:space="preserve"> l’analyse du code source fourni, la reproduction des failles sur l’instance locale, l’identification des preuves concrètes (logs, IDOR, mass-</w:t>
      </w:r>
      <w:proofErr w:type="spellStart"/>
      <w:r w:rsidRPr="001005AA">
        <w:t>assignment</w:t>
      </w:r>
      <w:proofErr w:type="spellEnd"/>
      <w:r w:rsidRPr="001005AA">
        <w:t xml:space="preserve">, </w:t>
      </w:r>
      <w:proofErr w:type="spellStart"/>
      <w:r w:rsidRPr="001005AA">
        <w:t>token</w:t>
      </w:r>
      <w:proofErr w:type="spellEnd"/>
      <w:r w:rsidRPr="001005AA">
        <w:t xml:space="preserve"> prédictible, filtre new </w:t>
      </w:r>
      <w:proofErr w:type="spellStart"/>
      <w:r w:rsidRPr="001005AA">
        <w:t>Function</w:t>
      </w:r>
      <w:proofErr w:type="spellEnd"/>
      <w:r w:rsidRPr="001005AA">
        <w:t>), le jugement sur le caractère obligatoire de l’AIPD et le choix des priorités de remédiation.</w:t>
      </w:r>
    </w:p>
    <w:p w14:paraId="6C93312E" w14:textId="77777777" w:rsidR="001005AA" w:rsidRPr="001005AA" w:rsidRDefault="001005AA" w:rsidP="001005AA">
      <w:pPr>
        <w:numPr>
          <w:ilvl w:val="0"/>
          <w:numId w:val="1"/>
        </w:numPr>
      </w:pPr>
      <w:r w:rsidRPr="001005AA">
        <w:rPr>
          <w:b/>
          <w:bCs/>
        </w:rPr>
        <w:t>Vérification humaine :</w:t>
      </w:r>
      <w:r w:rsidRPr="001005AA">
        <w:t xml:space="preserve"> chaque constat de sécurité a été reproduit manuellement (login, IDOR, élévation de rôle, décodage de </w:t>
      </w:r>
      <w:proofErr w:type="spellStart"/>
      <w:r w:rsidRPr="001005AA">
        <w:t>token</w:t>
      </w:r>
      <w:proofErr w:type="spellEnd"/>
      <w:r w:rsidRPr="001005AA">
        <w:t>, inspection des logs). Les articles RGPD cités ont été recoupés avec le texte officiel et les lignes directrices CEPD/CNIL connues.</w:t>
      </w:r>
    </w:p>
    <w:p w14:paraId="65D293DD" w14:textId="77777777" w:rsidR="001005AA" w:rsidRPr="001005AA" w:rsidRDefault="001005AA" w:rsidP="001005AA">
      <w:pPr>
        <w:numPr>
          <w:ilvl w:val="0"/>
          <w:numId w:val="1"/>
        </w:numPr>
      </w:pPr>
      <w:r w:rsidRPr="001005AA">
        <w:rPr>
          <w:b/>
          <w:bCs/>
        </w:rPr>
        <w:t>Limite :</w:t>
      </w:r>
      <w:r w:rsidRPr="001005AA">
        <w:t xml:space="preserve"> le présent livrable est un travail d’analyse et de mise en contexte ; il ne se substitue pas à un avis juridique formalisé ni à un audit de sécurité certifié.</w:t>
      </w:r>
    </w:p>
    <w:p w14:paraId="37E15256" w14:textId="77777777" w:rsidR="001005AA" w:rsidRPr="00513645" w:rsidRDefault="001005AA" w:rsidP="001005AA">
      <w:pPr>
        <w:rPr>
          <w:rFonts w:cstheme="minorHAnsi"/>
        </w:rPr>
      </w:pPr>
    </w:p>
    <w:sectPr w:rsidR="001005AA" w:rsidRPr="005136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80CF2"/>
    <w:multiLevelType w:val="multilevel"/>
    <w:tmpl w:val="C81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2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42"/>
    <w:rsid w:val="001005AA"/>
    <w:rsid w:val="00292890"/>
    <w:rsid w:val="003541A3"/>
    <w:rsid w:val="00362625"/>
    <w:rsid w:val="004D3BE3"/>
    <w:rsid w:val="00513645"/>
    <w:rsid w:val="00C116A7"/>
    <w:rsid w:val="00C51F55"/>
    <w:rsid w:val="00C557B2"/>
    <w:rsid w:val="00D0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9D3FF"/>
  <w15:chartTrackingRefBased/>
  <w15:docId w15:val="{6D0C36DF-40B5-46A5-9305-1788089F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645"/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D02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2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2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2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2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2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2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2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2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2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2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2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224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224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22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22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22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22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2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2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2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2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2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22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22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224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2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224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2242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513645"/>
    <w:pPr>
      <w:spacing w:before="180" w:after="180" w:line="276" w:lineRule="auto"/>
    </w:pPr>
    <w:rPr>
      <w:rFonts w:asciiTheme="minorBidi" w:eastAsia="Adobe Fan Heiti Std B" w:hAnsiTheme="minorBidi"/>
      <w:kern w:val="0"/>
      <w:szCs w:val="24"/>
      <w:lang w:eastAsia="zh-CN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513645"/>
    <w:rPr>
      <w:rFonts w:asciiTheme="minorBidi" w:eastAsia="Adobe Fan Heiti Std B" w:hAnsiTheme="minorBidi"/>
      <w:kern w:val="0"/>
      <w:sz w:val="2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 Benaggoun</dc:creator>
  <cp:keywords/>
  <dc:description/>
  <cp:lastModifiedBy>Younes Benaggoun</cp:lastModifiedBy>
  <cp:revision>4</cp:revision>
  <dcterms:created xsi:type="dcterms:W3CDTF">2026-10-09T16:15:00Z</dcterms:created>
  <dcterms:modified xsi:type="dcterms:W3CDTF">2026-10-09T16:19:00Z</dcterms:modified>
</cp:coreProperties>
</file>