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pPr>
      <w:r>
        <w:rPr>
          <w:rFonts w:ascii="Calibri" w:cs="Calibri" w:eastAsia="Calibri" w:hAnsi="Calibri"/>
          <w:b/>
          <w:bCs/>
          <w:color w:val="C9973B"/>
          <w:sz w:val="18"/>
          <w:szCs w:val="18"/>
        </w:rPr>
        <w:t xml:space="preserve">LINKED OPEN DATA  ·  TP1  ·  AVRIL 2026</w:t>
      </w:r>
    </w:p>
    <w:p>
      <w:pPr>
        <w:spacing w:after="0" w:before="0"/>
      </w:pPr>
      <w:r>
        <w:rPr>
          <w:rFonts w:ascii="Calibri" w:cs="Calibri" w:eastAsia="Calibri" w:hAnsi="Calibri"/>
          <w:b/>
          <w:bCs/>
          <w:color w:val="0F1117"/>
          <w:sz w:val="96"/>
          <w:szCs w:val="96"/>
        </w:rPr>
        <w:t xml:space="preserve">RAPPORT</w:t>
      </w:r>
    </w:p>
    <w:p>
      <w:pPr>
        <w:spacing w:after="320" w:before="0"/>
      </w:pPr>
      <w:r>
        <w:rPr>
          <w:rFonts w:ascii="Calibri" w:cs="Calibri" w:eastAsia="Calibri" w:hAnsi="Calibri"/>
          <w:b/>
          <w:bCs/>
          <w:color w:val="C45C3A"/>
          <w:sz w:val="96"/>
          <w:szCs w:val="96"/>
        </w:rPr>
        <w:t xml:space="preserve">HORS SÉANCE</w:t>
      </w:r>
    </w:p>
    <w:p>
      <w:pPr>
        <w:spacing w:after="80" w:before="0"/>
      </w:pPr>
      <w:r>
        <w:rPr>
          <w:rFonts w:ascii="Calibri" w:cs="Calibri" w:eastAsia="Calibri" w:hAnsi="Calibri"/>
          <w:color w:val="4A5568"/>
          <w:sz w:val="22"/>
          <w:szCs w:val="22"/>
        </w:rPr>
        <w:t xml:space="preserve">Préparation à l'ouverture liée du jeu de données des établissements</w:t>
      </w:r>
    </w:p>
    <w:p>
      <w:pPr>
        <w:spacing w:after="480" w:before="0"/>
      </w:pPr>
      <w:r>
        <w:rPr>
          <w:rFonts w:ascii="Calibri" w:cs="Calibri" w:eastAsia="Calibri" w:hAnsi="Calibri"/>
          <w:color w:val="4A5568"/>
          <w:sz w:val="22"/>
          <w:szCs w:val="22"/>
        </w:rPr>
        <w:t xml:space="preserve">de l'enseignement supérieur universitaire public au Maroc — 2024-2025</w:t>
      </w:r>
    </w:p>
    <w:p>
      <w:pPr>
        <w:pBdr>
          <w:bottom w:val="single" w:color="C45C3A" w:sz="12"/>
        </w:pBdr>
        <w:spacing w:after="320" w:before="0"/>
      </w:pPr>
      <w:r>
        <w:rPr>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single" w:color="D4C9B5" w:sz="3"/>
              <w:right w:val="none" w:color="FFFFFF" w:sz="0"/>
            </w:tcBorders>
            <w:shd w:fill="F5F0E8" w:val="clear"/>
            <w:tcMar>
              <w:top w:type="dxa" w:w="100"/>
              <w:left w:type="dxa" w:w="140"/>
              <w:bottom w:type="dxa" w:w="100"/>
              <w:right w:type="dxa" w:w="100"/>
            </w:tcMar>
          </w:tcPr>
          <w:p>
            <w:pPr>
              <w:spacing w:after="0"/>
            </w:pPr>
            <w:r>
              <w:rPr>
                <w:rFonts w:ascii="Calibri" w:cs="Calibri" w:eastAsia="Calibri" w:hAnsi="Calibri"/>
                <w:b/>
                <w:bCs/>
                <w:color w:val="9CA3AF"/>
                <w:sz w:val="18"/>
                <w:szCs w:val="18"/>
              </w:rPr>
              <w:t xml:space="preserve">Groupe</w:t>
            </w:r>
          </w:p>
        </w:tc>
        <w:tc>
          <w:tcPr>
            <w:tcW w:type="dxa" w:w="6626"/>
            <w:tcBorders>
              <w:top w:val="none" w:color="FFFFFF" w:sz="0"/>
              <w:left w:val="none" w:color="FFFFFF" w:sz="0"/>
              <w:bottom w:val="single" w:color="D4C9B5" w:sz="3"/>
              <w:right w:val="none" w:color="FFFFFF" w:sz="0"/>
            </w:tcBorders>
            <w:shd w:fill="FFFFFF" w:val="clear"/>
            <w:tcMar>
              <w:top w:type="dxa" w:w="100"/>
              <w:left w:type="dxa" w:w="140"/>
              <w:bottom w:type="dxa" w:w="100"/>
              <w:right w:type="dxa" w:w="100"/>
            </w:tcMar>
          </w:tcPr>
          <w:p>
            <w:pPr>
              <w:spacing w:after="0"/>
            </w:pPr>
            <w:r>
              <w:rPr>
                <w:rFonts w:ascii="Calibri" w:cs="Calibri" w:eastAsia="Calibri" w:hAnsi="Calibri"/>
                <w:b/>
                <w:bCs/>
                <w:color w:val="0F1117"/>
                <w:sz w:val="20"/>
                <w:szCs w:val="20"/>
              </w:rPr>
              <w:t xml:space="preserve">team_cl</w:t>
            </w:r>
          </w:p>
        </w:tc>
      </w:tr>
      <w:tr>
        <w:tc>
          <w:tcPr>
            <w:tcW w:type="dxa" w:w="2400"/>
            <w:tcBorders>
              <w:top w:val="none" w:color="FFFFFF" w:sz="0"/>
              <w:left w:val="none" w:color="FFFFFF" w:sz="0"/>
              <w:bottom w:val="single" w:color="D4C9B5" w:sz="3"/>
              <w:right w:val="none" w:color="FFFFFF" w:sz="0"/>
            </w:tcBorders>
            <w:shd w:fill="F5F0E8" w:val="clear"/>
            <w:tcMar>
              <w:top w:type="dxa" w:w="100"/>
              <w:left w:type="dxa" w:w="140"/>
              <w:bottom w:type="dxa" w:w="100"/>
              <w:right w:type="dxa" w:w="100"/>
            </w:tcMar>
          </w:tcPr>
          <w:p>
            <w:pPr>
              <w:spacing w:after="0"/>
            </w:pPr>
            <w:r>
              <w:rPr>
                <w:rFonts w:ascii="Calibri" w:cs="Calibri" w:eastAsia="Calibri" w:hAnsi="Calibri"/>
                <w:b/>
                <w:bCs/>
                <w:color w:val="9CA3AF"/>
                <w:sz w:val="18"/>
                <w:szCs w:val="18"/>
              </w:rPr>
              <w:t xml:space="preserve">Producteur</w:t>
            </w:r>
          </w:p>
        </w:tc>
        <w:tc>
          <w:tcPr>
            <w:tcW w:type="dxa" w:w="6626"/>
            <w:tcBorders>
              <w:top w:val="none" w:color="FFFFFF" w:sz="0"/>
              <w:left w:val="none" w:color="FFFFFF" w:sz="0"/>
              <w:bottom w:val="single" w:color="D4C9B5" w:sz="3"/>
              <w:right w:val="none" w:color="FFFFFF" w:sz="0"/>
            </w:tcBorders>
            <w:shd w:fill="FFFFFF" w:val="clear"/>
            <w:tcMar>
              <w:top w:type="dxa" w:w="100"/>
              <w:left w:type="dxa" w:w="140"/>
              <w:bottom w:type="dxa" w:w="100"/>
              <w:right w:type="dxa" w:w="100"/>
            </w:tcMar>
          </w:tcPr>
          <w:p>
            <w:pPr>
              <w:spacing w:after="0"/>
            </w:pPr>
            <w:r>
              <w:rPr>
                <w:rFonts w:ascii="Calibri" w:cs="Calibri" w:eastAsia="Calibri" w:hAnsi="Calibri"/>
                <w:b/>
                <w:bCs/>
                <w:color w:val="0F1117"/>
                <w:sz w:val="20"/>
                <w:szCs w:val="20"/>
              </w:rPr>
              <w:t xml:space="preserve">MESRSI · data.gov.ma</w:t>
            </w:r>
          </w:p>
        </w:tc>
      </w:tr>
      <w:tr>
        <w:tc>
          <w:tcPr>
            <w:tcW w:type="dxa" w:w="2400"/>
            <w:tcBorders>
              <w:top w:val="none" w:color="FFFFFF" w:sz="0"/>
              <w:left w:val="none" w:color="FFFFFF" w:sz="0"/>
              <w:bottom w:val="single" w:color="D4C9B5" w:sz="3"/>
              <w:right w:val="none" w:color="FFFFFF" w:sz="0"/>
            </w:tcBorders>
            <w:shd w:fill="F5F0E8" w:val="clear"/>
            <w:tcMar>
              <w:top w:type="dxa" w:w="100"/>
              <w:left w:type="dxa" w:w="140"/>
              <w:bottom w:type="dxa" w:w="100"/>
              <w:right w:type="dxa" w:w="100"/>
            </w:tcMar>
          </w:tcPr>
          <w:p>
            <w:pPr>
              <w:spacing w:after="0"/>
            </w:pPr>
            <w:r>
              <w:rPr>
                <w:rFonts w:ascii="Calibri" w:cs="Calibri" w:eastAsia="Calibri" w:hAnsi="Calibri"/>
                <w:b/>
                <w:bCs/>
                <w:color w:val="9CA3AF"/>
                <w:sz w:val="18"/>
                <w:szCs w:val="18"/>
              </w:rPr>
              <w:t xml:space="preserve">Format source</w:t>
            </w:r>
          </w:p>
        </w:tc>
        <w:tc>
          <w:tcPr>
            <w:tcW w:type="dxa" w:w="6626"/>
            <w:tcBorders>
              <w:top w:val="none" w:color="FFFFFF" w:sz="0"/>
              <w:left w:val="none" w:color="FFFFFF" w:sz="0"/>
              <w:bottom w:val="single" w:color="D4C9B5" w:sz="3"/>
              <w:right w:val="none" w:color="FFFFFF" w:sz="0"/>
            </w:tcBorders>
            <w:shd w:fill="FFFFFF" w:val="clear"/>
            <w:tcMar>
              <w:top w:type="dxa" w:w="100"/>
              <w:left w:type="dxa" w:w="140"/>
              <w:bottom w:type="dxa" w:w="100"/>
              <w:right w:type="dxa" w:w="100"/>
            </w:tcMar>
          </w:tcPr>
          <w:p>
            <w:pPr>
              <w:spacing w:after="0"/>
            </w:pPr>
            <w:r>
              <w:rPr>
                <w:rFonts w:ascii="Calibri" w:cs="Calibri" w:eastAsia="Calibri" w:hAnsi="Calibri"/>
                <w:b/>
                <w:bCs/>
                <w:color w:val="0F1117"/>
                <w:sz w:val="20"/>
                <w:szCs w:val="20"/>
              </w:rPr>
              <w:t xml:space="preserve">XLSX · Licence ODbL · 19 février 2025</w:t>
            </w:r>
          </w:p>
        </w:tc>
      </w:tr>
      <w:tr>
        <w:tc>
          <w:tcPr>
            <w:tcW w:type="dxa" w:w="2400"/>
            <w:tcBorders>
              <w:top w:val="none" w:color="FFFFFF" w:sz="0"/>
              <w:left w:val="none" w:color="FFFFFF" w:sz="0"/>
              <w:bottom w:val="none" w:color="FFFFFF" w:sz="0"/>
              <w:right w:val="none" w:color="FFFFFF" w:sz="0"/>
            </w:tcBorders>
            <w:shd w:fill="F5F0E8" w:val="clear"/>
            <w:tcMar>
              <w:top w:type="dxa" w:w="100"/>
              <w:left w:type="dxa" w:w="140"/>
              <w:bottom w:type="dxa" w:w="100"/>
              <w:right w:type="dxa" w:w="100"/>
            </w:tcMar>
          </w:tcPr>
          <w:p>
            <w:pPr>
              <w:spacing w:after="0"/>
            </w:pPr>
            <w:r>
              <w:rPr>
                <w:rFonts w:ascii="Calibri" w:cs="Calibri" w:eastAsia="Calibri" w:hAnsi="Calibri"/>
                <w:b/>
                <w:bCs/>
                <w:color w:val="9CA3AF"/>
                <w:sz w:val="18"/>
                <w:szCs w:val="18"/>
              </w:rPr>
              <w:t xml:space="preserve">Périmètre</w:t>
            </w:r>
          </w:p>
        </w:tc>
        <w:tc>
          <w:tcPr>
            <w:tcW w:type="dxa" w:w="6626"/>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pPr>
              <w:spacing w:after="0"/>
            </w:pPr>
            <w:r>
              <w:rPr>
                <w:rFonts w:ascii="Calibri" w:cs="Calibri" w:eastAsia="Calibri" w:hAnsi="Calibri"/>
                <w:b/>
                <w:bCs/>
                <w:color w:val="0F1117"/>
                <w:sz w:val="20"/>
                <w:szCs w:val="20"/>
              </w:rPr>
              <w:t xml:space="preserve">165 établissements · 12 universités publiques</w:t>
            </w:r>
          </w:p>
        </w:tc>
      </w:tr>
    </w:tbl>
    <w:p>
      <w:pPr>
        <w:sectPr>
          <w:pgSz w:w="11906" w:h="16838" w:orient="portrait"/>
          <w:pgMar w:top="1800" w:right="1440" w:bottom="1440" w:left="1440" w:header="708" w:footer="708" w:gutter="0"/>
          <w:pgNumType/>
          <w:docGrid w:linePitch="360"/>
        </w:sectPr>
      </w:pPr>
    </w:p>
    <w:p>
      <w:pPr>
        <w:spacing w:after="0" w:before="0"/>
      </w:pPr>
      <w:r>
        <w:rPr>
          <w:sz w:val="12"/>
          <w:szCs w:val="12"/>
        </w:rPr>
        <w:t xml:space="preserve"/>
      </w:r>
    </w:p>
    <w:p>
      <w:pPr>
        <w:pBdr>
          <w:bottom w:val="single" w:color="C45C3A" w:sz="8" w:space="4"/>
        </w:pBdr>
        <w:spacing w:after="100" w:before="280"/>
      </w:pPr>
      <w:r>
        <w:rPr>
          <w:rFonts w:ascii="Calibri" w:cs="Calibri" w:eastAsia="Calibri" w:hAnsi="Calibri"/>
          <w:b/>
          <w:bCs/>
          <w:color w:val="C45C3A"/>
          <w:sz w:val="28"/>
          <w:szCs w:val="28"/>
        </w:rPr>
        <w:t xml:space="preserve">01  </w:t>
      </w:r>
      <w:r>
        <w:rPr>
          <w:rFonts w:ascii="Calibri" w:cs="Calibri" w:eastAsia="Calibri" w:hAnsi="Calibri"/>
          <w:b/>
          <w:bCs/>
          <w:color w:val="0F1117"/>
          <w:sz w:val="28"/>
          <w:szCs w:val="28"/>
        </w:rPr>
        <w:t xml:space="preserve">INTRODUCTION</w:t>
      </w:r>
    </w:p>
    <w:p>
      <w:pPr>
        <w:spacing w:after="0" w:before="0"/>
      </w:pPr>
      <w:r>
        <w:rPr>
          <w:sz w:val="8"/>
          <w:szCs w:val="8"/>
        </w:rPr>
        <w:t xml:space="preserve"/>
      </w:r>
    </w:p>
    <w:p>
      <w:pPr>
        <w:spacing w:after="120" w:before="0"/>
        <w:jc w:val="both"/>
      </w:pPr>
      <w:r>
        <w:rPr>
          <w:rFonts w:ascii="Calibri" w:cs="Calibri" w:eastAsia="Calibri" w:hAnsi="Calibri"/>
          <w:color w:val="4A5568"/>
          <w:sz w:val="20"/>
          <w:szCs w:val="20"/>
        </w:rPr>
        <w:t xml:space="preserve">Ce rapport présente les résultats du travail réalisé hors séance dans le cadre du TP1. Il étudie la préparation d'un jeu de données </w:t>
      </w:r>
      <w:r>
        <w:rPr>
          <w:rFonts w:ascii="Calibri" w:cs="Calibri" w:eastAsia="Calibri" w:hAnsi="Calibri"/>
          <w:b/>
          <w:bCs/>
          <w:color w:val="0F1117"/>
          <w:sz w:val="20"/>
          <w:szCs w:val="20"/>
        </w:rPr>
        <w:t xml:space="preserve">officiel et réel</w:t>
      </w:r>
      <w:r>
        <w:rPr>
          <w:rFonts w:ascii="Calibri" w:cs="Calibri" w:eastAsia="Calibri" w:hAnsi="Calibri"/>
          <w:color w:val="4A5568"/>
          <w:sz w:val="20"/>
          <w:szCs w:val="20"/>
        </w:rPr>
        <w:t xml:space="preserve"> publié par le MESRSI en vue d'une future publication en données ouvertes liées (LOD). Le fichier source recense </w:t>
      </w:r>
      <w:r>
        <w:rPr>
          <w:rFonts w:ascii="Calibri" w:cs="Calibri" w:eastAsia="Calibri" w:hAnsi="Calibri"/>
          <w:b/>
          <w:bCs/>
          <w:color w:val="0F1117"/>
          <w:sz w:val="20"/>
          <w:szCs w:val="20"/>
        </w:rPr>
        <w:t xml:space="preserve">165 établissements</w:t>
      </w:r>
      <w:r>
        <w:rPr>
          <w:rFonts w:ascii="Calibri" w:cs="Calibri" w:eastAsia="Calibri" w:hAnsi="Calibri"/>
          <w:color w:val="4A5568"/>
          <w:sz w:val="20"/>
          <w:szCs w:val="20"/>
        </w:rPr>
        <w:t xml:space="preserve"> affiliés à </w:t>
      </w:r>
      <w:r>
        <w:rPr>
          <w:rFonts w:ascii="Calibri" w:cs="Calibri" w:eastAsia="Calibri" w:hAnsi="Calibri"/>
          <w:b/>
          <w:bCs/>
          <w:color w:val="0F1117"/>
          <w:sz w:val="20"/>
          <w:szCs w:val="20"/>
        </w:rPr>
        <w:t xml:space="preserve">12 universités publiques</w:t>
      </w:r>
      <w:r>
        <w:rPr>
          <w:rFonts w:ascii="Calibri" w:cs="Calibri" w:eastAsia="Calibri" w:hAnsi="Calibri"/>
          <w:color w:val="4A5568"/>
          <w:sz w:val="20"/>
          <w:szCs w:val="20"/>
        </w:rPr>
        <w:t xml:space="preserve">, dont 162 établissements de formation et 3 instituts de recherche scientifique.</w:t>
      </w:r>
    </w:p>
    <w:p>
      <w:pPr>
        <w:spacing w:after="120" w:before="0"/>
        <w:jc w:val="both"/>
      </w:pPr>
      <w:r>
        <w:rPr>
          <w:rFonts w:ascii="Calibri" w:cs="Calibri" w:eastAsia="Calibri" w:hAnsi="Calibri"/>
          <w:color w:val="4A5568"/>
          <w:sz w:val="20"/>
          <w:szCs w:val="20"/>
        </w:rPr>
        <w:t xml:space="preserve">L'objectif est d'évaluer dans quelle mesure ce jeu de données peut être préparé pour une future publication en graphe RDF. Trois questions structurent l'étude : quelles sont les entités centrales ? Quels référentiels externes permettent de les enrichir et de les aligner ? Quelles étapes de normalisation et d'identification sont nécessaires avant une modélisation formelle ?</w:t>
      </w:r>
    </w:p>
    <w:p>
      <w:pPr>
        <w:spacing w:after="0" w:before="0"/>
      </w:pPr>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5" w:sz="4"/>
              <w:left w:val="single" w:color="C45C3A" w:sz="18"/>
              <w:bottom w:val="single" w:color="D4C9B5" w:sz="4"/>
              <w:right w:val="single" w:color="D4C9B5" w:sz="4"/>
            </w:tcBorders>
            <w:shd w:fill="FEF3E2" w:val="clear"/>
            <w:tcMar>
              <w:top w:type="dxa" w:w="120"/>
              <w:left w:type="dxa" w:w="160"/>
              <w:bottom w:type="dxa" w:w="120"/>
              <w:right w:type="dxa" w:w="160"/>
            </w:tcMar>
          </w:tcPr>
          <w:p>
            <w:pPr>
              <w:spacing w:after="0"/>
            </w:pPr>
            <w:r>
              <w:rPr>
                <w:rFonts w:ascii="Calibri" w:cs="Calibri" w:eastAsia="Calibri" w:hAnsi="Calibri"/>
                <w:b/>
                <w:bCs/>
                <w:color w:val="0F1117"/>
                <w:sz w:val="20"/>
                <w:szCs w:val="20"/>
              </w:rPr>
              <w:t xml:space="preserve">Entités prioritaires retenues : </w:t>
            </w:r>
            <w:r>
              <w:rPr>
                <w:rFonts w:ascii="Calibri" w:cs="Calibri" w:eastAsia="Calibri" w:hAnsi="Calibri"/>
                <w:color w:val="4A5568"/>
                <w:sz w:val="20"/>
                <w:szCs w:val="20"/>
              </w:rPr>
              <w:t xml:space="preserve">Établissement · Université de rattachement · Ville · Région administrative — ces quatre types couvrent la structure hiérarchique complète du dataset et constituent les nœuds principaux du futur graphe.</w:t>
            </w:r>
          </w:p>
        </w:tc>
      </w:tr>
    </w:tbl>
    <w:p>
      <w:pPr>
        <w:spacing w:after="0" w:before="0"/>
      </w:pPr>
      <w:r>
        <w:rPr>
          <w:sz w:val="12"/>
          <w:szCs w:val="12"/>
        </w:rPr>
        <w:t xml:space="preserve"/>
      </w:r>
    </w:p>
    <w:p>
      <w:pPr>
        <w:pBdr>
          <w:bottom w:val="single" w:color="C45C3A" w:sz="8" w:space="4"/>
        </w:pBdr>
        <w:spacing w:after="100" w:before="280"/>
      </w:pPr>
      <w:r>
        <w:rPr>
          <w:rFonts w:ascii="Calibri" w:cs="Calibri" w:eastAsia="Calibri" w:hAnsi="Calibri"/>
          <w:b/>
          <w:bCs/>
          <w:color w:val="C45C3A"/>
          <w:sz w:val="28"/>
          <w:szCs w:val="28"/>
        </w:rPr>
        <w:t xml:space="preserve">02  </w:t>
      </w:r>
      <w:r>
        <w:rPr>
          <w:rFonts w:ascii="Calibri" w:cs="Calibri" w:eastAsia="Calibri" w:hAnsi="Calibri"/>
          <w:b/>
          <w:bCs/>
          <w:color w:val="0F1117"/>
          <w:sz w:val="28"/>
          <w:szCs w:val="28"/>
        </w:rPr>
        <w:t xml:space="preserve">TYPES D'ENTITÉS ÉTUDIÉS</w:t>
      </w:r>
    </w:p>
    <w:p>
      <w:pPr>
        <w:spacing w:after="0" w:before="0"/>
      </w:pPr>
      <w:r>
        <w:rPr>
          <w:sz w:val="8"/>
          <w:szCs w:val="8"/>
        </w:rPr>
        <w:t xml:space="preserve"/>
      </w:r>
    </w:p>
    <w:p>
      <w:pPr>
        <w:spacing w:after="120" w:before="0"/>
        <w:jc w:val="both"/>
      </w:pPr>
      <w:r>
        <w:rPr>
          <w:rFonts w:ascii="Calibri" w:cs="Calibri" w:eastAsia="Calibri" w:hAnsi="Calibri"/>
          <w:color w:val="4A5568"/>
          <w:sz w:val="20"/>
          <w:szCs w:val="20"/>
        </w:rPr>
        <w:t xml:space="preserve">Les types d'entités ci-dessous ont été retenus pour leur rôle structurant dans le dataset et leur potentiel d'alignement externe.</w:t>
      </w:r>
    </w:p>
    <w:p>
      <w:pPr>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0F1117" w:sz="4"/>
              <w:left w:val="single" w:color="0F1117" w:sz="4"/>
              <w:bottom w:val="single" w:color="0F1117" w:sz="4"/>
              <w:right w:val="single" w:color="0F1117" w:sz="4"/>
            </w:tcBorders>
            <w:shd w:fill="0F1117" w:val="clear"/>
            <w:tcMar>
              <w:top w:type="dxa" w:w="80"/>
              <w:left w:type="dxa" w:w="120"/>
              <w:bottom w:type="dxa" w:w="80"/>
              <w:right w:type="dxa" w:w="120"/>
            </w:tcMar>
            <w:vAlign w:val="center"/>
          </w:tcPr>
          <w:p>
            <w:pPr>
              <w:spacing w:after="0"/>
            </w:pPr>
            <w:r>
              <w:rPr>
                <w:rFonts w:ascii="Calibri" w:cs="Calibri" w:eastAsia="Calibri" w:hAnsi="Calibri"/>
                <w:b/>
                <w:bCs/>
                <w:color w:val="FFFFFF"/>
                <w:sz w:val="18"/>
                <w:szCs w:val="18"/>
              </w:rPr>
              <w:t xml:space="preserve">Type d'entité</w:t>
            </w:r>
          </w:p>
        </w:tc>
        <w:tc>
          <w:tcPr>
            <w:tcW w:type="dxa" w:w="4000"/>
            <w:tcBorders>
              <w:top w:val="single" w:color="0F1117" w:sz="4"/>
              <w:left w:val="single" w:color="0F1117" w:sz="4"/>
              <w:bottom w:val="single" w:color="0F1117" w:sz="4"/>
              <w:right w:val="single" w:color="0F1117" w:sz="4"/>
            </w:tcBorders>
            <w:shd w:fill="0F1117" w:val="clear"/>
            <w:tcMar>
              <w:top w:type="dxa" w:w="80"/>
              <w:left w:type="dxa" w:w="120"/>
              <w:bottom w:type="dxa" w:w="80"/>
              <w:right w:type="dxa" w:w="120"/>
            </w:tcMar>
            <w:vAlign w:val="center"/>
          </w:tcPr>
          <w:p>
            <w:pPr>
              <w:spacing w:after="0"/>
            </w:pPr>
            <w:r>
              <w:rPr>
                <w:rFonts w:ascii="Calibri" w:cs="Calibri" w:eastAsia="Calibri" w:hAnsi="Calibri"/>
                <w:b/>
                <w:bCs/>
                <w:color w:val="FFFFFF"/>
                <w:sz w:val="18"/>
                <w:szCs w:val="18"/>
              </w:rPr>
              <w:t xml:space="preserve">Rôle dans le dataset</w:t>
            </w:r>
          </w:p>
        </w:tc>
        <w:tc>
          <w:tcPr>
            <w:tcW w:type="dxa" w:w="2526"/>
            <w:tcBorders>
              <w:top w:val="single" w:color="0F1117" w:sz="4"/>
              <w:left w:val="single" w:color="0F1117" w:sz="4"/>
              <w:bottom w:val="single" w:color="0F1117" w:sz="4"/>
              <w:right w:val="single" w:color="0F1117" w:sz="4"/>
            </w:tcBorders>
            <w:shd w:fill="0F1117" w:val="clear"/>
            <w:tcMar>
              <w:top w:type="dxa" w:w="80"/>
              <w:left w:type="dxa" w:w="120"/>
              <w:bottom w:type="dxa" w:w="80"/>
              <w:right w:type="dxa" w:w="120"/>
            </w:tcMar>
            <w:vAlign w:val="center"/>
          </w:tcPr>
          <w:p>
            <w:pPr>
              <w:spacing w:after="0"/>
            </w:pPr>
            <w:r>
              <w:rPr>
                <w:rFonts w:ascii="Calibri" w:cs="Calibri" w:eastAsia="Calibri" w:hAnsi="Calibri"/>
                <w:b/>
                <w:bCs/>
                <w:color w:val="FFFFFF"/>
                <w:sz w:val="18"/>
                <w:szCs w:val="18"/>
              </w:rPr>
              <w:t xml:space="preserve">Indices d'appariement disponibles</w:t>
            </w:r>
          </w:p>
        </w:tc>
      </w:tr>
      <w:tr>
        <w:tc>
          <w:tcPr>
            <w:tcW w:type="dxa" w:w="25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Établissement</w:t>
            </w:r>
          </w:p>
        </w:tc>
        <w:tc>
          <w:tcPr>
            <w:tcW w:type="dxa" w:w="40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Entité centrale — une ligne par établissement du dataset</w:t>
            </w:r>
          </w:p>
        </w:tc>
        <w:tc>
          <w:tcPr>
            <w:tcW w:type="dxa" w:w="2526"/>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Sigle, nom complet, site web officiel</w:t>
            </w:r>
          </w:p>
        </w:tc>
      </w:tr>
      <w:tr>
        <w:tc>
          <w:tcPr>
            <w:tcW w:type="dxa" w:w="25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Université mère</w:t>
            </w:r>
          </w:p>
        </w:tc>
        <w:tc>
          <w:tcPr>
            <w:tcW w:type="dxa" w:w="40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Hiérarchie : 165 établissements → 12 universités</w:t>
            </w:r>
          </w:p>
        </w:tc>
        <w:tc>
          <w:tcPr>
            <w:tcW w:type="dxa" w:w="2526"/>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Nom de l'université, relation d'appartenance</w:t>
            </w:r>
          </w:p>
        </w:tc>
      </w:tr>
      <w:tr>
        <w:tc>
          <w:tcPr>
            <w:tcW w:type="dxa" w:w="25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Ville</w:t>
            </w:r>
          </w:p>
        </w:tc>
        <w:tc>
          <w:tcPr>
            <w:tcW w:type="dxa" w:w="40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Ancre géographique commune à plusieurs établissements</w:t>
            </w:r>
          </w:p>
        </w:tc>
        <w:tc>
          <w:tcPr>
            <w:tcW w:type="dxa" w:w="2526"/>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Nom de ville (texte libre, variantes)</w:t>
            </w:r>
          </w:p>
        </w:tc>
      </w:tr>
      <w:tr>
        <w:tc>
          <w:tcPr>
            <w:tcW w:type="dxa" w:w="25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Région admin.</w:t>
            </w:r>
          </w:p>
        </w:tc>
        <w:tc>
          <w:tcPr>
            <w:tcW w:type="dxa" w:w="40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Niveau absent, à inférer depuis la ville</w:t>
            </w:r>
          </w:p>
        </w:tc>
        <w:tc>
          <w:tcPr>
            <w:tcW w:type="dxa" w:w="2526"/>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Découpage officiel marocain post-2015</w:t>
            </w:r>
          </w:p>
        </w:tc>
      </w:tr>
    </w:tbl>
    <w:p>
      <w:pPr>
        <w:spacing w:after="0" w:before="0"/>
      </w:pPr>
      <w:r>
        <w:rPr>
          <w:sz w:val="12"/>
          <w:szCs w:val="12"/>
        </w:rPr>
        <w:t xml:space="preserve"/>
      </w:r>
    </w:p>
    <w:p>
      <w:pPr>
        <w:pBdr>
          <w:bottom w:val="single" w:color="C45C3A" w:sz="8" w:space="4"/>
        </w:pBdr>
        <w:spacing w:after="100" w:before="280"/>
      </w:pPr>
      <w:r>
        <w:rPr>
          <w:rFonts w:ascii="Calibri" w:cs="Calibri" w:eastAsia="Calibri" w:hAnsi="Calibri"/>
          <w:b/>
          <w:bCs/>
          <w:color w:val="C45C3A"/>
          <w:sz w:val="28"/>
          <w:szCs w:val="28"/>
        </w:rPr>
        <w:t xml:space="preserve">03  </w:t>
      </w:r>
      <w:r>
        <w:rPr>
          <w:rFonts w:ascii="Calibri" w:cs="Calibri" w:eastAsia="Calibri" w:hAnsi="Calibri"/>
          <w:b/>
          <w:bCs/>
          <w:color w:val="0F1117"/>
          <w:sz w:val="28"/>
          <w:szCs w:val="28"/>
        </w:rPr>
        <w:t xml:space="preserve">BENCHMARK DES RÉFÉRENTIELS EXTERNES</w:t>
      </w:r>
    </w:p>
    <w:p>
      <w:pPr>
        <w:spacing w:after="0" w:before="0"/>
      </w:pPr>
      <w:r>
        <w:rPr>
          <w:sz w:val="8"/>
          <w:szCs w:val="8"/>
        </w:rPr>
        <w:t xml:space="preserve"/>
      </w:r>
    </w:p>
    <w:p>
      <w:pPr>
        <w:spacing w:after="120" w:before="0"/>
        <w:jc w:val="both"/>
      </w:pPr>
      <w:r>
        <w:rPr>
          <w:rFonts w:ascii="Calibri" w:cs="Calibri" w:eastAsia="Calibri" w:hAnsi="Calibri"/>
          <w:color w:val="4A5568"/>
          <w:sz w:val="20"/>
          <w:szCs w:val="20"/>
        </w:rPr>
        <w:t xml:space="preserve">Cinq référentiels ont été étudiés et comparés selon cinq critères : couverture, qualité des identifiants, précision sémantique, richesse des informations disponibles et facilité d'appariement.</w:t>
      </w:r>
    </w:p>
    <w:p>
      <w:pPr>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700"/>
        <w:gridCol w:w="1526"/>
        <w:gridCol w:w="1000"/>
      </w:tblGrid>
      <w:tr>
        <w:trPr>
          <w:tblHeader/>
        </w:trPr>
        <w:tc>
          <w:tcPr>
            <w:tcW w:type="dxa" w:w="2000"/>
            <w:tcBorders>
              <w:top w:val="single" w:color="0F1117" w:sz="4"/>
              <w:left w:val="single" w:color="0F1117" w:sz="4"/>
              <w:bottom w:val="single" w:color="0F1117" w:sz="4"/>
              <w:right w:val="single" w:color="0F1117" w:sz="4"/>
            </w:tcBorders>
            <w:shd w:fill="0F1117" w:val="clear"/>
            <w:tcMar>
              <w:top w:type="dxa" w:w="80"/>
              <w:left w:type="dxa" w:w="120"/>
              <w:bottom w:type="dxa" w:w="80"/>
              <w:right w:type="dxa" w:w="120"/>
            </w:tcMar>
            <w:vAlign w:val="center"/>
          </w:tcPr>
          <w:p>
            <w:pPr>
              <w:spacing w:after="0"/>
            </w:pPr>
            <w:r>
              <w:rPr>
                <w:rFonts w:ascii="Calibri" w:cs="Calibri" w:eastAsia="Calibri" w:hAnsi="Calibri"/>
                <w:b/>
                <w:bCs/>
                <w:color w:val="FFFFFF"/>
                <w:sz w:val="18"/>
                <w:szCs w:val="18"/>
              </w:rPr>
              <w:t xml:space="preserve">Référentiel</w:t>
            </w:r>
          </w:p>
        </w:tc>
        <w:tc>
          <w:tcPr>
            <w:tcW w:type="dxa" w:w="2800"/>
            <w:tcBorders>
              <w:top w:val="single" w:color="0F1117" w:sz="4"/>
              <w:left w:val="single" w:color="0F1117" w:sz="4"/>
              <w:bottom w:val="single" w:color="0F1117" w:sz="4"/>
              <w:right w:val="single" w:color="0F1117" w:sz="4"/>
            </w:tcBorders>
            <w:shd w:fill="0F1117" w:val="clear"/>
            <w:tcMar>
              <w:top w:type="dxa" w:w="80"/>
              <w:left w:type="dxa" w:w="120"/>
              <w:bottom w:type="dxa" w:w="80"/>
              <w:right w:type="dxa" w:w="120"/>
            </w:tcMar>
            <w:vAlign w:val="center"/>
          </w:tcPr>
          <w:p>
            <w:pPr>
              <w:spacing w:after="0"/>
            </w:pPr>
            <w:r>
              <w:rPr>
                <w:rFonts w:ascii="Calibri" w:cs="Calibri" w:eastAsia="Calibri" w:hAnsi="Calibri"/>
                <w:b/>
                <w:bCs/>
                <w:color w:val="FFFFFF"/>
                <w:sz w:val="18"/>
                <w:szCs w:val="18"/>
              </w:rPr>
              <w:t xml:space="preserve">Couverture</w:t>
            </w:r>
          </w:p>
        </w:tc>
        <w:tc>
          <w:tcPr>
            <w:tcW w:type="dxa" w:w="1700"/>
            <w:tcBorders>
              <w:top w:val="single" w:color="0F1117" w:sz="4"/>
              <w:left w:val="single" w:color="0F1117" w:sz="4"/>
              <w:bottom w:val="single" w:color="0F1117" w:sz="4"/>
              <w:right w:val="single" w:color="0F1117" w:sz="4"/>
            </w:tcBorders>
            <w:shd w:fill="0F1117" w:val="clear"/>
            <w:tcMar>
              <w:top w:type="dxa" w:w="80"/>
              <w:left w:type="dxa" w:w="120"/>
              <w:bottom w:type="dxa" w:w="80"/>
              <w:right w:type="dxa" w:w="120"/>
            </w:tcMar>
            <w:vAlign w:val="center"/>
          </w:tcPr>
          <w:p>
            <w:pPr>
              <w:spacing w:after="0"/>
            </w:pPr>
            <w:r>
              <w:rPr>
                <w:rFonts w:ascii="Calibri" w:cs="Calibri" w:eastAsia="Calibri" w:hAnsi="Calibri"/>
                <w:b/>
                <w:bCs/>
                <w:color w:val="FFFFFF"/>
                <w:sz w:val="18"/>
                <w:szCs w:val="18"/>
              </w:rPr>
              <w:t xml:space="preserve">Qualité des IDs</w:t>
            </w:r>
          </w:p>
        </w:tc>
        <w:tc>
          <w:tcPr>
            <w:tcW w:type="dxa" w:w="1526"/>
            <w:tcBorders>
              <w:top w:val="single" w:color="0F1117" w:sz="4"/>
              <w:left w:val="single" w:color="0F1117" w:sz="4"/>
              <w:bottom w:val="single" w:color="0F1117" w:sz="4"/>
              <w:right w:val="single" w:color="0F1117" w:sz="4"/>
            </w:tcBorders>
            <w:shd w:fill="0F1117" w:val="clear"/>
            <w:tcMar>
              <w:top w:type="dxa" w:w="80"/>
              <w:left w:type="dxa" w:w="120"/>
              <w:bottom w:type="dxa" w:w="80"/>
              <w:right w:type="dxa" w:w="120"/>
            </w:tcMar>
            <w:vAlign w:val="center"/>
          </w:tcPr>
          <w:p>
            <w:pPr>
              <w:spacing w:after="0"/>
            </w:pPr>
            <w:r>
              <w:rPr>
                <w:rFonts w:ascii="Calibri" w:cs="Calibri" w:eastAsia="Calibri" w:hAnsi="Calibri"/>
                <w:b/>
                <w:bCs/>
                <w:color w:val="FFFFFF"/>
                <w:sz w:val="18"/>
                <w:szCs w:val="18"/>
              </w:rPr>
              <w:t xml:space="preserve">Richesse sémantique</w:t>
            </w:r>
          </w:p>
        </w:tc>
        <w:tc>
          <w:tcPr>
            <w:tcW w:type="dxa" w:w="1000"/>
            <w:tcBorders>
              <w:top w:val="single" w:color="0F1117" w:sz="4"/>
              <w:left w:val="single" w:color="0F1117" w:sz="4"/>
              <w:bottom w:val="single" w:color="0F1117" w:sz="4"/>
              <w:right w:val="single" w:color="0F1117" w:sz="4"/>
            </w:tcBorders>
            <w:shd w:fill="0F1117" w:val="clear"/>
            <w:tcMar>
              <w:top w:type="dxa" w:w="80"/>
              <w:left w:type="dxa" w:w="120"/>
              <w:bottom w:type="dxa" w:w="80"/>
              <w:right w:type="dxa" w:w="120"/>
            </w:tcMar>
            <w:vAlign w:val="center"/>
          </w:tcPr>
          <w:p>
            <w:pPr>
              <w:spacing w:after="0"/>
            </w:pPr>
            <w:r>
              <w:rPr>
                <w:rFonts w:ascii="Calibri" w:cs="Calibri" w:eastAsia="Calibri" w:hAnsi="Calibri"/>
                <w:b/>
                <w:bCs/>
                <w:color w:val="FFFFFF"/>
                <w:sz w:val="18"/>
                <w:szCs w:val="18"/>
              </w:rPr>
              <w:t xml:space="preserve">Pertinence</w:t>
            </w:r>
          </w:p>
        </w:tc>
      </w:tr>
      <w:tr>
        <w:tc>
          <w:tcPr>
            <w:tcW w:type="dxa" w:w="20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Wikidata</w:t>
            </w:r>
          </w:p>
        </w:tc>
        <w:tc>
          <w:tcPr>
            <w:tcW w:type="dxa" w:w="28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Très bonne pour les 12 univ. ; partielle pour les petits établissements</w:t>
            </w:r>
          </w:p>
        </w:tc>
        <w:tc>
          <w:tcPr>
            <w:tcW w:type="dxa" w:w="17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IDs Q stables, déréférençables</w:t>
            </w:r>
          </w:p>
        </w:tc>
        <w:tc>
          <w:tcPr>
            <w:tcW w:type="dxa" w:w="1526"/>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Très riche (P856, P571, P131…)</w:t>
            </w:r>
          </w:p>
        </w:tc>
        <w:tc>
          <w:tcPr>
            <w:tcW w:type="dxa" w:w="10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w:t>
            </w:r>
          </w:p>
        </w:tc>
      </w:tr>
      <w:tr>
        <w:tc>
          <w:tcPr>
            <w:tcW w:type="dxa" w:w="20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GeoNames</w:t>
            </w:r>
          </w:p>
        </w:tc>
        <w:tc>
          <w:tcPr>
            <w:tcW w:type="dxa" w:w="28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Exhaustive pour villes et régions du Maroc</w:t>
            </w:r>
          </w:p>
        </w:tc>
        <w:tc>
          <w:tcPr>
            <w:tcW w:type="dxa" w:w="17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Numériques très stables</w:t>
            </w:r>
          </w:p>
        </w:tc>
        <w:tc>
          <w:tcPr>
            <w:tcW w:type="dxa" w:w="1526"/>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Hiérarchie admin. + GPS</w:t>
            </w:r>
          </w:p>
        </w:tc>
        <w:tc>
          <w:tcPr>
            <w:tcW w:type="dxa" w:w="10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w:t>
            </w:r>
          </w:p>
        </w:tc>
      </w:tr>
      <w:tr>
        <w:tc>
          <w:tcPr>
            <w:tcW w:type="dxa" w:w="20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DBpedia</w:t>
            </w:r>
          </w:p>
        </w:tc>
        <w:tc>
          <w:tcPr>
            <w:tcW w:type="dxa" w:w="28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Liée à Wikipedia — inégale pour les étab. marocains</w:t>
            </w:r>
          </w:p>
        </w:tc>
        <w:tc>
          <w:tcPr>
            <w:tcW w:type="dxa" w:w="17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Dérivées du titre Wikipedia</w:t>
            </w:r>
          </w:p>
        </w:tc>
        <w:tc>
          <w:tcPr>
            <w:tcW w:type="dxa" w:w="1526"/>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Moyenne — dépend des infoboxes</w:t>
            </w:r>
          </w:p>
        </w:tc>
        <w:tc>
          <w:tcPr>
            <w:tcW w:type="dxa" w:w="10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w:t>
            </w:r>
          </w:p>
        </w:tc>
      </w:tr>
      <w:tr>
        <w:tc>
          <w:tcPr>
            <w:tcW w:type="dxa" w:w="20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data.gov.ma</w:t>
            </w:r>
          </w:p>
        </w:tc>
        <w:tc>
          <w:tcPr>
            <w:tcW w:type="dxa" w:w="28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Source officielle — contexte institutionnel</w:t>
            </w:r>
          </w:p>
        </w:tc>
        <w:tc>
          <w:tcPr>
            <w:tcW w:type="dxa" w:w="17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Aucun URI par entité</w:t>
            </w:r>
          </w:p>
        </w:tc>
        <w:tc>
          <w:tcPr>
            <w:tcW w:type="dxa" w:w="1526"/>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Format XLSX, non machine-readable</w:t>
            </w:r>
          </w:p>
        </w:tc>
        <w:tc>
          <w:tcPr>
            <w:tcW w:type="dxa" w:w="10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w:t>
            </w:r>
          </w:p>
        </w:tc>
      </w:tr>
      <w:tr>
        <w:tc>
          <w:tcPr>
            <w:tcW w:type="dxa" w:w="20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ISCED-F 2013</w:t>
            </w:r>
          </w:p>
        </w:tc>
        <w:tc>
          <w:tcPr>
            <w:tcW w:type="dxa" w:w="28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Exhaustive pour les domaines de formation</w:t>
            </w:r>
          </w:p>
        </w:tc>
        <w:tc>
          <w:tcPr>
            <w:tcW w:type="dxa" w:w="17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Codes stables UNESCO</w:t>
            </w:r>
          </w:p>
        </w:tc>
        <w:tc>
          <w:tcPr>
            <w:tcW w:type="dxa" w:w="1526"/>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Classification internationale à 4 chiffres</w:t>
            </w:r>
          </w:p>
        </w:tc>
        <w:tc>
          <w:tcPr>
            <w:tcW w:type="dxa" w:w="10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w:t>
            </w:r>
          </w:p>
        </w:tc>
      </w:tr>
    </w:tbl>
    <w:p>
      <w:pPr>
        <w:spacing w:after="0" w:before="0"/>
      </w:pPr>
      <w:r>
        <w:rPr>
          <w:sz w:val="12"/>
          <w:szCs w:val="12"/>
        </w:rPr>
        <w:t xml:space="preserve"/>
      </w:r>
    </w:p>
    <w:p>
      <w:pPr>
        <w:spacing w:after="120" w:before="0"/>
        <w:jc w:val="both"/>
      </w:pPr>
      <w:r>
        <w:rPr>
          <w:rFonts w:ascii="Calibri" w:cs="Calibri" w:eastAsia="Calibri" w:hAnsi="Calibri"/>
          <w:b/>
          <w:bCs/>
          <w:color w:val="0F1117"/>
          <w:sz w:val="20"/>
          <w:szCs w:val="20"/>
        </w:rPr>
        <w:t xml:space="preserve">Conclusion : </w:t>
      </w:r>
      <w:r>
        <w:rPr>
          <w:rFonts w:ascii="Calibri" w:cs="Calibri" w:eastAsia="Calibri" w:hAnsi="Calibri"/>
          <w:color w:val="4A5568"/>
          <w:sz w:val="20"/>
          <w:szCs w:val="20"/>
        </w:rPr>
        <w:t xml:space="preserve">Wikidata est le référentiel le plus adapté pour les universités et établissements grâce à la propriété P856 (site officiel). GeoNames est la référence incontournable pour les entités géographiques. ISCED-F 2013 est indispensable pour la normalisation des domaines de formation.</w:t>
      </w:r>
    </w:p>
    <w:p>
      <w:pPr>
        <w:spacing w:after="0" w:before="0"/>
      </w:pPr>
      <w:r>
        <w:rPr>
          <w:sz w:val="12"/>
          <w:szCs w:val="12"/>
        </w:rPr>
        <w:t xml:space="preserve"/>
      </w:r>
    </w:p>
    <w:p>
      <w:pPr>
        <w:pBdr>
          <w:bottom w:val="single" w:color="C45C3A" w:sz="8" w:space="4"/>
        </w:pBdr>
        <w:spacing w:after="100" w:before="280"/>
      </w:pPr>
      <w:r>
        <w:rPr>
          <w:rFonts w:ascii="Calibri" w:cs="Calibri" w:eastAsia="Calibri" w:hAnsi="Calibri"/>
          <w:b/>
          <w:bCs/>
          <w:color w:val="C45C3A"/>
          <w:sz w:val="28"/>
          <w:szCs w:val="28"/>
        </w:rPr>
        <w:t xml:space="preserve">04  </w:t>
      </w:r>
      <w:r>
        <w:rPr>
          <w:rFonts w:ascii="Calibri" w:cs="Calibri" w:eastAsia="Calibri" w:hAnsi="Calibri"/>
          <w:b/>
          <w:bCs/>
          <w:color w:val="0F1117"/>
          <w:sz w:val="28"/>
          <w:szCs w:val="28"/>
        </w:rPr>
        <w:t xml:space="preserve">CAS D'APPARIEMENT MANUEL</w:t>
      </w:r>
    </w:p>
    <w:p>
      <w:pPr>
        <w:spacing w:after="0" w:before="0"/>
      </w:pPr>
      <w:r>
        <w:rPr>
          <w:sz w:val="8"/>
          <w:szCs w:val="8"/>
        </w:rPr>
        <w:t xml:space="preserve"/>
      </w:r>
    </w:p>
    <w:p>
      <w:pPr>
        <w:spacing w:after="120" w:before="0"/>
        <w:jc w:val="both"/>
      </w:pPr>
      <w:r>
        <w:rPr>
          <w:rFonts w:ascii="Calibri" w:cs="Calibri" w:eastAsia="Calibri" w:hAnsi="Calibri"/>
          <w:color w:val="4A5568"/>
          <w:sz w:val="20"/>
          <w:szCs w:val="20"/>
        </w:rPr>
        <w:t xml:space="preserve">Douze cas d'appariement ont été documentés manuellement sur Wikidata et GeoNames. Le </w:t>
      </w:r>
      <w:r>
        <w:rPr>
          <w:rFonts w:ascii="Calibri" w:cs="Calibri" w:eastAsia="Calibri" w:hAnsi="Calibri"/>
          <w:b/>
          <w:bCs/>
          <w:color w:val="0F1117"/>
          <w:sz w:val="20"/>
          <w:szCs w:val="20"/>
        </w:rPr>
        <w:t xml:space="preserve">site web officiel</w:t>
      </w:r>
      <w:r>
        <w:rPr>
          <w:rFonts w:ascii="Calibri" w:cs="Calibri" w:eastAsia="Calibri" w:hAnsi="Calibri"/>
          <w:color w:val="4A5568"/>
          <w:sz w:val="20"/>
          <w:szCs w:val="20"/>
        </w:rPr>
        <w:t xml:space="preserve"> constitue l'indice le plus discriminant — il correspond à la propriété Wikidata </w:t>
      </w:r>
      <w:r>
        <w:rPr>
          <w:rFonts w:ascii="Calibri" w:cs="Calibri" w:eastAsia="Calibri" w:hAnsi="Calibri"/>
          <w:b/>
          <w:bCs/>
          <w:color w:val="0F1117"/>
          <w:sz w:val="20"/>
          <w:szCs w:val="20"/>
        </w:rPr>
        <w:t xml:space="preserve">P856</w:t>
      </w:r>
      <w:r>
        <w:rPr>
          <w:rFonts w:ascii="Calibri" w:cs="Calibri" w:eastAsia="Calibri" w:hAnsi="Calibri"/>
          <w:color w:val="4A5568"/>
          <w:sz w:val="20"/>
          <w:szCs w:val="20"/>
        </w:rPr>
        <w:t xml:space="preserve">.</w:t>
      </w:r>
    </w:p>
    <w:p>
      <w:pPr>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426"/>
        <w:gridCol w:w="800"/>
        <w:gridCol w:w="1100"/>
      </w:tblGrid>
      <w:tr>
        <w:trPr>
          <w:tblHeader/>
        </w:trPr>
        <w:tc>
          <w:tcPr>
            <w:tcW w:type="dxa" w:w="2800"/>
            <w:tcBorders>
              <w:top w:val="single" w:color="0F1117" w:sz="4"/>
              <w:left w:val="single" w:color="0F1117" w:sz="4"/>
              <w:bottom w:val="single" w:color="0F1117" w:sz="4"/>
              <w:right w:val="single" w:color="0F1117" w:sz="4"/>
            </w:tcBorders>
            <w:shd w:fill="0F1117" w:val="clear"/>
            <w:tcMar>
              <w:top w:type="dxa" w:w="80"/>
              <w:left w:type="dxa" w:w="120"/>
              <w:bottom w:type="dxa" w:w="80"/>
              <w:right w:type="dxa" w:w="120"/>
            </w:tcMar>
            <w:vAlign w:val="center"/>
          </w:tcPr>
          <w:p>
            <w:pPr>
              <w:spacing w:after="0"/>
            </w:pPr>
            <w:r>
              <w:rPr>
                <w:rFonts w:ascii="Calibri" w:cs="Calibri" w:eastAsia="Calibri" w:hAnsi="Calibri"/>
                <w:b/>
                <w:bCs/>
                <w:color w:val="FFFFFF"/>
                <w:sz w:val="18"/>
                <w:szCs w:val="18"/>
              </w:rPr>
              <w:t xml:space="preserve">Entité locale</w:t>
            </w:r>
          </w:p>
        </w:tc>
        <w:tc>
          <w:tcPr>
            <w:tcW w:type="dxa" w:w="1900"/>
            <w:tcBorders>
              <w:top w:val="single" w:color="0F1117" w:sz="4"/>
              <w:left w:val="single" w:color="0F1117" w:sz="4"/>
              <w:bottom w:val="single" w:color="0F1117" w:sz="4"/>
              <w:right w:val="single" w:color="0F1117" w:sz="4"/>
            </w:tcBorders>
            <w:shd w:fill="0F1117" w:val="clear"/>
            <w:tcMar>
              <w:top w:type="dxa" w:w="80"/>
              <w:left w:type="dxa" w:w="120"/>
              <w:bottom w:type="dxa" w:w="80"/>
              <w:right w:type="dxa" w:w="120"/>
            </w:tcMar>
            <w:vAlign w:val="center"/>
          </w:tcPr>
          <w:p>
            <w:pPr>
              <w:spacing w:after="0"/>
            </w:pPr>
            <w:r>
              <w:rPr>
                <w:rFonts w:ascii="Calibri" w:cs="Calibri" w:eastAsia="Calibri" w:hAnsi="Calibri"/>
                <w:b/>
                <w:bCs/>
                <w:color w:val="FFFFFF"/>
                <w:sz w:val="18"/>
                <w:szCs w:val="18"/>
              </w:rPr>
              <w:t xml:space="preserve">Correspondance</w:t>
            </w:r>
          </w:p>
        </w:tc>
        <w:tc>
          <w:tcPr>
            <w:tcW w:type="dxa" w:w="2426"/>
            <w:tcBorders>
              <w:top w:val="single" w:color="0F1117" w:sz="4"/>
              <w:left w:val="single" w:color="0F1117" w:sz="4"/>
              <w:bottom w:val="single" w:color="0F1117" w:sz="4"/>
              <w:right w:val="single" w:color="0F1117" w:sz="4"/>
            </w:tcBorders>
            <w:shd w:fill="0F1117" w:val="clear"/>
            <w:tcMar>
              <w:top w:type="dxa" w:w="80"/>
              <w:left w:type="dxa" w:w="120"/>
              <w:bottom w:type="dxa" w:w="80"/>
              <w:right w:type="dxa" w:w="120"/>
            </w:tcMar>
            <w:vAlign w:val="center"/>
          </w:tcPr>
          <w:p>
            <w:pPr>
              <w:spacing w:after="0"/>
            </w:pPr>
            <w:r>
              <w:rPr>
                <w:rFonts w:ascii="Calibri" w:cs="Calibri" w:eastAsia="Calibri" w:hAnsi="Calibri"/>
                <w:b/>
                <w:bCs/>
                <w:color w:val="FFFFFF"/>
                <w:sz w:val="18"/>
                <w:szCs w:val="18"/>
              </w:rPr>
              <w:t xml:space="preserve">Indices utilisés</w:t>
            </w:r>
          </w:p>
        </w:tc>
        <w:tc>
          <w:tcPr>
            <w:tcW w:type="dxa" w:w="800"/>
            <w:tcBorders>
              <w:top w:val="single" w:color="0F1117" w:sz="4"/>
              <w:left w:val="single" w:color="0F1117" w:sz="4"/>
              <w:bottom w:val="single" w:color="0F1117" w:sz="4"/>
              <w:right w:val="single" w:color="0F1117" w:sz="4"/>
            </w:tcBorders>
            <w:shd w:fill="0F1117" w:val="clear"/>
            <w:tcMar>
              <w:top w:type="dxa" w:w="80"/>
              <w:left w:type="dxa" w:w="120"/>
              <w:bottom w:type="dxa" w:w="80"/>
              <w:right w:type="dxa" w:w="120"/>
            </w:tcMar>
            <w:vAlign w:val="center"/>
          </w:tcPr>
          <w:p>
            <w:pPr>
              <w:spacing w:after="0"/>
            </w:pPr>
            <w:r>
              <w:rPr>
                <w:rFonts w:ascii="Calibri" w:cs="Calibri" w:eastAsia="Calibri" w:hAnsi="Calibri"/>
                <w:b/>
                <w:bCs/>
                <w:color w:val="FFFFFF"/>
                <w:sz w:val="18"/>
                <w:szCs w:val="18"/>
              </w:rPr>
              <w:t xml:space="preserve">Confiance</w:t>
            </w:r>
          </w:p>
        </w:tc>
        <w:tc>
          <w:tcPr>
            <w:tcW w:type="dxa" w:w="1100"/>
            <w:tcBorders>
              <w:top w:val="single" w:color="0F1117" w:sz="4"/>
              <w:left w:val="single" w:color="0F1117" w:sz="4"/>
              <w:bottom w:val="single" w:color="0F1117" w:sz="4"/>
              <w:right w:val="single" w:color="0F1117" w:sz="4"/>
            </w:tcBorders>
            <w:shd w:fill="0F1117" w:val="clear"/>
            <w:tcMar>
              <w:top w:type="dxa" w:w="80"/>
              <w:left w:type="dxa" w:w="120"/>
              <w:bottom w:type="dxa" w:w="80"/>
              <w:right w:type="dxa" w:w="120"/>
            </w:tcMar>
            <w:vAlign w:val="center"/>
          </w:tcPr>
          <w:p>
            <w:pPr>
              <w:spacing w:after="0"/>
            </w:pPr>
            <w:r>
              <w:rPr>
                <w:rFonts w:ascii="Calibri" w:cs="Calibri" w:eastAsia="Calibri" w:hAnsi="Calibri"/>
                <w:b/>
                <w:bCs/>
                <w:color w:val="FFFFFF"/>
                <w:sz w:val="18"/>
                <w:szCs w:val="18"/>
              </w:rPr>
              <w:t xml:space="preserve">Type de lien</w:t>
            </w:r>
          </w:p>
        </w:tc>
      </w:tr>
      <w:tr>
        <w:tc>
          <w:tcPr>
            <w:tcW w:type="dxa" w:w="28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Université Mohammed V — Rabat</w:t>
            </w:r>
          </w:p>
        </w:tc>
        <w:tc>
          <w:tcPr>
            <w:tcW w:type="dxa" w:w="19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Wikidata Q217004</w:t>
            </w:r>
          </w:p>
        </w:tc>
        <w:tc>
          <w:tcPr>
            <w:tcW w:type="dxa" w:w="2426"/>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Nom + ville + um5.ac.ma</w:t>
            </w:r>
          </w:p>
        </w:tc>
        <w:tc>
          <w:tcPr>
            <w:tcW w:type="dxa" w:w="8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Élevé</w:t>
            </w:r>
          </w:p>
        </w:tc>
        <w:tc>
          <w:tcPr>
            <w:tcW w:type="dxa" w:w="11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owl:sameAs</w:t>
            </w:r>
          </w:p>
        </w:tc>
      </w:tr>
      <w:tr>
        <w:tc>
          <w:tcPr>
            <w:tcW w:type="dxa" w:w="28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Université Cadi Ayyad — Marrakech</w:t>
            </w:r>
          </w:p>
        </w:tc>
        <w:tc>
          <w:tcPr>
            <w:tcW w:type="dxa" w:w="19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Wikidata Q1055303</w:t>
            </w:r>
          </w:p>
        </w:tc>
        <w:tc>
          <w:tcPr>
            <w:tcW w:type="dxa" w:w="2426"/>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Nom + ville + uca.ma</w:t>
            </w:r>
          </w:p>
        </w:tc>
        <w:tc>
          <w:tcPr>
            <w:tcW w:type="dxa" w:w="8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Élevé</w:t>
            </w:r>
          </w:p>
        </w:tc>
        <w:tc>
          <w:tcPr>
            <w:tcW w:type="dxa" w:w="11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owl:sameAs</w:t>
            </w:r>
          </w:p>
        </w:tc>
      </w:tr>
      <w:tr>
        <w:tc>
          <w:tcPr>
            <w:tcW w:type="dxa" w:w="28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Université Hassan II — Casablanca</w:t>
            </w:r>
          </w:p>
        </w:tc>
        <w:tc>
          <w:tcPr>
            <w:tcW w:type="dxa" w:w="19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Wikidata Q3552327</w:t>
            </w:r>
          </w:p>
        </w:tc>
        <w:tc>
          <w:tcPr>
            <w:tcW w:type="dxa" w:w="2426"/>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Nom + Casablanca + univh2c.ma (distinct ancienne UH2 Mohammedia)</w:t>
            </w:r>
          </w:p>
        </w:tc>
        <w:tc>
          <w:tcPr>
            <w:tcW w:type="dxa" w:w="8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Élevé</w:t>
            </w:r>
          </w:p>
        </w:tc>
        <w:tc>
          <w:tcPr>
            <w:tcW w:type="dxa" w:w="11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owl:sameAs</w:t>
            </w:r>
          </w:p>
        </w:tc>
      </w:tr>
      <w:tr>
        <w:tc>
          <w:tcPr>
            <w:tcW w:type="dxa" w:w="28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Université Sidi Mohamed Ben Abdellah — Fès</w:t>
            </w:r>
          </w:p>
        </w:tc>
        <w:tc>
          <w:tcPr>
            <w:tcW w:type="dxa" w:w="19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Wikidata Q1393479</w:t>
            </w:r>
          </w:p>
        </w:tc>
        <w:tc>
          <w:tcPr>
            <w:tcW w:type="dxa" w:w="2426"/>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Nom + ville + usmba.ac.ma</w:t>
            </w:r>
          </w:p>
        </w:tc>
        <w:tc>
          <w:tcPr>
            <w:tcW w:type="dxa" w:w="8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Élevé</w:t>
            </w:r>
          </w:p>
        </w:tc>
        <w:tc>
          <w:tcPr>
            <w:tcW w:type="dxa" w:w="11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owl:sameAs</w:t>
            </w:r>
          </w:p>
        </w:tc>
      </w:tr>
      <w:tr>
        <w:tc>
          <w:tcPr>
            <w:tcW w:type="dxa" w:w="28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Université Ibn Zohr — Agadir</w:t>
            </w:r>
          </w:p>
        </w:tc>
        <w:tc>
          <w:tcPr>
            <w:tcW w:type="dxa" w:w="19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Wikidata Q3553006</w:t>
            </w:r>
          </w:p>
        </w:tc>
        <w:tc>
          <w:tcPr>
            <w:tcW w:type="dxa" w:w="2426"/>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Nom + ville + uiz.ac.ma</w:t>
            </w:r>
          </w:p>
        </w:tc>
        <w:tc>
          <w:tcPr>
            <w:tcW w:type="dxa" w:w="8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Élevé</w:t>
            </w:r>
          </w:p>
        </w:tc>
        <w:tc>
          <w:tcPr>
            <w:tcW w:type="dxa" w:w="11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owl:sameAs</w:t>
            </w:r>
          </w:p>
        </w:tc>
      </w:tr>
      <w:tr>
        <w:tc>
          <w:tcPr>
            <w:tcW w:type="dxa" w:w="28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Université Abdelmalek Essaadi — Tétouan</w:t>
            </w:r>
          </w:p>
        </w:tc>
        <w:tc>
          <w:tcPr>
            <w:tcW w:type="dxa" w:w="19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Wikidata Q2840648</w:t>
            </w:r>
          </w:p>
        </w:tc>
        <w:tc>
          <w:tcPr>
            <w:tcW w:type="dxa" w:w="2426"/>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Nom + ville + uae.ac.ma — élimine l'ambiguïté du sigle UAE</w:t>
            </w:r>
          </w:p>
        </w:tc>
        <w:tc>
          <w:tcPr>
            <w:tcW w:type="dxa" w:w="8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Élevé</w:t>
            </w:r>
          </w:p>
        </w:tc>
        <w:tc>
          <w:tcPr>
            <w:tcW w:type="dxa" w:w="11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owl:sameAs</w:t>
            </w:r>
          </w:p>
        </w:tc>
      </w:tr>
      <w:tr>
        <w:tc>
          <w:tcPr>
            <w:tcW w:type="dxa" w:w="28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Université Mohammed Premier — Oujda</w:t>
            </w:r>
          </w:p>
        </w:tc>
        <w:tc>
          <w:tcPr>
            <w:tcW w:type="dxa" w:w="19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Wikidata Q3552889</w:t>
            </w:r>
          </w:p>
        </w:tc>
        <w:tc>
          <w:tcPr>
            <w:tcW w:type="dxa" w:w="2426"/>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Nom + ville + ump.ma</w:t>
            </w:r>
          </w:p>
        </w:tc>
        <w:tc>
          <w:tcPr>
            <w:tcW w:type="dxa" w:w="8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Élevé</w:t>
            </w:r>
          </w:p>
        </w:tc>
        <w:tc>
          <w:tcPr>
            <w:tcW w:type="dxa" w:w="11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owl:sameAs</w:t>
            </w:r>
          </w:p>
        </w:tc>
      </w:tr>
      <w:tr>
        <w:tc>
          <w:tcPr>
            <w:tcW w:type="dxa" w:w="28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ENSIAS — Rabat</w:t>
            </w:r>
          </w:p>
        </w:tc>
        <w:tc>
          <w:tcPr>
            <w:tcW w:type="dxa" w:w="19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Wikidata Q3571159</w:t>
            </w:r>
          </w:p>
        </w:tc>
        <w:tc>
          <w:tcPr>
            <w:tcW w:type="dxa" w:w="2426"/>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Nom + Rabat + ensias.um5.ac.ma</w:t>
            </w:r>
          </w:p>
        </w:tc>
        <w:tc>
          <w:tcPr>
            <w:tcW w:type="dxa" w:w="8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Élevé</w:t>
            </w:r>
          </w:p>
        </w:tc>
        <w:tc>
          <w:tcPr>
            <w:tcW w:type="dxa" w:w="11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owl:sameAs</w:t>
            </w:r>
          </w:p>
        </w:tc>
      </w:tr>
      <w:tr>
        <w:tc>
          <w:tcPr>
            <w:tcW w:type="dxa" w:w="28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EMI — Rabat</w:t>
            </w:r>
          </w:p>
        </w:tc>
        <w:tc>
          <w:tcPr>
            <w:tcW w:type="dxa" w:w="19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DBpedia / Q3564748</w:t>
            </w:r>
          </w:p>
        </w:tc>
        <w:tc>
          <w:tcPr>
            <w:tcW w:type="dxa" w:w="2426"/>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Nom + Rabat + emi.ac.ma</w:t>
            </w:r>
          </w:p>
        </w:tc>
        <w:tc>
          <w:tcPr>
            <w:tcW w:type="dxa" w:w="8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Élevé</w:t>
            </w:r>
          </w:p>
        </w:tc>
        <w:tc>
          <w:tcPr>
            <w:tcW w:type="dxa" w:w="11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owl:sameAs</w:t>
            </w:r>
          </w:p>
        </w:tc>
      </w:tr>
      <w:tr>
        <w:tc>
          <w:tcPr>
            <w:tcW w:type="dxa" w:w="28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IAV Hassan II — Rabat</w:t>
            </w:r>
          </w:p>
        </w:tc>
        <w:tc>
          <w:tcPr>
            <w:tcW w:type="dxa" w:w="19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Wikidata (à vérifier)</w:t>
            </w:r>
          </w:p>
        </w:tc>
        <w:tc>
          <w:tcPr>
            <w:tcW w:type="dxa" w:w="2426"/>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Nom + Rabat + iav.ac.ma — notice incomplète</w:t>
            </w:r>
          </w:p>
        </w:tc>
        <w:tc>
          <w:tcPr>
            <w:tcW w:type="dxa" w:w="8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Moyen</w:t>
            </w:r>
          </w:p>
        </w:tc>
        <w:tc>
          <w:tcPr>
            <w:tcW w:type="dxa" w:w="11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skos:closeMatch</w:t>
            </w:r>
          </w:p>
        </w:tc>
      </w:tr>
      <w:tr>
        <w:tc>
          <w:tcPr>
            <w:tcW w:type="dxa" w:w="28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Rabat</w:t>
            </w:r>
          </w:p>
        </w:tc>
        <w:tc>
          <w:tcPr>
            <w:tcW w:type="dxa" w:w="19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GeoNames 2536173</w:t>
            </w:r>
          </w:p>
        </w:tc>
        <w:tc>
          <w:tcPr>
            <w:tcW w:type="dxa" w:w="2426"/>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Nom exact + code pays MA + statut capitale</w:t>
            </w:r>
          </w:p>
        </w:tc>
        <w:tc>
          <w:tcPr>
            <w:tcW w:type="dxa" w:w="8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Très élevé</w:t>
            </w:r>
          </w:p>
        </w:tc>
        <w:tc>
          <w:tcPr>
            <w:tcW w:type="dxa" w:w="11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owl:sameAs</w:t>
            </w:r>
          </w:p>
        </w:tc>
      </w:tr>
      <w:tr>
        <w:tc>
          <w:tcPr>
            <w:tcW w:type="dxa" w:w="28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Marrakech</w:t>
            </w:r>
          </w:p>
        </w:tc>
        <w:tc>
          <w:tcPr>
            <w:tcW w:type="dxa" w:w="19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GeoNames 2542997</w:t>
            </w:r>
          </w:p>
        </w:tc>
        <w:tc>
          <w:tcPr>
            <w:tcW w:type="dxa" w:w="2426"/>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Nom (variante Marrakesh) + MA — normalisation requise</w:t>
            </w:r>
          </w:p>
        </w:tc>
        <w:tc>
          <w:tcPr>
            <w:tcW w:type="dxa" w:w="8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Élevé</w:t>
            </w:r>
          </w:p>
        </w:tc>
        <w:tc>
          <w:tcPr>
            <w:tcW w:type="dxa" w:w="11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owl:sameAs</w:t>
            </w:r>
          </w:p>
        </w:tc>
      </w:tr>
    </w:tbl>
    <w:p>
      <w:pPr>
        <w:spacing w:after="0" w:before="0"/>
      </w:pPr>
      <w:r>
        <w:rPr>
          <w:sz w:val="12"/>
          <w:szCs w:val="12"/>
        </w:rPr>
        <w:t xml:space="preserve"/>
      </w:r>
    </w:p>
    <w:p>
      <w:pPr>
        <w:pBdr>
          <w:bottom w:val="single" w:color="C45C3A" w:sz="8" w:space="4"/>
        </w:pBdr>
        <w:spacing w:after="100" w:before="280"/>
      </w:pPr>
      <w:r>
        <w:rPr>
          <w:rFonts w:ascii="Calibri" w:cs="Calibri" w:eastAsia="Calibri" w:hAnsi="Calibri"/>
          <w:b/>
          <w:bCs/>
          <w:color w:val="C45C3A"/>
          <w:sz w:val="28"/>
          <w:szCs w:val="28"/>
        </w:rPr>
        <w:t xml:space="preserve">05  </w:t>
      </w:r>
      <w:r>
        <w:rPr>
          <w:rFonts w:ascii="Calibri" w:cs="Calibri" w:eastAsia="Calibri" w:hAnsi="Calibri"/>
          <w:b/>
          <w:bCs/>
          <w:color w:val="0F1117"/>
          <w:sz w:val="28"/>
          <w:szCs w:val="28"/>
        </w:rPr>
        <w:t xml:space="preserve">PLAN DE NORMALISATION ET D'IDENTIFICATION</w:t>
      </w:r>
    </w:p>
    <w:p>
      <w:pPr>
        <w:spacing w:after="0" w:before="0"/>
      </w:pPr>
      <w:r>
        <w:rPr>
          <w:sz w:val="8"/>
          <w:szCs w:val="8"/>
        </w:rPr>
        <w:t xml:space="preserve"/>
      </w:r>
    </w:p>
    <w:p>
      <w:pPr>
        <w:spacing w:after="80" w:before="200"/>
      </w:pPr>
      <w:r>
        <w:rPr>
          <w:rFonts w:ascii="Calibri" w:cs="Calibri" w:eastAsia="Calibri" w:hAnsi="Calibri"/>
          <w:b/>
          <w:bCs/>
          <w:color w:val="C45C3A"/>
          <w:sz w:val="24"/>
          <w:szCs w:val="24"/>
        </w:rPr>
        <w:t xml:space="preserve">— </w:t>
      </w:r>
      <w:r>
        <w:rPr>
          <w:rFonts w:ascii="Calibri" w:cs="Calibri" w:eastAsia="Calibri" w:hAnsi="Calibri"/>
          <w:b/>
          <w:bCs/>
          <w:color w:val="0F1117"/>
          <w:sz w:val="24"/>
          <w:szCs w:val="24"/>
        </w:rPr>
        <w:t xml:space="preserve">5.1  Champs à normaliser</w:t>
      </w:r>
    </w:p>
    <w:p>
      <w:pPr>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26"/>
        <w:gridCol w:w="1800"/>
      </w:tblGrid>
      <w:tr>
        <w:trPr>
          <w:tblHeader/>
        </w:trPr>
        <w:tc>
          <w:tcPr>
            <w:tcW w:type="dxa" w:w="2200"/>
            <w:tcBorders>
              <w:top w:val="single" w:color="0F1117" w:sz="4"/>
              <w:left w:val="single" w:color="0F1117" w:sz="4"/>
              <w:bottom w:val="single" w:color="0F1117" w:sz="4"/>
              <w:right w:val="single" w:color="0F1117" w:sz="4"/>
            </w:tcBorders>
            <w:shd w:fill="0F1117" w:val="clear"/>
            <w:tcMar>
              <w:top w:type="dxa" w:w="80"/>
              <w:left w:type="dxa" w:w="120"/>
              <w:bottom w:type="dxa" w:w="80"/>
              <w:right w:type="dxa" w:w="120"/>
            </w:tcMar>
            <w:vAlign w:val="center"/>
          </w:tcPr>
          <w:p>
            <w:pPr>
              <w:spacing w:after="0"/>
            </w:pPr>
            <w:r>
              <w:rPr>
                <w:rFonts w:ascii="Calibri" w:cs="Calibri" w:eastAsia="Calibri" w:hAnsi="Calibri"/>
                <w:b/>
                <w:bCs/>
                <w:color w:val="FFFFFF"/>
                <w:sz w:val="18"/>
                <w:szCs w:val="18"/>
              </w:rPr>
              <w:t xml:space="preserve">Champ</w:t>
            </w:r>
          </w:p>
        </w:tc>
        <w:tc>
          <w:tcPr>
            <w:tcW w:type="dxa" w:w="2400"/>
            <w:tcBorders>
              <w:top w:val="single" w:color="0F1117" w:sz="4"/>
              <w:left w:val="single" w:color="0F1117" w:sz="4"/>
              <w:bottom w:val="single" w:color="0F1117" w:sz="4"/>
              <w:right w:val="single" w:color="0F1117" w:sz="4"/>
            </w:tcBorders>
            <w:shd w:fill="0F1117" w:val="clear"/>
            <w:tcMar>
              <w:top w:type="dxa" w:w="80"/>
              <w:left w:type="dxa" w:w="120"/>
              <w:bottom w:type="dxa" w:w="80"/>
              <w:right w:type="dxa" w:w="120"/>
            </w:tcMar>
            <w:vAlign w:val="center"/>
          </w:tcPr>
          <w:p>
            <w:pPr>
              <w:spacing w:after="0"/>
            </w:pPr>
            <w:r>
              <w:rPr>
                <w:rFonts w:ascii="Calibri" w:cs="Calibri" w:eastAsia="Calibri" w:hAnsi="Calibri"/>
                <w:b/>
                <w:bCs/>
                <w:color w:val="FFFFFF"/>
                <w:sz w:val="18"/>
                <w:szCs w:val="18"/>
              </w:rPr>
              <w:t xml:space="preserve">Problème observé</w:t>
            </w:r>
          </w:p>
        </w:tc>
        <w:tc>
          <w:tcPr>
            <w:tcW w:type="dxa" w:w="2626"/>
            <w:tcBorders>
              <w:top w:val="single" w:color="0F1117" w:sz="4"/>
              <w:left w:val="single" w:color="0F1117" w:sz="4"/>
              <w:bottom w:val="single" w:color="0F1117" w:sz="4"/>
              <w:right w:val="single" w:color="0F1117" w:sz="4"/>
            </w:tcBorders>
            <w:shd w:fill="0F1117" w:val="clear"/>
            <w:tcMar>
              <w:top w:type="dxa" w:w="80"/>
              <w:left w:type="dxa" w:w="120"/>
              <w:bottom w:type="dxa" w:w="80"/>
              <w:right w:type="dxa" w:w="120"/>
            </w:tcMar>
            <w:vAlign w:val="center"/>
          </w:tcPr>
          <w:p>
            <w:pPr>
              <w:spacing w:after="0"/>
            </w:pPr>
            <w:r>
              <w:rPr>
                <w:rFonts w:ascii="Calibri" w:cs="Calibri" w:eastAsia="Calibri" w:hAnsi="Calibri"/>
                <w:b/>
                <w:bCs/>
                <w:color w:val="FFFFFF"/>
                <w:sz w:val="18"/>
                <w:szCs w:val="18"/>
              </w:rPr>
              <w:t xml:space="preserve">Règle de normalisation</w:t>
            </w:r>
          </w:p>
        </w:tc>
        <w:tc>
          <w:tcPr>
            <w:tcW w:type="dxa" w:w="1800"/>
            <w:tcBorders>
              <w:top w:val="single" w:color="0F1117" w:sz="4"/>
              <w:left w:val="single" w:color="0F1117" w:sz="4"/>
              <w:bottom w:val="single" w:color="0F1117" w:sz="4"/>
              <w:right w:val="single" w:color="0F1117" w:sz="4"/>
            </w:tcBorders>
            <w:shd w:fill="0F1117" w:val="clear"/>
            <w:tcMar>
              <w:top w:type="dxa" w:w="80"/>
              <w:left w:type="dxa" w:w="120"/>
              <w:bottom w:type="dxa" w:w="80"/>
              <w:right w:type="dxa" w:w="120"/>
            </w:tcMar>
            <w:vAlign w:val="center"/>
          </w:tcPr>
          <w:p>
            <w:pPr>
              <w:spacing w:after="0"/>
            </w:pPr>
            <w:r>
              <w:rPr>
                <w:rFonts w:ascii="Calibri" w:cs="Calibri" w:eastAsia="Calibri" w:hAnsi="Calibri"/>
                <w:b/>
                <w:bCs/>
                <w:color w:val="FFFFFF"/>
                <w:sz w:val="18"/>
                <w:szCs w:val="18"/>
              </w:rPr>
              <w:t xml:space="preserve">Impact attendu</w:t>
            </w:r>
          </w:p>
        </w:tc>
      </w:tr>
      <w:tr>
        <w:tc>
          <w:tcPr>
            <w:tcW w:type="dxa" w:w="22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Nom de l'établissement</w:t>
            </w:r>
          </w:p>
        </w:tc>
        <w:tc>
          <w:tcPr>
            <w:tcW w:type="dxa" w:w="24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Absence d'accents, translittérations variables</w:t>
            </w:r>
          </w:p>
        </w:tc>
        <w:tc>
          <w:tcPr>
            <w:tcW w:type="dxa" w:w="2626"/>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UTF-8 + casse titre + translittération MESRSI de référence</w:t>
            </w:r>
          </w:p>
        </w:tc>
        <w:tc>
          <w:tcPr>
            <w:tcW w:type="dxa" w:w="18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Améliore l'appariement textuel</w:t>
            </w:r>
          </w:p>
        </w:tc>
      </w:tr>
      <w:tr>
        <w:tc>
          <w:tcPr>
            <w:tcW w:type="dxa" w:w="22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Sigle</w:t>
            </w:r>
          </w:p>
        </w:tc>
        <w:tc>
          <w:tcPr>
            <w:tcW w:type="dxa" w:w="24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Ambiguïté internationale (UAE = Émirats arabes unis)</w:t>
            </w:r>
          </w:p>
        </w:tc>
        <w:tc>
          <w:tcPr>
            <w:tcW w:type="dxa" w:w="2626"/>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Préfixe MA-{SIGLE} ; ajouter ville si collision</w:t>
            </w:r>
          </w:p>
        </w:tc>
        <w:tc>
          <w:tcPr>
            <w:tcW w:type="dxa" w:w="18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Élimine les faux positifs</w:t>
            </w:r>
          </w:p>
        </w:tc>
      </w:tr>
      <w:tr>
        <w:tc>
          <w:tcPr>
            <w:tcW w:type="dxa" w:w="22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Ville</w:t>
            </w:r>
          </w:p>
        </w:tc>
        <w:tc>
          <w:tcPr>
            <w:tcW w:type="dxa" w:w="24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Formes anglicisées (Marrakesh, Fes) sans code géo.</w:t>
            </w:r>
          </w:p>
        </w:tc>
        <w:tc>
          <w:tcPr>
            <w:tcW w:type="dxa" w:w="2626"/>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Forme officielle française + champ city_geonames_id</w:t>
            </w:r>
          </w:p>
        </w:tc>
        <w:tc>
          <w:tcPr>
            <w:tcW w:type="dxa" w:w="18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Alignement automatique sur GeoNames</w:t>
            </w:r>
          </w:p>
        </w:tc>
      </w:tr>
      <w:tr>
        <w:tc>
          <w:tcPr>
            <w:tcW w:type="dxa" w:w="22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Région</w:t>
            </w:r>
          </w:p>
        </w:tc>
        <w:tc>
          <w:tcPr>
            <w:tcW w:type="dxa" w:w="24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Champ absent — à déduire depuis la ville</w:t>
            </w:r>
          </w:p>
        </w:tc>
        <w:tc>
          <w:tcPr>
            <w:tcW w:type="dxa" w:w="2626"/>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Ajouter champ region + region_wikidata_id (découpage 2015)</w:t>
            </w:r>
          </w:p>
        </w:tc>
        <w:tc>
          <w:tcPr>
            <w:tcW w:type="dxa" w:w="18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Niveau géographique intermédiaire en RDF</w:t>
            </w:r>
          </w:p>
        </w:tc>
      </w:tr>
      <w:tr>
        <w:tc>
          <w:tcPr>
            <w:tcW w:type="dxa" w:w="22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Type d'établissement</w:t>
            </w:r>
          </w:p>
        </w:tc>
        <w:tc>
          <w:tcPr>
            <w:tcW w:type="dxa" w:w="24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Texte libre non formalisé</w:t>
            </w:r>
          </w:p>
        </w:tc>
        <w:tc>
          <w:tcPr>
            <w:tcW w:type="dxa" w:w="2626"/>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Vocabulaire fermé + alignement sur schema:CollegeOrUniversity</w:t>
            </w:r>
          </w:p>
        </w:tc>
        <w:tc>
          <w:tcPr>
            <w:tcW w:type="dxa" w:w="18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Typage RDF cohérent</w:t>
            </w:r>
          </w:p>
        </w:tc>
      </w:tr>
      <w:tr>
        <w:tc>
          <w:tcPr>
            <w:tcW w:type="dxa" w:w="22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Domaine de formation</w:t>
            </w:r>
          </w:p>
        </w:tc>
        <w:tc>
          <w:tcPr>
            <w:tcW w:type="dxa" w:w="24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Granularité hétérogène, aucun code normalisé</w:t>
            </w:r>
          </w:p>
        </w:tc>
        <w:tc>
          <w:tcPr>
            <w:tcW w:type="dxa" w:w="2626"/>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Alignement ISCED-F 2013 (codes à 4 chiffres UNESCO)</w:t>
            </w:r>
          </w:p>
        </w:tc>
        <w:tc>
          <w:tcPr>
            <w:tcW w:type="dxa" w:w="18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Comparabilité internationale</w:t>
            </w:r>
          </w:p>
        </w:tc>
      </w:tr>
      <w:tr>
        <w:tc>
          <w:tcPr>
            <w:tcW w:type="dxa" w:w="22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Université de rattachement</w:t>
            </w:r>
          </w:p>
        </w:tc>
        <w:tc>
          <w:tcPr>
            <w:tcW w:type="dxa" w:w="24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Relation hiérarchique probablement implicite</w:t>
            </w:r>
          </w:p>
        </w:tc>
        <w:tc>
          <w:tcPr>
            <w:tcW w:type="dxa" w:w="2626"/>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Champ parent_university + parent_university_wikidata_id</w:t>
            </w:r>
          </w:p>
        </w:tc>
        <w:tc>
          <w:tcPr>
            <w:tcW w:type="dxa" w:w="18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Modélise org:memberOf en RDF</w:t>
            </w:r>
          </w:p>
        </w:tc>
      </w:tr>
    </w:tbl>
    <w:p>
      <w:pPr>
        <w:spacing w:after="0" w:before="0"/>
      </w:pPr>
      <w:r>
        <w:rPr>
          <w:sz w:val="16"/>
          <w:szCs w:val="16"/>
        </w:rPr>
        <w:t xml:space="preserve"/>
      </w:r>
    </w:p>
    <w:p>
      <w:pPr>
        <w:spacing w:after="80" w:before="200"/>
      </w:pPr>
      <w:r>
        <w:rPr>
          <w:rFonts w:ascii="Calibri" w:cs="Calibri" w:eastAsia="Calibri" w:hAnsi="Calibri"/>
          <w:b/>
          <w:bCs/>
          <w:color w:val="C45C3A"/>
          <w:sz w:val="24"/>
          <w:szCs w:val="24"/>
        </w:rPr>
        <w:t xml:space="preserve">— </w:t>
      </w:r>
      <w:r>
        <w:rPr>
          <w:rFonts w:ascii="Calibri" w:cs="Calibri" w:eastAsia="Calibri" w:hAnsi="Calibri"/>
          <w:b/>
          <w:bCs/>
          <w:color w:val="0F1117"/>
          <w:sz w:val="24"/>
          <w:szCs w:val="24"/>
        </w:rPr>
        <w:t xml:space="preserve">5.2  Stratégie d'identifiants URI</w:t>
      </w:r>
    </w:p>
    <w:p>
      <w:pPr>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26"/>
        <w:gridCol w:w="2000"/>
      </w:tblGrid>
      <w:tr>
        <w:trPr>
          <w:tblHeader/>
        </w:trPr>
        <w:tc>
          <w:tcPr>
            <w:tcW w:type="dxa" w:w="2000"/>
            <w:tcBorders>
              <w:top w:val="single" w:color="0F1117" w:sz="4"/>
              <w:left w:val="single" w:color="0F1117" w:sz="4"/>
              <w:bottom w:val="single" w:color="0F1117" w:sz="4"/>
              <w:right w:val="single" w:color="0F1117" w:sz="4"/>
            </w:tcBorders>
            <w:shd w:fill="0F1117" w:val="clear"/>
            <w:tcMar>
              <w:top w:type="dxa" w:w="80"/>
              <w:left w:type="dxa" w:w="120"/>
              <w:bottom w:type="dxa" w:w="80"/>
              <w:right w:type="dxa" w:w="120"/>
            </w:tcMar>
            <w:vAlign w:val="center"/>
          </w:tcPr>
          <w:p>
            <w:pPr>
              <w:spacing w:after="0"/>
            </w:pPr>
            <w:r>
              <w:rPr>
                <w:rFonts w:ascii="Calibri" w:cs="Calibri" w:eastAsia="Calibri" w:hAnsi="Calibri"/>
                <w:b/>
                <w:bCs/>
                <w:color w:val="FFFFFF"/>
                <w:sz w:val="18"/>
                <w:szCs w:val="18"/>
              </w:rPr>
              <w:t xml:space="preserve">Entité</w:t>
            </w:r>
          </w:p>
        </w:tc>
        <w:tc>
          <w:tcPr>
            <w:tcW w:type="dxa" w:w="2600"/>
            <w:tcBorders>
              <w:top w:val="single" w:color="0F1117" w:sz="4"/>
              <w:left w:val="single" w:color="0F1117" w:sz="4"/>
              <w:bottom w:val="single" w:color="0F1117" w:sz="4"/>
              <w:right w:val="single" w:color="0F1117" w:sz="4"/>
            </w:tcBorders>
            <w:shd w:fill="0F1117" w:val="clear"/>
            <w:tcMar>
              <w:top w:type="dxa" w:w="80"/>
              <w:left w:type="dxa" w:w="120"/>
              <w:bottom w:type="dxa" w:w="80"/>
              <w:right w:type="dxa" w:w="120"/>
            </w:tcMar>
            <w:vAlign w:val="center"/>
          </w:tcPr>
          <w:p>
            <w:pPr>
              <w:spacing w:after="0"/>
            </w:pPr>
            <w:r>
              <w:rPr>
                <w:rFonts w:ascii="Calibri" w:cs="Calibri" w:eastAsia="Calibri" w:hAnsi="Calibri"/>
                <w:b/>
                <w:bCs/>
                <w:color w:val="FFFFFF"/>
                <w:sz w:val="18"/>
                <w:szCs w:val="18"/>
              </w:rPr>
              <w:t xml:space="preserve">Base URI</w:t>
            </w:r>
          </w:p>
        </w:tc>
        <w:tc>
          <w:tcPr>
            <w:tcW w:type="dxa" w:w="2426"/>
            <w:tcBorders>
              <w:top w:val="single" w:color="0F1117" w:sz="4"/>
              <w:left w:val="single" w:color="0F1117" w:sz="4"/>
              <w:bottom w:val="single" w:color="0F1117" w:sz="4"/>
              <w:right w:val="single" w:color="0F1117" w:sz="4"/>
            </w:tcBorders>
            <w:shd w:fill="0F1117" w:val="clear"/>
            <w:tcMar>
              <w:top w:type="dxa" w:w="80"/>
              <w:left w:type="dxa" w:w="120"/>
              <w:bottom w:type="dxa" w:w="80"/>
              <w:right w:type="dxa" w:w="120"/>
            </w:tcMar>
            <w:vAlign w:val="center"/>
          </w:tcPr>
          <w:p>
            <w:pPr>
              <w:spacing w:after="0"/>
            </w:pPr>
            <w:r>
              <w:rPr>
                <w:rFonts w:ascii="Calibri" w:cs="Calibri" w:eastAsia="Calibri" w:hAnsi="Calibri"/>
                <w:b/>
                <w:bCs/>
                <w:color w:val="FFFFFF"/>
                <w:sz w:val="18"/>
                <w:szCs w:val="18"/>
              </w:rPr>
              <w:t xml:space="preserve">Risque</w:t>
            </w:r>
          </w:p>
        </w:tc>
        <w:tc>
          <w:tcPr>
            <w:tcW w:type="dxa" w:w="2000"/>
            <w:tcBorders>
              <w:top w:val="single" w:color="0F1117" w:sz="4"/>
              <w:left w:val="single" w:color="0F1117" w:sz="4"/>
              <w:bottom w:val="single" w:color="0F1117" w:sz="4"/>
              <w:right w:val="single" w:color="0F1117" w:sz="4"/>
            </w:tcBorders>
            <w:shd w:fill="0F1117" w:val="clear"/>
            <w:tcMar>
              <w:top w:type="dxa" w:w="80"/>
              <w:left w:type="dxa" w:w="120"/>
              <w:bottom w:type="dxa" w:w="80"/>
              <w:right w:type="dxa" w:w="120"/>
            </w:tcMar>
            <w:vAlign w:val="center"/>
          </w:tcPr>
          <w:p>
            <w:pPr>
              <w:spacing w:after="0"/>
            </w:pPr>
            <w:r>
              <w:rPr>
                <w:rFonts w:ascii="Calibri" w:cs="Calibri" w:eastAsia="Calibri" w:hAnsi="Calibri"/>
                <w:b/>
                <w:bCs/>
                <w:color w:val="FFFFFF"/>
                <w:sz w:val="18"/>
                <w:szCs w:val="18"/>
              </w:rPr>
              <w:t xml:space="preserve">Recommandation</w:t>
            </w:r>
          </w:p>
        </w:tc>
      </w:tr>
      <w:tr>
        <w:tc>
          <w:tcPr>
            <w:tcW w:type="dxa" w:w="20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Établissement</w:t>
            </w:r>
          </w:p>
        </w:tc>
        <w:tc>
          <w:tcPr>
            <w:tcW w:type="dxa" w:w="26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data.gov.ma/resource/etablissement/MA-{SIGLE}</w:t>
            </w:r>
          </w:p>
        </w:tc>
        <w:tc>
          <w:tcPr>
            <w:tcW w:type="dxa" w:w="2426"/>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Collision si deux étab. ont le même sigle (ex. plusieurs ENSA)</w:t>
            </w:r>
          </w:p>
        </w:tc>
        <w:tc>
          <w:tcPr>
            <w:tcW w:type="dxa" w:w="20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Ajouter la ville : MA-ENSA-KENITRA vs MA-ENSA-FES</w:t>
            </w:r>
          </w:p>
        </w:tc>
      </w:tr>
      <w:tr>
        <w:tc>
          <w:tcPr>
            <w:tcW w:type="dxa" w:w="20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Université mère</w:t>
            </w:r>
          </w:p>
        </w:tc>
        <w:tc>
          <w:tcPr>
            <w:tcW w:type="dxa" w:w="26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owl:sameAs vers Wikidata Q…</w:t>
            </w:r>
          </w:p>
        </w:tc>
        <w:tc>
          <w:tcPr>
            <w:tcW w:type="dxa" w:w="2426"/>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Faible — 12 universités stables et documentées</w:t>
            </w:r>
          </w:p>
        </w:tc>
        <w:tc>
          <w:tcPr>
            <w:tcW w:type="dxa" w:w="20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Aligner directement sur Wikidata</w:t>
            </w:r>
          </w:p>
        </w:tc>
      </w:tr>
      <w:tr>
        <w:tc>
          <w:tcPr>
            <w:tcW w:type="dxa" w:w="20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Ville</w:t>
            </w:r>
          </w:p>
        </w:tc>
        <w:tc>
          <w:tcPr>
            <w:tcW w:type="dxa" w:w="26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sws.geonames.org/{ID}/</w:t>
            </w:r>
          </w:p>
        </w:tc>
        <w:tc>
          <w:tcPr>
            <w:tcW w:type="dxa" w:w="2426"/>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GeoNames externe — dépréciation théorique</w:t>
            </w:r>
          </w:p>
        </w:tc>
        <w:tc>
          <w:tcPr>
            <w:tcW w:type="dxa" w:w="20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Mapping local city_name → geonames_id versionné</w:t>
            </w:r>
          </w:p>
        </w:tc>
      </w:tr>
      <w:tr>
        <w:tc>
          <w:tcPr>
            <w:tcW w:type="dxa" w:w="20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Région</w:t>
            </w:r>
          </w:p>
        </w:tc>
        <w:tc>
          <w:tcPr>
            <w:tcW w:type="dxa" w:w="26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owl:sameAs Wikidata + ISO 3166-2 marocain</w:t>
            </w:r>
          </w:p>
        </w:tc>
        <w:tc>
          <w:tcPr>
            <w:tcW w:type="dxa" w:w="2426"/>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Très faible — régions post-2015 stables</w:t>
            </w:r>
          </w:p>
        </w:tc>
        <w:tc>
          <w:tcPr>
            <w:tcW w:type="dxa" w:w="2000"/>
            <w:tcBorders>
              <w:top w:val="single" w:color="D4C9B5" w:sz="3"/>
              <w:left w:val="single" w:color="D4C9B5" w:sz="3"/>
              <w:bottom w:val="single" w:color="D4C9B5" w:sz="3"/>
              <w:right w:val="single" w:color="D4C9B5" w:sz="3"/>
            </w:tcBorders>
            <w:shd w:fill="F5F0E8"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Aligner Wikidata + ISO 3166-2</w:t>
            </w:r>
          </w:p>
        </w:tc>
      </w:tr>
      <w:tr>
        <w:tc>
          <w:tcPr>
            <w:tcW w:type="dxa" w:w="20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bCs/>
                <w:color w:val="0F1117"/>
                <w:sz w:val="18"/>
                <w:szCs w:val="18"/>
              </w:rPr>
              <w:t xml:space="preserve">Domaine formation</w:t>
            </w:r>
          </w:p>
        </w:tc>
        <w:tc>
          <w:tcPr>
            <w:tcW w:type="dxa" w:w="26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uis.unesco.org/isced/F/{CODE}</w:t>
            </w:r>
          </w:p>
        </w:tc>
        <w:tc>
          <w:tcPr>
            <w:tcW w:type="dxa" w:w="2426"/>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Alignement approximatif pour valeurs génériques</w:t>
            </w:r>
          </w:p>
        </w:tc>
        <w:tc>
          <w:tcPr>
            <w:tcW w:type="dxa" w:w="2000"/>
            <w:tcBorders>
              <w:top w:val="single" w:color="D4C9B5" w:sz="3"/>
              <w:left w:val="single" w:color="D4C9B5" w:sz="3"/>
              <w:bottom w:val="single" w:color="D4C9B5" w:sz="3"/>
              <w:right w:val="single" w:color="D4C9B5" w:sz="3"/>
            </w:tcBorders>
            <w:shd w:fill="FFFFFF" w:val="clear"/>
            <w:tcMar>
              <w:top w:type="dxa" w:w="80"/>
              <w:left w:type="dxa" w:w="120"/>
              <w:bottom w:type="dxa" w:w="80"/>
              <w:right w:type="dxa" w:w="120"/>
            </w:tcMar>
            <w:vAlign w:val="top"/>
          </w:tcPr>
          <w:p>
            <w:pPr>
              <w:spacing w:after="0"/>
            </w:pPr>
            <w:r>
              <w:rPr>
                <w:rFonts w:ascii="Calibri" w:cs="Calibri" w:eastAsia="Calibri" w:hAnsi="Calibri"/>
                <w:b w:val="false"/>
                <w:bCs w:val="false"/>
                <w:color w:val="4A5568"/>
                <w:sz w:val="18"/>
                <w:szCs w:val="18"/>
              </w:rPr>
              <w:t xml:space="preserve">skos:closeMatch pour correspondances incertaines</w:t>
            </w:r>
          </w:p>
        </w:tc>
      </w:tr>
    </w:tbl>
    <w:p>
      <w:pPr>
        <w:spacing w:after="0" w:before="0"/>
      </w:pPr>
      <w:r>
        <w:rPr>
          <w:sz w:val="12"/>
          <w:szCs w:val="12"/>
        </w:rPr>
        <w:t xml:space="preserve"/>
      </w:r>
    </w:p>
    <w:p>
      <w:pPr>
        <w:pBdr>
          <w:bottom w:val="single" w:color="C45C3A" w:sz="8" w:space="4"/>
        </w:pBdr>
        <w:spacing w:after="100" w:before="280"/>
      </w:pPr>
      <w:r>
        <w:rPr>
          <w:rFonts w:ascii="Calibri" w:cs="Calibri" w:eastAsia="Calibri" w:hAnsi="Calibri"/>
          <w:b/>
          <w:bCs/>
          <w:color w:val="C45C3A"/>
          <w:sz w:val="28"/>
          <w:szCs w:val="28"/>
        </w:rPr>
        <w:t xml:space="preserve">06  </w:t>
      </w:r>
      <w:r>
        <w:rPr>
          <w:rFonts w:ascii="Calibri" w:cs="Calibri" w:eastAsia="Calibri" w:hAnsi="Calibri"/>
          <w:b/>
          <w:bCs/>
          <w:color w:val="0F1117"/>
          <w:sz w:val="28"/>
          <w:szCs w:val="28"/>
        </w:rPr>
        <w:t xml:space="preserve">ANALYSE DES RISQUES</w:t>
      </w:r>
    </w:p>
    <w:p>
      <w:pPr>
        <w:spacing w:after="0" w:before="0"/>
      </w:pPr>
      <w:r>
        <w:rPr>
          <w:sz w:val="8"/>
          <w:szCs w:val="8"/>
        </w:rPr>
        <w:t xml:space="preserve"/>
      </w:r>
    </w:p>
    <w:p>
      <w:pPr>
        <w:spacing w:after="80" w:before="200"/>
      </w:pPr>
      <w:r>
        <w:rPr>
          <w:rFonts w:ascii="Calibri" w:cs="Calibri" w:eastAsia="Calibri" w:hAnsi="Calibri"/>
          <w:b/>
          <w:bCs/>
          <w:color w:val="C45C3A"/>
          <w:sz w:val="24"/>
          <w:szCs w:val="24"/>
        </w:rPr>
        <w:t xml:space="preserve">— </w:t>
      </w:r>
      <w:r>
        <w:rPr>
          <w:rFonts w:ascii="Calibri" w:cs="Calibri" w:eastAsia="Calibri" w:hAnsi="Calibri"/>
          <w:b/>
          <w:bCs/>
          <w:color w:val="0F1117"/>
          <w:sz w:val="24"/>
          <w:szCs w:val="24"/>
        </w:rPr>
        <w:t xml:space="preserve">Risques de faux appariement</w:t>
      </w:r>
    </w:p>
    <w:p>
      <w:pPr>
        <w:pStyle w:val="ListParagraph"/>
        <w:numPr>
          <w:ilvl w:val="0"/>
          <w:numId w:val="2"/>
        </w:numPr>
        <w:spacing w:after="80" w:before="0"/>
      </w:pPr>
      <w:r>
        <w:rPr>
          <w:rFonts w:ascii="Calibri" w:cs="Calibri" w:eastAsia="Calibri" w:hAnsi="Calibri"/>
          <w:b/>
          <w:bCs/>
          <w:color w:val="0F1117"/>
          <w:sz w:val="20"/>
          <w:szCs w:val="20"/>
        </w:rPr>
        <w:t xml:space="preserve">Sigle UAE : </w:t>
      </w:r>
      <w:r>
        <w:rPr>
          <w:rFonts w:ascii="Calibri" w:cs="Calibri" w:eastAsia="Calibri" w:hAnsi="Calibri"/>
          <w:color w:val="4A5568"/>
          <w:sz w:val="20"/>
          <w:szCs w:val="20"/>
        </w:rPr>
        <w:t xml:space="preserve">désigne à la fois l'Université Abdelmalek Essaadi et les Émirats arabes unis. Le site uae.ac.ma est l'indice de désambiguïsation indispensable.</w:t>
      </w:r>
    </w:p>
    <w:p>
      <w:pPr>
        <w:pStyle w:val="ListParagraph"/>
        <w:numPr>
          <w:ilvl w:val="0"/>
          <w:numId w:val="2"/>
        </w:numPr>
        <w:spacing w:after="80" w:before="0"/>
      </w:pPr>
      <w:r>
        <w:rPr>
          <w:rFonts w:ascii="Calibri" w:cs="Calibri" w:eastAsia="Calibri" w:hAnsi="Calibri"/>
          <w:b/>
          <w:bCs/>
          <w:color w:val="0F1117"/>
          <w:sz w:val="20"/>
          <w:szCs w:val="20"/>
        </w:rPr>
        <w:t xml:space="preserve">Sigles ENSA multiples : </w:t>
      </w:r>
      <w:r>
        <w:rPr>
          <w:rFonts w:ascii="Calibri" w:cs="Calibri" w:eastAsia="Calibri" w:hAnsi="Calibri"/>
          <w:color w:val="4A5568"/>
          <w:sz w:val="20"/>
          <w:szCs w:val="20"/>
        </w:rPr>
        <w:t xml:space="preserve">Kénitra, Fès, Oujda, Agadir et Marrakech accueillent chacun une ENSA. La règle MA-ENSA-{VILLE} est obligatoire.</w:t>
      </w:r>
    </w:p>
    <w:p>
      <w:pPr>
        <w:pStyle w:val="ListParagraph"/>
        <w:numPr>
          <w:ilvl w:val="0"/>
          <w:numId w:val="2"/>
        </w:numPr>
        <w:spacing w:after="80" w:before="0"/>
      </w:pPr>
      <w:r>
        <w:rPr>
          <w:rFonts w:ascii="Calibri" w:cs="Calibri" w:eastAsia="Calibri" w:hAnsi="Calibri"/>
          <w:b/>
          <w:bCs/>
          <w:color w:val="0F1117"/>
          <w:sz w:val="20"/>
          <w:szCs w:val="20"/>
        </w:rPr>
        <w:t xml:space="preserve">Universités homonymes partielles : </w:t>
      </w:r>
      <w:r>
        <w:rPr>
          <w:rFonts w:ascii="Calibri" w:cs="Calibri" w:eastAsia="Calibri" w:hAnsi="Calibri"/>
          <w:color w:val="4A5568"/>
          <w:sz w:val="20"/>
          <w:szCs w:val="20"/>
        </w:rPr>
        <w:t xml:space="preserve">noms contenant « Hassan » ou « Mohammed » peuvent créer des faux positifs. Ville + site web doivent toujours être combinés.</w:t>
      </w:r>
    </w:p>
    <w:p>
      <w:pPr>
        <w:pStyle w:val="ListParagraph"/>
        <w:numPr>
          <w:ilvl w:val="0"/>
          <w:numId w:val="2"/>
        </w:numPr>
        <w:spacing w:after="80" w:before="0"/>
      </w:pPr>
      <w:r>
        <w:rPr>
          <w:rFonts w:ascii="Calibri" w:cs="Calibri" w:eastAsia="Calibri" w:hAnsi="Calibri"/>
          <w:b/>
          <w:bCs/>
          <w:color w:val="0F1117"/>
          <w:sz w:val="20"/>
          <w:szCs w:val="20"/>
        </w:rPr>
        <w:t xml:space="preserve">Établissements sans site web propre : </w:t>
      </w:r>
      <w:r>
        <w:rPr>
          <w:rFonts w:ascii="Calibri" w:cs="Calibri" w:eastAsia="Calibri" w:hAnsi="Calibri"/>
          <w:color w:val="4A5568"/>
          <w:sz w:val="20"/>
          <w:szCs w:val="20"/>
        </w:rPr>
        <w:t xml:space="preserve">l'appariement repose uniquement sur la correspondance textuelle — précision insuffisante pour un traitement automatique.</w:t>
      </w:r>
    </w:p>
    <w:p>
      <w:pPr>
        <w:spacing w:after="0" w:before="0"/>
      </w:pPr>
      <w:r>
        <w:rPr>
          <w:sz w:val="12"/>
          <w:szCs w:val="12"/>
        </w:rPr>
        <w:t xml:space="preserve"/>
      </w:r>
    </w:p>
    <w:p>
      <w:pPr>
        <w:spacing w:after="80" w:before="200"/>
      </w:pPr>
      <w:r>
        <w:rPr>
          <w:rFonts w:ascii="Calibri" w:cs="Calibri" w:eastAsia="Calibri" w:hAnsi="Calibri"/>
          <w:b/>
          <w:bCs/>
          <w:color w:val="C45C3A"/>
          <w:sz w:val="24"/>
          <w:szCs w:val="24"/>
        </w:rPr>
        <w:t xml:space="preserve">— </w:t>
      </w:r>
      <w:r>
        <w:rPr>
          <w:rFonts w:ascii="Calibri" w:cs="Calibri" w:eastAsia="Calibri" w:hAnsi="Calibri"/>
          <w:b/>
          <w:bCs/>
          <w:color w:val="0F1117"/>
          <w:sz w:val="24"/>
          <w:szCs w:val="24"/>
        </w:rPr>
        <w:t xml:space="preserve">Limites des référentiels</w:t>
      </w:r>
    </w:p>
    <w:p>
      <w:pPr>
        <w:pStyle w:val="ListParagraph"/>
        <w:numPr>
          <w:ilvl w:val="0"/>
          <w:numId w:val="2"/>
        </w:numPr>
        <w:spacing w:after="80" w:before="0"/>
      </w:pPr>
      <w:r>
        <w:rPr>
          <w:rFonts w:ascii="Calibri" w:cs="Calibri" w:eastAsia="Calibri" w:hAnsi="Calibri"/>
          <w:b/>
          <w:bCs/>
          <w:color w:val="0F1117"/>
          <w:sz w:val="20"/>
          <w:szCs w:val="20"/>
        </w:rPr>
        <w:t xml:space="preserve">Wikidata : </w:t>
      </w:r>
      <w:r>
        <w:rPr>
          <w:rFonts w:ascii="Calibri" w:cs="Calibri" w:eastAsia="Calibri" w:hAnsi="Calibri"/>
          <w:color w:val="4A5568"/>
          <w:sz w:val="20"/>
          <w:szCs w:val="20"/>
        </w:rPr>
        <w:t xml:space="preserve">petits établissements et instituts récents souvent absents ou avec notices très incomplètes — skos:closeMatch avec l'université mère recommandé.</w:t>
      </w:r>
    </w:p>
    <w:p>
      <w:pPr>
        <w:pStyle w:val="ListParagraph"/>
        <w:numPr>
          <w:ilvl w:val="0"/>
          <w:numId w:val="2"/>
        </w:numPr>
        <w:spacing w:after="80" w:before="0"/>
      </w:pPr>
      <w:r>
        <w:rPr>
          <w:rFonts w:ascii="Calibri" w:cs="Calibri" w:eastAsia="Calibri" w:hAnsi="Calibri"/>
          <w:b/>
          <w:bCs/>
          <w:color w:val="0F1117"/>
          <w:sz w:val="20"/>
          <w:szCs w:val="20"/>
        </w:rPr>
        <w:t xml:space="preserve">GeoNames : </w:t>
      </w:r>
      <w:r>
        <w:rPr>
          <w:rFonts w:ascii="Calibri" w:cs="Calibri" w:eastAsia="Calibri" w:hAnsi="Calibri"/>
          <w:color w:val="4A5568"/>
          <w:sz w:val="20"/>
          <w:szCs w:val="20"/>
        </w:rPr>
        <w:t xml:space="preserve">translittérations (Fes, Marrakesh) cohérentes avec certaines formes du dataset mais normalisation préalable nécessaire.</w:t>
      </w:r>
    </w:p>
    <w:p>
      <w:pPr>
        <w:pStyle w:val="ListParagraph"/>
        <w:numPr>
          <w:ilvl w:val="0"/>
          <w:numId w:val="2"/>
        </w:numPr>
        <w:spacing w:after="80" w:before="0"/>
      </w:pPr>
      <w:r>
        <w:rPr>
          <w:rFonts w:ascii="Calibri" w:cs="Calibri" w:eastAsia="Calibri" w:hAnsi="Calibri"/>
          <w:b/>
          <w:bCs/>
          <w:color w:val="0F1117"/>
          <w:sz w:val="20"/>
          <w:szCs w:val="20"/>
        </w:rPr>
        <w:t xml:space="preserve">ISCED-F : </w:t>
      </w:r>
      <w:r>
        <w:rPr>
          <w:rFonts w:ascii="Calibri" w:cs="Calibri" w:eastAsia="Calibri" w:hAnsi="Calibri"/>
          <w:color w:val="4A5568"/>
          <w:sz w:val="20"/>
          <w:szCs w:val="20"/>
        </w:rPr>
        <w:t xml:space="preserve">alignement approximatif pour « multidisciplinaire » — aucun code ISCED précis ne correspond.</w:t>
      </w:r>
    </w:p>
    <w:p>
      <w:pPr>
        <w:spacing w:after="0" w:before="0"/>
      </w:pPr>
      <w:r>
        <w:rPr>
          <w:sz w:val="12"/>
          <w:szCs w:val="12"/>
        </w:rPr>
        <w:t xml:space="preserve"/>
      </w:r>
    </w:p>
    <w:p>
      <w:pPr>
        <w:spacing w:after="80" w:before="200"/>
      </w:pPr>
      <w:r>
        <w:rPr>
          <w:rFonts w:ascii="Calibri" w:cs="Calibri" w:eastAsia="Calibri" w:hAnsi="Calibri"/>
          <w:b/>
          <w:bCs/>
          <w:color w:val="C45C3A"/>
          <w:sz w:val="24"/>
          <w:szCs w:val="24"/>
        </w:rPr>
        <w:t xml:space="preserve">— </w:t>
      </w:r>
      <w:r>
        <w:rPr>
          <w:rFonts w:ascii="Calibri" w:cs="Calibri" w:eastAsia="Calibri" w:hAnsi="Calibri"/>
          <w:b/>
          <w:bCs/>
          <w:color w:val="0F1117"/>
          <w:sz w:val="24"/>
          <w:szCs w:val="24"/>
        </w:rPr>
        <w:t xml:space="preserve">Informations manquantes</w:t>
      </w:r>
    </w:p>
    <w:p>
      <w:pPr>
        <w:pStyle w:val="ListParagraph"/>
        <w:numPr>
          <w:ilvl w:val="0"/>
          <w:numId w:val="2"/>
        </w:numPr>
        <w:spacing w:after="80" w:before="0"/>
      </w:pPr>
      <w:r>
        <w:rPr>
          <w:rFonts w:ascii="Calibri" w:cs="Calibri" w:eastAsia="Calibri" w:hAnsi="Calibri"/>
          <w:b/>
          <w:bCs/>
          <w:color w:val="0F1117"/>
          <w:sz w:val="20"/>
          <w:szCs w:val="20"/>
        </w:rPr>
        <w:t xml:space="preserve">Code officiel MESRSI : </w:t>
      </w:r>
      <w:r>
        <w:rPr>
          <w:rFonts w:ascii="Calibri" w:cs="Calibri" w:eastAsia="Calibri" w:hAnsi="Calibri"/>
          <w:color w:val="4A5568"/>
          <w:sz w:val="20"/>
          <w:szCs w:val="20"/>
        </w:rPr>
        <w:t xml:space="preserve">un identifiant ministériel par établissement serait l'ancre la plus stable — à utiliser en priorité sur le sigle s'il est présent.</w:t>
      </w:r>
    </w:p>
    <w:p>
      <w:pPr>
        <w:pStyle w:val="ListParagraph"/>
        <w:numPr>
          <w:ilvl w:val="0"/>
          <w:numId w:val="2"/>
        </w:numPr>
        <w:spacing w:after="80" w:before="0"/>
      </w:pPr>
      <w:r>
        <w:rPr>
          <w:rFonts w:ascii="Calibri" w:cs="Calibri" w:eastAsia="Calibri" w:hAnsi="Calibri"/>
          <w:b/>
          <w:bCs/>
          <w:color w:val="0F1117"/>
          <w:sz w:val="20"/>
          <w:szCs w:val="20"/>
        </w:rPr>
        <w:t xml:space="preserve">Coordonnées GPS : </w:t>
      </w:r>
      <w:r>
        <w:rPr>
          <w:rFonts w:ascii="Calibri" w:cs="Calibri" w:eastAsia="Calibri" w:hAnsi="Calibri"/>
          <w:color w:val="4A5568"/>
          <w:sz w:val="20"/>
          <w:szCs w:val="20"/>
        </w:rPr>
        <w:t xml:space="preserve">leur absence empêche la désambiguïsation géographique automatique.</w:t>
      </w:r>
    </w:p>
    <w:p>
      <w:pPr>
        <w:pStyle w:val="ListParagraph"/>
        <w:numPr>
          <w:ilvl w:val="0"/>
          <w:numId w:val="2"/>
        </w:numPr>
        <w:spacing w:after="80" w:before="0"/>
      </w:pPr>
      <w:r>
        <w:rPr>
          <w:rFonts w:ascii="Calibri" w:cs="Calibri" w:eastAsia="Calibri" w:hAnsi="Calibri"/>
          <w:b/>
          <w:bCs/>
          <w:color w:val="0F1117"/>
          <w:sz w:val="20"/>
          <w:szCs w:val="20"/>
        </w:rPr>
        <w:t xml:space="preserve">Relation hiérarchique explicite : </w:t>
      </w:r>
      <w:r>
        <w:rPr>
          <w:rFonts w:ascii="Calibri" w:cs="Calibri" w:eastAsia="Calibri" w:hAnsi="Calibri"/>
          <w:color w:val="4A5568"/>
          <w:sz w:val="20"/>
          <w:szCs w:val="20"/>
        </w:rPr>
        <w:t xml:space="preserve">si la colonne « Université de rattachement » est absente du XLSX, elle devra être reconstituée manuellement.</w:t>
      </w:r>
    </w:p>
    <w:p>
      <w:pPr>
        <w:pStyle w:val="ListParagraph"/>
        <w:numPr>
          <w:ilvl w:val="0"/>
          <w:numId w:val="2"/>
        </w:numPr>
        <w:spacing w:after="80" w:before="0"/>
      </w:pPr>
      <w:r>
        <w:rPr>
          <w:rFonts w:ascii="Calibri" w:cs="Calibri" w:eastAsia="Calibri" w:hAnsi="Calibri"/>
          <w:b/>
          <w:bCs/>
          <w:color w:val="0F1117"/>
          <w:sz w:val="20"/>
          <w:szCs w:val="20"/>
        </w:rPr>
        <w:t xml:space="preserve">Dates de création : </w:t>
      </w:r>
      <w:r>
        <w:rPr>
          <w:rFonts w:ascii="Calibri" w:cs="Calibri" w:eastAsia="Calibri" w:hAnsi="Calibri"/>
          <w:color w:val="4A5568"/>
          <w:sz w:val="20"/>
          <w:szCs w:val="20"/>
        </w:rPr>
        <w:t xml:space="preserve">permettraient d'enrichir les notices Wikidata et de valider les appariements par cohérence temporelle.</w:t>
      </w:r>
    </w:p>
    <w:p>
      <w:pPr>
        <w:spacing w:after="0" w:before="0"/>
      </w:pPr>
      <w:r>
        <w:rPr>
          <w:sz w:val="12"/>
          <w:szCs w:val="12"/>
        </w:rPr>
        <w:t xml:space="preserve"/>
      </w:r>
    </w:p>
    <w:p>
      <w:pPr>
        <w:pBdr>
          <w:bottom w:val="single" w:color="C45C3A" w:sz="8" w:space="4"/>
        </w:pBdr>
        <w:spacing w:after="100" w:before="280"/>
      </w:pPr>
      <w:r>
        <w:rPr>
          <w:rFonts w:ascii="Calibri" w:cs="Calibri" w:eastAsia="Calibri" w:hAnsi="Calibri"/>
          <w:b/>
          <w:bCs/>
          <w:color w:val="C45C3A"/>
          <w:sz w:val="28"/>
          <w:szCs w:val="28"/>
        </w:rPr>
        <w:t xml:space="preserve">07  </w:t>
      </w:r>
      <w:r>
        <w:rPr>
          <w:rFonts w:ascii="Calibri" w:cs="Calibri" w:eastAsia="Calibri" w:hAnsi="Calibri"/>
          <w:b/>
          <w:bCs/>
          <w:color w:val="0F1117"/>
          <w:sz w:val="28"/>
          <w:szCs w:val="28"/>
        </w:rPr>
        <w:t xml:space="preserve">DIFFICULTÉS RENCONTRÉES</w:t>
      </w:r>
    </w:p>
    <w:p>
      <w:pPr>
        <w:spacing w:after="0" w:before="0"/>
      </w:pPr>
      <w:r>
        <w:rPr>
          <w:sz w:val="8"/>
          <w:szCs w:val="8"/>
        </w:rPr>
        <w:t xml:space="preserve"/>
      </w:r>
    </w:p>
    <w:p>
      <w:pPr>
        <w:pStyle w:val="ListParagraph"/>
        <w:numPr>
          <w:ilvl w:val="0"/>
          <w:numId w:val="2"/>
        </w:numPr>
        <w:spacing w:after="80" w:before="0"/>
      </w:pPr>
      <w:r>
        <w:rPr>
          <w:rFonts w:ascii="Calibri" w:cs="Calibri" w:eastAsia="Calibri" w:hAnsi="Calibri"/>
          <w:b/>
          <w:bCs/>
          <w:color w:val="0F1117"/>
          <w:sz w:val="20"/>
          <w:szCs w:val="20"/>
        </w:rPr>
        <w:t xml:space="preserve">Absence d'identifiant officiel : </w:t>
      </w:r>
      <w:r>
        <w:rPr>
          <w:rFonts w:ascii="Calibri" w:cs="Calibri" w:eastAsia="Calibri" w:hAnsi="Calibri"/>
          <w:color w:val="4A5568"/>
          <w:sz w:val="20"/>
          <w:szCs w:val="20"/>
        </w:rPr>
        <w:t xml:space="preserve">le dataset ne contient pas de code ministériel ni d'identifiant sémantique. Toute stratégie d'identification repose sur des champs textuels sujets aux variantes.</w:t>
      </w:r>
    </w:p>
    <w:p>
      <w:pPr>
        <w:pStyle w:val="ListParagraph"/>
        <w:numPr>
          <w:ilvl w:val="0"/>
          <w:numId w:val="2"/>
        </w:numPr>
        <w:spacing w:after="80" w:before="0"/>
      </w:pPr>
      <w:r>
        <w:rPr>
          <w:rFonts w:ascii="Calibri" w:cs="Calibri" w:eastAsia="Calibri" w:hAnsi="Calibri"/>
          <w:b/>
          <w:bCs/>
          <w:color w:val="0F1117"/>
          <w:sz w:val="20"/>
          <w:szCs w:val="20"/>
        </w:rPr>
        <w:t xml:space="preserve">Variantes orthographiques : </w:t>
      </w:r>
      <w:r>
        <w:rPr>
          <w:rFonts w:ascii="Calibri" w:cs="Calibri" w:eastAsia="Calibri" w:hAnsi="Calibri"/>
          <w:color w:val="4A5568"/>
          <w:sz w:val="20"/>
          <w:szCs w:val="20"/>
        </w:rPr>
        <w:t xml:space="preserve">noms avec ou sans accents, en français ou en translittération arabe selon les sources — normalisation préalable indispensable.</w:t>
      </w:r>
    </w:p>
    <w:p>
      <w:pPr>
        <w:pStyle w:val="ListParagraph"/>
        <w:numPr>
          <w:ilvl w:val="0"/>
          <w:numId w:val="2"/>
        </w:numPr>
        <w:spacing w:after="80" w:before="0"/>
      </w:pPr>
      <w:r>
        <w:rPr>
          <w:rFonts w:ascii="Calibri" w:cs="Calibri" w:eastAsia="Calibri" w:hAnsi="Calibri"/>
          <w:b/>
          <w:bCs/>
          <w:color w:val="0F1117"/>
          <w:sz w:val="20"/>
          <w:szCs w:val="20"/>
        </w:rPr>
        <w:t xml:space="preserve">Couverture inégale de Wikidata : </w:t>
      </w:r>
      <w:r>
        <w:rPr>
          <w:rFonts w:ascii="Calibri" w:cs="Calibri" w:eastAsia="Calibri" w:hAnsi="Calibri"/>
          <w:color w:val="4A5568"/>
          <w:sz w:val="20"/>
          <w:szCs w:val="20"/>
        </w:rPr>
        <w:t xml:space="preserve">les 12 universités mères sont bien documentées, mais de nombreux établissements affiliés récents sont absents ou avec notices vides.</w:t>
      </w:r>
    </w:p>
    <w:p>
      <w:pPr>
        <w:pStyle w:val="ListParagraph"/>
        <w:numPr>
          <w:ilvl w:val="0"/>
          <w:numId w:val="2"/>
        </w:numPr>
        <w:spacing w:after="80" w:before="0"/>
      </w:pPr>
      <w:r>
        <w:rPr>
          <w:rFonts w:ascii="Calibri" w:cs="Calibri" w:eastAsia="Calibri" w:hAnsi="Calibri"/>
          <w:b/>
          <w:bCs/>
          <w:color w:val="0F1117"/>
          <w:sz w:val="20"/>
          <w:szCs w:val="20"/>
        </w:rPr>
        <w:t xml:space="preserve">Inaccessibilité directe du XLSX : </w:t>
      </w:r>
      <w:r>
        <w:rPr>
          <w:rFonts w:ascii="Calibri" w:cs="Calibri" w:eastAsia="Calibri" w:hAnsi="Calibri"/>
          <w:color w:val="4A5568"/>
          <w:sz w:val="20"/>
          <w:szCs w:val="20"/>
        </w:rPr>
        <w:t xml:space="preserve">le fichier source n'étant pas téléchargeable programmatiquement sans authentification, certains champs n'ont pu être vérifiés directement.</w:t>
      </w:r>
    </w:p>
    <w:p>
      <w:pPr>
        <w:spacing w:after="0" w:before="0"/>
      </w:pPr>
      <w:r>
        <w:rPr>
          <w:sz w:val="12"/>
          <w:szCs w:val="12"/>
        </w:rPr>
        <w:t xml:space="preserve"/>
      </w:r>
    </w:p>
    <w:p>
      <w:pPr>
        <w:pBdr>
          <w:bottom w:val="single" w:color="C45C3A" w:sz="8" w:space="4"/>
        </w:pBdr>
        <w:spacing w:after="100" w:before="280"/>
      </w:pPr>
      <w:r>
        <w:rPr>
          <w:rFonts w:ascii="Calibri" w:cs="Calibri" w:eastAsia="Calibri" w:hAnsi="Calibri"/>
          <w:b/>
          <w:bCs/>
          <w:color w:val="C45C3A"/>
          <w:sz w:val="28"/>
          <w:szCs w:val="28"/>
        </w:rPr>
        <w:t xml:space="preserve">08  </w:t>
      </w:r>
      <w:r>
        <w:rPr>
          <w:rFonts w:ascii="Calibri" w:cs="Calibri" w:eastAsia="Calibri" w:hAnsi="Calibri"/>
          <w:b/>
          <w:bCs/>
          <w:color w:val="0F1117"/>
          <w:sz w:val="28"/>
          <w:szCs w:val="28"/>
        </w:rPr>
        <w:t xml:space="preserve">CONCLUSION</w:t>
      </w:r>
    </w:p>
    <w:p>
      <w:pPr>
        <w:spacing w:after="0" w:before="0"/>
      </w:pPr>
      <w:r>
        <w:rPr>
          <w:sz w:val="8"/>
          <w:szCs w:val="8"/>
        </w:rPr>
        <w:t xml:space="preserve"/>
      </w:r>
    </w:p>
    <w:p>
      <w:pPr>
        <w:spacing w:after="120" w:before="0"/>
        <w:jc w:val="both"/>
      </w:pPr>
      <w:r>
        <w:rPr>
          <w:rFonts w:ascii="Calibri" w:cs="Calibri" w:eastAsia="Calibri" w:hAnsi="Calibri"/>
          <w:color w:val="4A5568"/>
          <w:sz w:val="20"/>
          <w:szCs w:val="20"/>
        </w:rPr>
        <w:t xml:space="preserve">Ce travail hors séance a permis de construire un diagnostic d'ingénierie des données solide sur le jeu de données MESRSI 2024-2025. Les </w:t>
      </w:r>
      <w:r>
        <w:rPr>
          <w:rFonts w:ascii="Calibri" w:cs="Calibri" w:eastAsia="Calibri" w:hAnsi="Calibri"/>
          <w:b/>
          <w:bCs/>
          <w:color w:val="0F1117"/>
          <w:sz w:val="20"/>
          <w:szCs w:val="20"/>
        </w:rPr>
        <w:t xml:space="preserve">12 universités publiques marocaines</w:t>
      </w:r>
      <w:r>
        <w:rPr>
          <w:rFonts w:ascii="Calibri" w:cs="Calibri" w:eastAsia="Calibri" w:hAnsi="Calibri"/>
          <w:color w:val="4A5568"/>
          <w:sz w:val="20"/>
          <w:szCs w:val="20"/>
        </w:rPr>
        <w:t xml:space="preserve"> peuvent être alignées avec un niveau de confiance élevé sur Wikidata grâce à la triangulation nom + ville + site web. Les entités géographiques sont alignables sur GeoNames de manière quasi systématique après normalisation des variantes orthographiques.</w:t>
      </w:r>
    </w:p>
    <w:p>
      <w:pPr>
        <w:spacing w:after="120" w:before="0"/>
        <w:jc w:val="both"/>
      </w:pPr>
      <w:r>
        <w:rPr>
          <w:rFonts w:ascii="Calibri" w:cs="Calibri" w:eastAsia="Calibri" w:hAnsi="Calibri"/>
          <w:color w:val="4A5568"/>
          <w:sz w:val="20"/>
          <w:szCs w:val="20"/>
        </w:rPr>
        <w:t xml:space="preserve">La stratégie d'identification proposée — URI locales préfixées </w:t>
      </w:r>
      <w:r>
        <w:rPr>
          <w:rFonts w:ascii="Calibri" w:cs="Calibri" w:eastAsia="Calibri" w:hAnsi="Calibri"/>
          <w:b/>
          <w:bCs/>
          <w:color w:val="0F1117"/>
          <w:sz w:val="20"/>
          <w:szCs w:val="20"/>
        </w:rPr>
        <w:t xml:space="preserve">MA-{SIGLE}</w:t>
      </w:r>
      <w:r>
        <w:rPr>
          <w:rFonts w:ascii="Calibri" w:cs="Calibri" w:eastAsia="Calibri" w:hAnsi="Calibri"/>
          <w:color w:val="4A5568"/>
          <w:sz w:val="20"/>
          <w:szCs w:val="20"/>
        </w:rPr>
        <w:t xml:space="preserve">, complétées par la ville en cas de collision — est opérationnelle pour le TP2 sans données supplémentaires. Elle devra être remplacée par un identifiant officiel MESRSI dès qu'il sera disponible, afin de garantir la pérennité des URI publiées dans le graphe.</w:t>
      </w:r>
    </w:p>
    <w:p>
      <w:pPr>
        <w:spacing w:after="0" w:before="0"/>
      </w:pPr>
      <w:r>
        <w:rPr>
          <w:sz w:val="16"/>
          <w:szCs w:val="1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9B5" w:sz="4"/>
              <w:left w:val="single" w:color="C45C3A" w:sz="18"/>
              <w:bottom w:val="single" w:color="D4C9B5" w:sz="4"/>
              <w:right w:val="single" w:color="D4C9B5" w:sz="4"/>
            </w:tcBorders>
            <w:shd w:fill="FEF3E2" w:val="clear"/>
            <w:tcMar>
              <w:top w:type="dxa" w:w="120"/>
              <w:left w:type="dxa" w:w="160"/>
              <w:bottom w:type="dxa" w:w="120"/>
              <w:right w:type="dxa" w:w="160"/>
            </w:tcMar>
          </w:tcPr>
          <w:p>
            <w:pPr>
              <w:spacing w:after="0"/>
            </w:pPr>
            <w:r>
              <w:rPr>
                <w:rFonts w:ascii="Calibri" w:cs="Calibri" w:eastAsia="Calibri" w:hAnsi="Calibri"/>
                <w:b/>
                <w:bCs/>
                <w:color w:val="0F1117"/>
                <w:sz w:val="20"/>
                <w:szCs w:val="20"/>
              </w:rPr>
              <w:t xml:space="preserve">Apport pour le TP2 : </w:t>
            </w:r>
            <w:r>
              <w:rPr>
                <w:rFonts w:ascii="Calibri" w:cs="Calibri" w:eastAsia="Calibri" w:hAnsi="Calibri"/>
                <w:color w:val="4A5568"/>
                <w:sz w:val="20"/>
                <w:szCs w:val="20"/>
              </w:rPr>
              <w:t xml:space="preserve">Les entités normalisées et les identifiants définis ici serviront directement à construire les triplets RDF/Turtle. Les liens owl:sameAs vers Wikidata et GeoNames, et les skos:closeMatch vers ISCED-F, sont documentés et prêts à être instanciés dans le graphe.</w:t>
            </w:r>
          </w:p>
        </w:tc>
      </w:tr>
    </w:tbl>
    <w:p>
      <w:pPr>
        <w:spacing w:after="0" w:before="0"/>
      </w:pPr>
      <w:r>
        <w:rPr>
          <w:sz w:val="12"/>
          <w:szCs w:val="12"/>
        </w:rPr>
        <w:t xml:space="preserve"/>
      </w:r>
    </w:p>
    <w:sectPr>
      <w:headerReference w:type="default" r:id="rId7"/>
      <w:footerReference w:type="default" r:id="rId8"/>
      <w:pgSz w:w="11906" w:h="16838" w:orient="portrait"/>
      <w:pgMar w:top="1700" w:right="1300" w:bottom="1400" w:left="13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9B5" w:sz="4"/>
      </w:pBdr>
      <w:tabs>
        <w:tab w:val="right" w:pos="9026"/>
      </w:tabs>
      <w:spacing w:before="100"/>
    </w:pPr>
    <w:r>
      <w:rPr>
        <w:rFonts w:ascii="Calibri" w:cs="Calibri" w:eastAsia="Calibri" w:hAnsi="Calibri"/>
        <w:color w:val="9CA3AF"/>
        <w:sz w:val="16"/>
        <w:szCs w:val="16"/>
      </w:rPr>
      <w:t xml:space="preserve">team_cl</w:t>
    </w:r>
    <w:r>
      <w:rPr>
        <w:sz w:val="16"/>
        <w:szCs w:val="16"/>
      </w:rPr>
      <w:t xml:space="preserve">	</w:t>
    </w:r>
    <w:r>
      <w:rPr>
        <w:rFonts w:ascii="Calibri" w:cs="Calibri" w:eastAsia="Calibri" w:hAnsi="Calibri"/>
        <w:color w:val="9CA3AF"/>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5C3A" w:sz="6"/>
      </w:pBdr>
      <w:spacing w:after="160"/>
    </w:pPr>
    <w:r>
      <w:rPr>
        <w:rFonts w:ascii="Calibri" w:cs="Calibri" w:eastAsia="Calibri" w:hAnsi="Calibri"/>
        <w:color w:val="9CA3AF"/>
        <w:sz w:val="16"/>
        <w:szCs w:val="16"/>
      </w:rPr>
      <w:t xml:space="preserve">TP1 · LINKED OPEN DATA</w:t>
    </w:r>
    <w:r>
      <w:rPr>
        <w:rFonts w:ascii="Calibri" w:cs="Calibri" w:eastAsia="Calibri" w:hAnsi="Calibri"/>
        <w:b/>
        <w:bCs/>
        <w:color w:val="0F1117"/>
        <w:sz w:val="16"/>
        <w:szCs w:val="16"/>
      </w:rPr>
      <w:t xml:space="preserve">  |  Rapport hors séance — Universités Publiques MESRSI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Calibri" w:cs="Calibri" w:eastAsia="Calibri" w:hAnsi="Calibri"/>
        <w:color w:val="C45C3A"/>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56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0F1117"/>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0F11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2026-04-18T00:02:42.201Z</dcterms:created>
  <dcterms:modified xsi:type="dcterms:W3CDTF">2026-04-18T00:02:42.202Z</dcterms:modified>
</cp:coreProperties>
</file>

<file path=docProps/custom.xml><?xml version="1.0" encoding="utf-8"?>
<Properties xmlns="http://schemas.openxmlformats.org/officeDocument/2006/custom-properties" xmlns:vt="http://schemas.openxmlformats.org/officeDocument/2006/docPropsVTypes"/>
</file>