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ISWD752 - Evaluación práctica 01</w:t>
      </w:r>
    </w:p>
    <w:p>
      <w:pPr>
        <w:jc w:val="center"/>
      </w:pPr>
      <w:r>
        <w:rPr>
          <w:sz w:val="20"/>
        </w:rPr>
        <w:t>Proceso completo de pruebas sobre un componente Java | Duración: 120 minutos | Trabajo individual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8208"/>
            <w:vAlign w:val="center"/>
            <w:shd w:fill="D9EAF7"/>
          </w:tcPr>
          <w:p>
            <w:r/>
            <w:r>
              <w:rPr>
                <w:b/>
                <w:sz w:val="18"/>
              </w:rPr>
              <w:t>Completar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Estudiante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____________________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Paralelo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GR1SW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Puntaje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________ / 10,00</w:t>
            </w:r>
          </w:p>
        </w:tc>
      </w:tr>
    </w:tbl>
    <w:p/>
    <w:p>
      <w:pPr>
        <w:pStyle w:val="Heading1"/>
      </w:pPr>
      <w:r>
        <w:t>1. Propósito y alcance</w:t>
      </w:r>
    </w:p>
    <w:p>
      <w:pPr>
        <w:spacing w:after="60" w:line="240" w:lineRule="auto"/>
      </w:pPr>
      <w:r>
        <w:rPr>
          <w:sz w:val="20"/>
        </w:rPr>
        <w:t>Demostrar que usted puede ejecutar de forma autónoma un ciclo de pruebas sobre un componente: comprender la base de prueba, planificar, analizar, diseñar, implementar y ejecutar pruebas; registrar evidencia; realizar análisis de caja blanca; y cerrar con confirmación, regresión e informe final.</w:t>
      </w:r>
    </w:p>
    <w:p>
      <w:pPr>
        <w:spacing w:after="60" w:line="240" w:lineRule="auto"/>
      </w:pPr>
      <w:r>
        <w:rPr>
          <w:sz w:val="20"/>
        </w:rPr>
        <w:t>La evaluación NO mide velocidad de programación. La evidencia y el razonamiento técnico tienen mayor peso que la cantidad de código escrito.</w:t>
      </w:r>
    </w:p>
    <w:p>
      <w:pPr>
        <w:pStyle w:val="Heading1"/>
      </w:pPr>
      <w:r>
        <w:t>2. Reglas de la evaluación</w:t>
      </w:r>
    </w:p>
    <w:p>
      <w:pPr>
        <w:pStyle w:val="ListBullet"/>
        <w:spacing w:after="20"/>
      </w:pPr>
      <w:r>
        <w:rPr>
          <w:sz w:val="19"/>
        </w:rPr>
        <w:t>Trabajo individual. No se permite compartir código, casos de prueba, documentos ni resultados.</w:t>
      </w:r>
    </w:p>
    <w:p>
      <w:pPr>
        <w:pStyle w:val="ListBullet"/>
        <w:spacing w:after="20"/>
      </w:pPr>
      <w:r>
        <w:rPr>
          <w:sz w:val="19"/>
        </w:rPr>
        <w:t>Durante la fase inicial trabaje únicamente con la especificación y el JAR compilado. No dispone del código fuente del componente. No está permitido decompilar, desensamblar ni usar el visor de bytecode/decompilador del IDE antes de que el docente libere el fuente V1.</w:t>
      </w:r>
    </w:p>
    <w:p>
      <w:pPr>
        <w:pStyle w:val="ListBullet"/>
        <w:spacing w:after="20"/>
      </w:pPr>
      <w:r>
        <w:rPr>
          <w:sz w:val="19"/>
        </w:rPr>
        <w:t>No modifique el archivo JAR inicial. El docente liberará recursos adicionales en los momentos indicados.</w:t>
      </w:r>
    </w:p>
    <w:p>
      <w:pPr>
        <w:pStyle w:val="ListBullet"/>
        <w:spacing w:after="20"/>
      </w:pPr>
      <w:r>
        <w:rPr>
          <w:sz w:val="19"/>
        </w:rPr>
        <w:t>Registre sus decisiones en la plantilla de evidencias antes de pasar a la siguiente fase.</w:t>
      </w:r>
    </w:p>
    <w:p>
      <w:pPr>
        <w:pStyle w:val="ListBullet"/>
        <w:spacing w:after="20"/>
      </w:pPr>
      <w:r>
        <w:rPr>
          <w:sz w:val="19"/>
        </w:rPr>
        <w:t>Puede usar su IDE y documentación técnica de Java/JUnit. La interpretación de requisitos, diseño de casos y conclusiones deben ser propias.</w:t>
      </w:r>
    </w:p>
    <w:p>
      <w:pPr>
        <w:pStyle w:val="ListBullet"/>
        <w:spacing w:after="20"/>
      </w:pPr>
      <w:r>
        <w:rPr>
          <w:sz w:val="19"/>
        </w:rPr>
        <w:t>Si una prueba falla, registre la evidencia antes de intentar explicar la causa.</w:t>
      </w:r>
    </w:p>
    <w:p>
      <w:pPr>
        <w:pStyle w:val="ListBullet"/>
        <w:spacing w:after="20"/>
      </w:pPr>
      <w:r>
        <w:rPr>
          <w:sz w:val="19"/>
        </w:rPr>
        <w:t>No afirme que el software está “libre de defectos”; limite sus conclusiones al alcance y evidencia obtenidos.</w:t>
      </w:r>
    </w:p>
    <w:p>
      <w:pPr>
        <w:pStyle w:val="Heading1"/>
      </w:pPr>
      <w:r>
        <w:t>3. Cronograma obligatorio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7"/>
              </w:rPr>
              <w:t>Minutos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7"/>
              </w:rPr>
              <w:t>Fase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7"/>
              </w:rPr>
              <w:t>Producto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0-15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Planificación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PLAN-01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15-25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Análisis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ANAL-01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25-40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Diseño funcional / caja negra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TC-01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40-55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Implementación JUnit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Código de pruebas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55-65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Ejecución y evidencia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EXEC-01 / DEF-01 si aplica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65-85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Caja blanca (el docente libera fuente V1)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WB-01 + pruebas adicionales si aplica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85-100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Nuevo build y confirmación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CONF-01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100-108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Regresión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REG-01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108-115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Cierre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TSR-01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115-120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Defensa oral breve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Pregunta del docente</w:t>
            </w:r>
          </w:p>
        </w:tc>
      </w:tr>
    </w:tbl>
    <w:p/>
    <w:p>
      <w:pPr>
        <w:pStyle w:val="Heading1"/>
      </w:pPr>
      <w:r>
        <w:t>4. Entregables</w:t>
      </w:r>
    </w:p>
    <w:p>
      <w:pPr>
        <w:pStyle w:val="ListBullet"/>
        <w:spacing w:after="20"/>
      </w:pPr>
      <w:r>
        <w:rPr>
          <w:sz w:val="19"/>
        </w:rPr>
        <w:t>Documento de evidencias completo en DOCX o PDF.</w:t>
      </w:r>
    </w:p>
    <w:p>
      <w:pPr>
        <w:pStyle w:val="ListBullet"/>
        <w:spacing w:after="20"/>
      </w:pPr>
      <w:r>
        <w:rPr>
          <w:sz w:val="19"/>
        </w:rPr>
        <w:t>Archivo `CalculadoraEnvioTest.java` con sus pruebas.</w:t>
      </w:r>
    </w:p>
    <w:p>
      <w:pPr>
        <w:pStyle w:val="ListBullet"/>
        <w:spacing w:after="20"/>
      </w:pPr>
      <w:r>
        <w:rPr>
          <w:sz w:val="19"/>
        </w:rPr>
        <w:t>No entregue el JAR ni archivos generados por el IDE.</w:t>
      </w:r>
    </w:p>
    <w:p>
      <w:pPr>
        <w:pStyle w:val="ListBullet"/>
        <w:spacing w:after="20"/>
      </w:pPr>
      <w:r>
        <w:rPr>
          <w:sz w:val="19"/>
        </w:rPr>
        <w:t>Nombre de carpeta final: APELLIDO_NOMBRE_ISWD752_EP01.</w:t>
      </w:r>
    </w:p>
    <w:p>
      <w:pPr>
        <w:pStyle w:val="Heading1"/>
      </w:pPr>
      <w:r>
        <w:t>5. Criterios de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8208"/>
            <w:vAlign w:val="center"/>
            <w:shd w:fill="D9EAF7"/>
          </w:tcPr>
          <w:p>
            <w:r/>
            <w:r>
              <w:rPr>
                <w:b/>
                <w:sz w:val="17"/>
              </w:rPr>
              <w:t>Criterio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7"/>
              </w:rPr>
              <w:t>Puntos</w:t>
            </w:r>
          </w:p>
        </w:tc>
      </w:tr>
      <w:tr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Planificación: objeto, objetivo, base, nivel, riesgo y criterio de salida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1,0</w:t>
            </w:r>
          </w:p>
        </w:tc>
      </w:tr>
      <w:tr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Análisis y condiciones de prueba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1,0</w:t>
            </w:r>
          </w:p>
        </w:tc>
      </w:tr>
      <w:tr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Diseño funcional / caja negra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1,5</w:t>
            </w:r>
          </w:p>
        </w:tc>
      </w:tr>
      <w:tr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Implementación JUnit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1,0</w:t>
            </w:r>
          </w:p>
        </w:tc>
      </w:tr>
      <w:tr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Ejecución y evidencia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1,0</w:t>
            </w:r>
          </w:p>
        </w:tc>
      </w:tr>
      <w:tr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Registro y análisis de discrepancia/defecto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1,0</w:t>
            </w:r>
          </w:p>
        </w:tc>
      </w:tr>
      <w:tr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Caja blanca y análisis de decisiones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1,5</w:t>
            </w:r>
          </w:p>
        </w:tc>
      </w:tr>
      <w:tr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Confirmación y regresión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1,0</w:t>
            </w:r>
          </w:p>
        </w:tc>
      </w:tr>
      <w:tr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Informe final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0,5</w:t>
            </w:r>
          </w:p>
        </w:tc>
      </w:tr>
      <w:tr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Defensa oral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0,5</w:t>
            </w:r>
          </w:p>
        </w:tc>
      </w:tr>
    </w:tbl>
    <w:p/>
    <w:p>
      <w:pPr>
        <w:pStyle w:val="Heading1"/>
      </w:pPr>
      <w:r>
        <w:t>6. Secuencia de trabajo</w:t>
      </w:r>
    </w:p>
    <w:p>
      <w:pPr>
        <w:pStyle w:val="ListNumber"/>
        <w:spacing w:after="20"/>
      </w:pPr>
      <w:r>
        <w:rPr>
          <w:sz w:val="19"/>
        </w:rPr>
        <w:t>Lea la base de prueba y registre PLAN-01 antes de crear casos.</w:t>
      </w:r>
    </w:p>
    <w:p>
      <w:pPr>
        <w:pStyle w:val="ListNumber"/>
        <w:spacing w:after="20"/>
      </w:pPr>
      <w:r>
        <w:rPr>
          <w:sz w:val="19"/>
        </w:rPr>
        <w:t>Derive condiciones de prueba (ANAL-01).</w:t>
      </w:r>
    </w:p>
    <w:p>
      <w:pPr>
        <w:pStyle w:val="ListNumber"/>
        <w:spacing w:after="20"/>
      </w:pPr>
      <w:r>
        <w:rPr>
          <w:sz w:val="19"/>
        </w:rPr>
        <w:t>Diseñe al menos seis casos funcionales usando solamente la especificación; aún no inspeccione código fuente.</w:t>
      </w:r>
    </w:p>
    <w:p>
      <w:pPr>
        <w:pStyle w:val="ListNumber"/>
        <w:spacing w:after="20"/>
      </w:pPr>
      <w:r>
        <w:rPr>
          <w:sz w:val="19"/>
        </w:rPr>
        <w:t>Implemente los casos seleccionados con JUnit y ejecútelos.</w:t>
      </w:r>
    </w:p>
    <w:p>
      <w:pPr>
        <w:pStyle w:val="ListNumber"/>
        <w:spacing w:after="20"/>
      </w:pPr>
      <w:r>
        <w:rPr>
          <w:sz w:val="19"/>
        </w:rPr>
        <w:t>Registre esperado, obtenido y estado. Si aparece una discrepancia, complete DEF-01 con evidencia reproducible.</w:t>
      </w:r>
    </w:p>
    <w:p>
      <w:pPr>
        <w:pStyle w:val="ListNumber"/>
        <w:spacing w:after="20"/>
      </w:pPr>
      <w:r>
        <w:rPr>
          <w:sz w:val="19"/>
        </w:rPr>
        <w:t>Al minuto 65, use el fuente V1 liberado por el docente para identificar decisiones/rutas y completar WB-01. Añada pruebas si encuentra decisiones no ejercitadas.</w:t>
      </w:r>
    </w:p>
    <w:p>
      <w:pPr>
        <w:pStyle w:val="ListNumber"/>
        <w:spacing w:after="20"/>
      </w:pPr>
      <w:r>
        <w:rPr>
          <w:sz w:val="19"/>
        </w:rPr>
        <w:t>Al minuto 85, sustituya el JAR por el build entregado. Ejecute primero la prueba asociada a la discrepancia y registre CONF-01.</w:t>
      </w:r>
    </w:p>
    <w:p>
      <w:pPr>
        <w:pStyle w:val="ListNumber"/>
        <w:spacing w:after="20"/>
      </w:pPr>
      <w:r>
        <w:rPr>
          <w:sz w:val="19"/>
        </w:rPr>
        <w:t>Ejecute después toda su suite y registre REG-01.</w:t>
      </w:r>
    </w:p>
    <w:p>
      <w:pPr>
        <w:pStyle w:val="ListNumber"/>
        <w:spacing w:after="20"/>
      </w:pPr>
      <w:r>
        <w:rPr>
          <w:sz w:val="19"/>
        </w:rPr>
        <w:t>Complete TSR-01 con una conclusión técnica limitada a la evidencia obtenida.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7" w:right="936" w:bottom="936" w:left="936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p>
    <w:pPr>
      <w:spacing w:after="0" w:line="192" w:lineRule="auto"/>
      <w:jc w:val="center"/>
    </w:pPr>
    <w:r>
      <w:rPr>
        <w:rFonts w:ascii="Cambria" w:hAnsi="Cambria"/>
        <w:b w:val="0"/>
        <w:i w:val="0"/>
        <w:color w:val="6B7280"/>
        <w:sz w:val="13"/>
      </w:rPr>
      <w:t>Escuela Politécnica Nacional · Av. Ladrón de Guevara E11-253 · Quito - Ecuador  |  FIS · Edificio 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39"/>
      <w:gridCol w:w="3439"/>
      <w:gridCol w:w="3439"/>
    </w:tblGrid>
    <w:tr>
      <w:tc>
        <w:tcPr>
          <w:tcW w:type="dxa" w:w="1077"/>
          <w:tcMar>
            <w:top w:w="0" w:type="dxa"/>
            <w:start w:w="20" w:type="dxa"/>
            <w:bottom w:w="0" w:type="dxa"/>
            <w:end w:w="20" w:type="dxa"/>
          </w:tcMar>
          <w:vAlign w:val="center"/>
        </w:tcPr>
        <w:p>
          <w:pPr>
            <w:spacing w:after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14000" cy="25476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pn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4000" cy="2547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80"/>
          <w:tcMar>
            <w:top w:w="0" w:type="dxa"/>
            <w:start w:w="20" w:type="dxa"/>
            <w:bottom w:w="0" w:type="dxa"/>
            <w:end w:w="20" w:type="dxa"/>
          </w:tcMar>
          <w:vAlign w:val="center"/>
        </w:tcPr>
        <w:p>
          <w:pPr>
            <w:spacing w:after="0" w:line="192" w:lineRule="auto"/>
            <w:jc w:val="center"/>
          </w:pPr>
          <w:r>
            <w:rPr>
              <w:rFonts w:ascii="Cambria" w:hAnsi="Cambria"/>
              <w:b/>
              <w:i w:val="0"/>
              <w:color w:val="003B70"/>
              <w:sz w:val="16"/>
            </w:rPr>
            <w:t>ESCUELA POLITÉCNICA NACIONAL</w:t>
          </w:r>
          <w:r>
            <w:rPr>
              <w:rFonts w:ascii="Cambria" w:hAnsi="Cambria"/>
              <w:b/>
              <w:i w:val="0"/>
              <w:color w:val="202733"/>
              <w:sz w:val="15"/>
            </w:rPr>
            <w:br/>
            <w:t>FACULTAD DE INGENIERÍA DE SISTEMAS</w:t>
          </w:r>
          <w:r>
            <w:rPr>
              <w:rFonts w:ascii="Cambria" w:hAnsi="Cambria"/>
              <w:b w:val="0"/>
              <w:i w:val="0"/>
              <w:color w:val="5B6573"/>
              <w:sz w:val="14"/>
            </w:rPr>
            <w:br/>
            <w:t>ISWD752 · VERIFICACIÓN Y VALIDACIÓN DE SOFTWARE</w:t>
          </w:r>
        </w:p>
      </w:tc>
      <w:tc>
        <w:tcPr>
          <w:tcW w:type="dxa" w:w="1361"/>
          <w:tcMar>
            <w:top w:w="0" w:type="dxa"/>
            <w:start w:w="20" w:type="dxa"/>
            <w:bottom w:w="0" w:type="dxa"/>
            <w:end w:w="20" w:type="dxa"/>
          </w:tcMar>
          <w:vAlign w:val="center"/>
        </w:tcPr>
        <w:p>
          <w:pPr>
            <w:spacing w:after="0"/>
            <w:jc w:val="center"/>
          </w:pPr>
          <w:r>
            <w:rPr>
              <w:rFonts w:ascii="Cambria" w:hAnsi="Cambria"/>
              <w:b/>
              <w:i w:val="0"/>
              <w:color w:val="003B70"/>
              <w:sz w:val="30"/>
            </w:rPr>
            <w:t>FIS</w:t>
          </w:r>
          <w:r>
            <w:rPr>
              <w:rFonts w:ascii="Cambria" w:hAnsi="Cambria"/>
              <w:b/>
              <w:i w:val="0"/>
              <w:color w:val="D52B1E"/>
              <w:sz w:val="14"/>
            </w:rPr>
            <w:br/>
            <w:t>EPN</w:t>
          </w:r>
        </w:p>
      </w:tc>
    </w:tr>
  </w:tbl>
  <w:tbl>
    <w:tblPr>
      <w:tblW w:type="auto" w:w="0"/>
      <w:jc w:val="center"/>
      <w:tblLook w:firstColumn="1" w:firstRow="1" w:lastColumn="0" w:lastRow="0" w:noHBand="0" w:noVBand="1" w:val="04A0"/>
    </w:tblPr>
    <w:tblGrid>
      <w:gridCol w:w="10318"/>
    </w:tblGrid>
    <w:tr>
      <w:tc>
        <w:tcPr>
          <w:tcW w:type="dxa" w:w="10318"/>
          <w:shd w:fill="D52B1E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21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