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ISWD752 - Base de prueba</w:t>
      </w:r>
    </w:p>
    <w:p>
      <w:pPr>
        <w:jc w:val="center"/>
      </w:pPr>
      <w:r>
        <w:rPr>
          <w:sz w:val="20"/>
        </w:rPr>
        <w:t>Evaluación práctica 01 | Componente: CalculadoraEnvio</w:t>
      </w:r>
    </w:p>
    <w:p/>
    <w:p>
      <w:pPr>
        <w:pStyle w:val="Heading1"/>
      </w:pPr>
      <w:r>
        <w:t>1. Contexto</w:t>
      </w:r>
    </w:p>
    <w:p>
      <w:pPr>
        <w:spacing w:after="60" w:line="240" w:lineRule="auto"/>
      </w:pPr>
      <w:r>
        <w:rPr>
          <w:sz w:val="20"/>
        </w:rPr>
        <w:t>Una tienda electrónica requiere calcular el costo de envío de una compra según el monto y la condición de cliente Premium. El componente bajo prueba es una clase Java denominada `CalculadoraEnvio`.</w:t>
      </w:r>
    </w:p>
    <w:p>
      <w:pPr>
        <w:pStyle w:val="Heading1"/>
      </w:pPr>
      <w:r>
        <w:t>2. Interfaz pública disponible</w:t>
      </w:r>
    </w:p>
    <w:p>
      <w:pPr>
        <w:spacing w:after="60" w:line="240" w:lineRule="auto"/>
      </w:pPr>
      <w:r>
        <w:rPr>
          <w:sz w:val="20"/>
        </w:rPr>
        <w:t>Clase: ec.edu.epn.envio.CalculadoraEnvio</w:t>
      </w:r>
    </w:p>
    <w:p>
      <w:pPr>
        <w:spacing w:after="60" w:line="240" w:lineRule="auto"/>
      </w:pPr>
      <w:r>
        <w:rPr>
          <w:sz w:val="20"/>
        </w:rPr>
        <w:t>Método: public double calcular(double monto, boolean premium)</w:t>
      </w:r>
    </w:p>
    <w:p>
      <w:pPr>
        <w:spacing w:after="60" w:line="240" w:lineRule="auto"/>
      </w:pPr>
      <w:r>
        <w:rPr>
          <w:sz w:val="20"/>
        </w:rPr>
        <w:t>Parámetros: `monto` representa el valor de la compra en USD; `premium` indica si el cliente posee la condición Premium.</w:t>
      </w:r>
    </w:p>
    <w:p>
      <w:pPr>
        <w:pStyle w:val="Heading1"/>
      </w:pPr>
      <w:r>
        <w:t>3. Requisitos / reglas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7"/>
        <w:gridCol w:w="5017"/>
      </w:tblGrid>
      <w:tr>
        <w:tc>
          <w:tcPr>
            <w:tcW w:type="dxa" w:w="1008"/>
            <w:vAlign w:val="center"/>
            <w:shd w:fill="D9EAF7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8784"/>
            <w:vAlign w:val="center"/>
            <w:shd w:fill="D9EAF7"/>
          </w:tcPr>
          <w:p>
            <w:r/>
            <w:r>
              <w:rPr>
                <w:b/>
                <w:sz w:val="18"/>
              </w:rPr>
              <w:t>Regla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R1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b w:val="0"/>
                <w:sz w:val="18"/>
              </w:rPr>
              <w:t>Un monto de compra negativo es inválido y debe ser rechazado mediante IllegalArgumentException.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R2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b w:val="0"/>
                <w:sz w:val="18"/>
              </w:rPr>
              <w:t>Un cliente Premium con una compra superior a USD 100 tiene envío gratuito.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R3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b w:val="0"/>
                <w:sz w:val="18"/>
              </w:rPr>
              <w:t>Un cliente Premium con una compra de hasta USD 100 paga USD 3 de envío.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R4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b w:val="0"/>
                <w:sz w:val="18"/>
              </w:rPr>
              <w:t>Un cliente no Premium con una compra inferior a USD 50 paga USD 7 de envío.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R5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b w:val="0"/>
                <w:sz w:val="18"/>
              </w:rPr>
              <w:t>Un cliente no Premium con una compra de USD 50 o más paga USD 5 de envío.</w:t>
            </w:r>
          </w:p>
        </w:tc>
      </w:tr>
    </w:tbl>
    <w:p/>
    <w:p>
      <w:pPr>
        <w:pStyle w:val="Heading1"/>
      </w:pPr>
      <w:r>
        <w:t>4. Restricciones de la evaluación</w:t>
      </w:r>
    </w:p>
    <w:p>
      <w:pPr>
        <w:pStyle w:val="ListBullet"/>
        <w:spacing w:after="20"/>
      </w:pPr>
      <w:r>
        <w:rPr>
          <w:sz w:val="19"/>
        </w:rPr>
        <w:t>No se evalúan impuestos, redondeos monetarios, descuentos ni cupones.</w:t>
      </w:r>
    </w:p>
    <w:p>
      <w:pPr>
        <w:pStyle w:val="ListBullet"/>
        <w:spacing w:after="20"/>
      </w:pPr>
      <w:r>
        <w:rPr>
          <w:sz w:val="19"/>
        </w:rPr>
        <w:t>No existen otros tipos de cliente además de Premium y no Premium.</w:t>
      </w:r>
    </w:p>
    <w:p>
      <w:pPr>
        <w:pStyle w:val="ListBullet"/>
        <w:spacing w:after="20"/>
      </w:pPr>
      <w:r>
        <w:rPr>
          <w:sz w:val="19"/>
        </w:rPr>
        <w:t>Durante la fase de caja negra, la especificación anterior constituye su base de prueba; no se proporciona el código fuente. No está permitido decompilar o inspeccionar el bytecode/JAR para inferir la implementación durante esta fase.</w:t>
      </w:r>
    </w:p>
    <w:p>
      <w:pPr>
        <w:pStyle w:val="ListBullet"/>
        <w:spacing w:after="20"/>
      </w:pPr>
      <w:r>
        <w:rPr>
          <w:sz w:val="19"/>
        </w:rPr>
        <w:t>Seleccione datos que permitan distinguir correctamente los comportamientos descritos por las reglas.</w:t>
      </w:r>
    </w:p>
    <w:p>
      <w:pPr>
        <w:pStyle w:val="ListBullet"/>
        <w:spacing w:after="20"/>
      </w:pPr>
      <w:r>
        <w:rPr>
          <w:sz w:val="19"/>
        </w:rPr>
        <w:t>Todo resultado esperado debe poder justificarse con uno o más IDs R1-R5.</w:t>
      </w:r>
    </w:p>
    <w:p>
      <w:pPr>
        <w:pStyle w:val="Heading1"/>
      </w:pPr>
      <w:r>
        <w:t>5. Objetivo general solicitado</w:t>
      </w:r>
    </w:p>
    <w:p>
      <w:pPr>
        <w:spacing w:after="60" w:line="240" w:lineRule="auto"/>
      </w:pPr>
      <w:r>
        <w:rPr>
          <w:sz w:val="20"/>
        </w:rPr>
        <w:t>Obtener evidencia suficiente para determinar si el componente satisface R1-R5 dentro del conjunto de casos diseñado y ejecutado durante la evaluación.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7" w:right="936" w:bottom="936" w:left="936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/>
  </w:p>
  <w:p>
    <w:pPr>
      <w:spacing w:after="0" w:line="192" w:lineRule="auto"/>
      <w:jc w:val="center"/>
    </w:pPr>
    <w:r>
      <w:rPr>
        <w:rFonts w:ascii="Cambria" w:hAnsi="Cambria"/>
        <w:b w:val="0"/>
        <w:i w:val="0"/>
        <w:color w:val="6B7280"/>
        <w:sz w:val="13"/>
      </w:rPr>
      <w:t>Escuela Politécnica Nacional · Av. Ladrón de Guevara E11-253 · Quito - Ecuador  |  FIS · Edificio 20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439"/>
      <w:gridCol w:w="3439"/>
      <w:gridCol w:w="3439"/>
    </w:tblGrid>
    <w:tr>
      <w:tc>
        <w:tcPr>
          <w:tcW w:type="dxa" w:w="1077"/>
          <w:tcMar>
            <w:top w:w="0" w:type="dxa"/>
            <w:start w:w="20" w:type="dxa"/>
            <w:bottom w:w="0" w:type="dxa"/>
            <w:end w:w="20" w:type="dxa"/>
          </w:tcMar>
          <w:vAlign w:val="center"/>
        </w:tcPr>
        <w:p>
          <w:pPr>
            <w:spacing w:after="0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14000" cy="25476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pn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4000" cy="2547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80"/>
          <w:tcMar>
            <w:top w:w="0" w:type="dxa"/>
            <w:start w:w="20" w:type="dxa"/>
            <w:bottom w:w="0" w:type="dxa"/>
            <w:end w:w="20" w:type="dxa"/>
          </w:tcMar>
          <w:vAlign w:val="center"/>
        </w:tcPr>
        <w:p>
          <w:pPr>
            <w:spacing w:after="0" w:line="192" w:lineRule="auto"/>
            <w:jc w:val="center"/>
          </w:pPr>
          <w:r>
            <w:rPr>
              <w:rFonts w:ascii="Cambria" w:hAnsi="Cambria"/>
              <w:b/>
              <w:i w:val="0"/>
              <w:color w:val="003B70"/>
              <w:sz w:val="16"/>
            </w:rPr>
            <w:t>ESCUELA POLITÉCNICA NACIONAL</w:t>
          </w:r>
          <w:r>
            <w:rPr>
              <w:rFonts w:ascii="Cambria" w:hAnsi="Cambria"/>
              <w:b/>
              <w:i w:val="0"/>
              <w:color w:val="202733"/>
              <w:sz w:val="15"/>
            </w:rPr>
            <w:br/>
            <w:t>FACULTAD DE INGENIERÍA DE SISTEMAS</w:t>
          </w:r>
          <w:r>
            <w:rPr>
              <w:rFonts w:ascii="Cambria" w:hAnsi="Cambria"/>
              <w:b w:val="0"/>
              <w:i w:val="0"/>
              <w:color w:val="5B6573"/>
              <w:sz w:val="14"/>
            </w:rPr>
            <w:br/>
            <w:t>ISWD752 · VERIFICACIÓN Y VALIDACIÓN DE SOFTWARE</w:t>
          </w:r>
        </w:p>
      </w:tc>
      <w:tc>
        <w:tcPr>
          <w:tcW w:type="dxa" w:w="1361"/>
          <w:tcMar>
            <w:top w:w="0" w:type="dxa"/>
            <w:start w:w="20" w:type="dxa"/>
            <w:bottom w:w="0" w:type="dxa"/>
            <w:end w:w="20" w:type="dxa"/>
          </w:tcMar>
          <w:vAlign w:val="center"/>
        </w:tcPr>
        <w:p>
          <w:pPr>
            <w:spacing w:after="0"/>
            <w:jc w:val="center"/>
          </w:pPr>
          <w:r>
            <w:rPr>
              <w:rFonts w:ascii="Cambria" w:hAnsi="Cambria"/>
              <w:b/>
              <w:i w:val="0"/>
              <w:color w:val="003B70"/>
              <w:sz w:val="30"/>
            </w:rPr>
            <w:t>FIS</w:t>
          </w:r>
          <w:r>
            <w:rPr>
              <w:rFonts w:ascii="Cambria" w:hAnsi="Cambria"/>
              <w:b/>
              <w:i w:val="0"/>
              <w:color w:val="D52B1E"/>
              <w:sz w:val="14"/>
            </w:rPr>
            <w:br/>
            <w:t>EPN</w:t>
          </w:r>
        </w:p>
      </w:tc>
    </w:tr>
  </w:tbl>
  <w:tbl>
    <w:tblPr>
      <w:tblW w:type="auto" w:w="0"/>
      <w:jc w:val="center"/>
      <w:tblLook w:firstColumn="1" w:firstRow="1" w:lastColumn="0" w:lastRow="0" w:noHBand="0" w:noVBand="1" w:val="04A0"/>
    </w:tblPr>
    <w:tblGrid>
      <w:gridCol w:w="10318"/>
    </w:tblGrid>
    <w:tr>
      <w:tc>
        <w:tcPr>
          <w:tcW w:type="dxa" w:w="10318"/>
          <w:shd w:fill="D52B1E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21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