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4ED4E6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格式合同智能审查系统 技术实施方案</w:t>
      </w:r>
    </w:p>
    <w:p w14:paraId="78C18B4D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 文档总则</w:t>
      </w:r>
      <w:bookmarkEnd w:id="0"/>
    </w:p>
    <w:p w14:paraId="52DF3EED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文档目的</w:t>
      </w:r>
      <w:bookmarkEnd w:id="1"/>
    </w:p>
    <w:p w14:paraId="0B43D7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为《格式合同智能审查系统》落地技术方案，基于业务需求说明书完成全维度技术拆解、架构设计、模块设计、流程设计、数据设计、部署与运维设计。用于指导研发开发、测试验收、架构评审、项目交付，统一前后端、服务端、数据层技术标准，保证系统可落地、可扩展、可运维、可私有化部署。</w:t>
      </w:r>
    </w:p>
    <w:p w14:paraId="3C9796E3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需求核心约束（技术落地硬性规则）</w:t>
      </w:r>
      <w:bookmarkEnd w:id="2"/>
    </w:p>
    <w:p w14:paraId="3528CE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所有技术设计严格遵循业务核心约束，无自定义扩展、无逻辑偏移：</w:t>
      </w:r>
    </w:p>
    <w:p w14:paraId="15DBE7F0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三阶固定执行顺序</w:t>
      </w:r>
      <w:r>
        <w:rPr>
          <w:rFonts w:ascii="Arial" w:hAnsi="Arial" w:eastAsia="等线" w:cs="Arial"/>
          <w:sz w:val="22"/>
        </w:rPr>
        <w:t>：审查流程强制遵循「条款篡改比对→填写数据校验→合规性审查」，顺序不可调换。</w:t>
      </w:r>
    </w:p>
    <w:p w14:paraId="32408FA6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全步骤可配置开关</w:t>
      </w:r>
      <w:r>
        <w:rPr>
          <w:rFonts w:ascii="Arial" w:hAnsi="Arial" w:eastAsia="等线" w:cs="Arial"/>
          <w:sz w:val="22"/>
        </w:rPr>
        <w:t>：三阶审查步骤独立启停，支持任意组合启用/禁用。</w:t>
      </w:r>
    </w:p>
    <w:p w14:paraId="09A6769F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模板驱动架构</w:t>
      </w:r>
      <w:r>
        <w:rPr>
          <w:rFonts w:ascii="Arial" w:hAnsi="Arial" w:eastAsia="等线" w:cs="Arial"/>
          <w:sz w:val="22"/>
        </w:rPr>
        <w:t>：所有审查规则、校验策略、比对基准均绑定合同模板，无需单次送审重复配置。</w:t>
      </w:r>
    </w:p>
    <w:p w14:paraId="2B9480DE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篡改精准判定边界</w:t>
      </w:r>
      <w:r>
        <w:rPr>
          <w:rFonts w:ascii="Arial" w:hAnsi="Arial" w:eastAsia="等线" w:cs="Arial"/>
          <w:sz w:val="22"/>
        </w:rPr>
        <w:t>：严格区分固定条款区、合法填充区、忽略区，仅固定条款禁止篡改，业务正常填写不判定风险。</w:t>
      </w:r>
    </w:p>
    <w:p w14:paraId="3B59C83E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可视化差异要求</w:t>
      </w:r>
      <w:r>
        <w:rPr>
          <w:rFonts w:ascii="Arial" w:hAnsi="Arial" w:eastAsia="等线" w:cs="Arial"/>
          <w:sz w:val="22"/>
        </w:rPr>
        <w:t>：支持双文档并排对比、滚动同步、字符级差异高亮、差异导航定位。</w:t>
      </w:r>
    </w:p>
    <w:p w14:paraId="5A894E2A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技术设计原则</w:t>
      </w:r>
      <w:bookmarkEnd w:id="3"/>
    </w:p>
    <w:p w14:paraId="1385D92B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分层解耦</w:t>
      </w:r>
      <w:r>
        <w:rPr>
          <w:rFonts w:ascii="Arial" w:hAnsi="Arial" w:eastAsia="等线" w:cs="Arial"/>
          <w:sz w:val="22"/>
        </w:rPr>
        <w:t>：接入层、编排层、能力层、数据层完全解耦，单一模块变更不影响整体架构。</w:t>
      </w:r>
    </w:p>
    <w:p w14:paraId="3ED9C84D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插件化可扩展</w:t>
      </w:r>
      <w:r>
        <w:rPr>
          <w:rFonts w:ascii="Arial" w:hAnsi="Arial" w:eastAsia="等线" w:cs="Arial"/>
          <w:sz w:val="22"/>
        </w:rPr>
        <w:t>：审查步骤、校验规则、合规模型均为插件化设计，支持后续新增审查维度。</w:t>
      </w:r>
    </w:p>
    <w:p w14:paraId="190F80B8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数据安全可控</w:t>
      </w:r>
      <w:r>
        <w:rPr>
          <w:rFonts w:ascii="Arial" w:hAnsi="Arial" w:eastAsia="等线" w:cs="Arial"/>
          <w:sz w:val="22"/>
        </w:rPr>
        <w:t>：全量数据本地化存储，支持私有化部署，数据不出企业内网。</w:t>
      </w:r>
    </w:p>
    <w:p w14:paraId="6641AC7E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高性能低延迟</w:t>
      </w:r>
      <w:r>
        <w:rPr>
          <w:rFonts w:ascii="Arial" w:hAnsi="Arial" w:eastAsia="等线" w:cs="Arial"/>
          <w:sz w:val="22"/>
        </w:rPr>
        <w:t>：满足百页级合同快速审查，适配企业高频送审场景。</w:t>
      </w:r>
    </w:p>
    <w:p w14:paraId="73322BAB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配置化大于代码化</w:t>
      </w:r>
      <w:r>
        <w:rPr>
          <w:rFonts w:ascii="Arial" w:hAnsi="Arial" w:eastAsia="等线" w:cs="Arial"/>
          <w:sz w:val="22"/>
        </w:rPr>
        <w:t>：所有业务规则、流程策略、风险阈值支持后台可视化配置，无需改代码发布。</w:t>
      </w:r>
    </w:p>
    <w:p w14:paraId="21663245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1.4 适用范围</w:t>
      </w:r>
      <w:bookmarkEnd w:id="4"/>
    </w:p>
    <w:p w14:paraId="0C57C6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本文档适用于系统架构设计、前后端开发、数据库设计、部署运维、测试验收、项目复盘全流程。</w:t>
      </w:r>
    </w:p>
    <w:p w14:paraId="74D0B7F0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2 整体架构设计</w:t>
      </w:r>
      <w:bookmarkEnd w:id="5"/>
    </w:p>
    <w:p w14:paraId="5A44228E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2.1 架构模式选型</w:t>
      </w:r>
      <w:bookmarkEnd w:id="6"/>
    </w:p>
    <w:p w14:paraId="76ACC7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</w:t>
      </w:r>
      <w:r>
        <w:rPr>
          <w:rFonts w:ascii="Arial" w:hAnsi="Arial" w:eastAsia="等线" w:cs="Arial"/>
          <w:b/>
          <w:sz w:val="22"/>
        </w:rPr>
        <w:t>分层服务架构（轻量化单体服务）</w:t>
      </w:r>
      <w:r>
        <w:rPr>
          <w:rFonts w:ascii="Arial" w:hAnsi="Arial" w:eastAsia="等线" w:cs="Arial"/>
          <w:sz w:val="22"/>
        </w:rPr>
        <w:t>，适配企业内部系统体量，兼顾开发效率与扩展性；核心能力原子化拆分，支持独立API调用、流程灵活编排，完全适配步骤开关、独立调用的业务需求。</w:t>
      </w:r>
    </w:p>
    <w:p w14:paraId="26D2434B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2.2 五层标准架构总览</w:t>
      </w:r>
      <w:bookmarkEnd w:id="7"/>
    </w:p>
    <w:p w14:paraId="0CA4EE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自上而下分为：前端可视化层、API接入层、业务编排引擎层、核心能力原子层、数据持久层，层级单向依赖，无跨层乱调用。</w:t>
      </w:r>
    </w:p>
    <w:p w14:paraId="1265D83A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前端可视化层</w:t>
      </w:r>
      <w:r>
        <w:rPr>
          <w:rFonts w:ascii="Arial" w:hAnsi="Arial" w:eastAsia="等线" w:cs="Arial"/>
          <w:sz w:val="22"/>
        </w:rPr>
        <w:t>：负责文件上传、模板可视化标注、双栏差异对比、审查结果展示、报告导出、后台配置管理。</w:t>
      </w:r>
    </w:p>
    <w:p w14:paraId="4A0B1AED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API接入层</w:t>
      </w:r>
      <w:r>
        <w:rPr>
          <w:rFonts w:ascii="Arial" w:hAnsi="Arial" w:eastAsia="等线" w:cs="Arial"/>
          <w:sz w:val="22"/>
        </w:rPr>
        <w:t>：统一请求入口、参数校验、权限鉴权、接口限流、日志审计、单步/全流程审查接口暴露。</w:t>
      </w:r>
    </w:p>
    <w:p w14:paraId="3C97F255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业务编排引擎层</w:t>
      </w:r>
      <w:r>
        <w:rPr>
          <w:rFonts w:ascii="Arial" w:hAnsi="Arial" w:eastAsia="等线" w:cs="Arial"/>
          <w:sz w:val="22"/>
        </w:rPr>
        <w:t>：系统核心调度中枢，负责三阶流程顺序管控、步骤开关控制、流程终止策略、异步任务调度、人工节点编排。</w:t>
      </w:r>
    </w:p>
    <w:p w14:paraId="0F89ABC5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核心能力原子层</w:t>
      </w:r>
      <w:r>
        <w:rPr>
          <w:rFonts w:ascii="Arial" w:hAnsi="Arial" w:eastAsia="等线" w:cs="Arial"/>
          <w:sz w:val="22"/>
        </w:rPr>
        <w:t>：拆解四大独立核心能力，文档结构化解析、一阶篡改比对、二阶数据校验、三阶合规审查，各能力独立可复用。</w:t>
      </w:r>
    </w:p>
    <w:p w14:paraId="2C898CF8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数据持久层</w:t>
      </w:r>
      <w:r>
        <w:rPr>
          <w:rFonts w:ascii="Arial" w:hAnsi="Arial" w:eastAsia="等线" w:cs="Arial"/>
          <w:sz w:val="22"/>
        </w:rPr>
        <w:t>：负责结构化数据、非结构化文件、缓存数据、规则数据的存储与管理。</w:t>
      </w:r>
    </w:p>
    <w:p w14:paraId="2B4FFFD6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2.3 核心架构特性</w:t>
      </w:r>
      <w:bookmarkEnd w:id="8"/>
    </w:p>
    <w:p w14:paraId="486197F4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流程编排与业务能力解耦</w:t>
      </w:r>
      <w:r>
        <w:rPr>
          <w:rFonts w:ascii="Arial" w:hAnsi="Arial" w:eastAsia="等线" w:cs="Arial"/>
          <w:sz w:val="22"/>
        </w:rPr>
        <w:t>：流程顺序、开关、终止逻辑由编排引擎控制，核心审查能力无状态，可灵活组合调用。</w:t>
      </w:r>
    </w:p>
    <w:p w14:paraId="1FC497F4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模板驱动全局配置</w:t>
      </w:r>
      <w:r>
        <w:rPr>
          <w:rFonts w:ascii="Arial" w:hAnsi="Arial" w:eastAsia="等线" w:cs="Arial"/>
          <w:sz w:val="22"/>
        </w:rPr>
        <w:t>：所有审查策略、规则集、步骤启停、风险等级均绑定模板维度，实现一模板一策略。</w:t>
      </w:r>
    </w:p>
    <w:p w14:paraId="192265D5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能力可独立调用</w:t>
      </w:r>
      <w:r>
        <w:rPr>
          <w:rFonts w:ascii="Arial" w:hAnsi="Arial" w:eastAsia="等线" w:cs="Arial"/>
          <w:sz w:val="22"/>
        </w:rPr>
        <w:t>：支持全流程审查、单步独立审查、任意步骤组合审查，适配第三方系统对接。</w:t>
      </w:r>
    </w:p>
    <w:p w14:paraId="7DF308C9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可视化与计算解耦</w:t>
      </w:r>
      <w:r>
        <w:rPr>
          <w:rFonts w:ascii="Arial" w:hAnsi="Arial" w:eastAsia="等线" w:cs="Arial"/>
          <w:sz w:val="22"/>
        </w:rPr>
        <w:t>：后端负责精准计算差异与风险，前端负责可视化渲染与交互，职责清晰。</w:t>
      </w:r>
    </w:p>
    <w:p w14:paraId="6C836E1A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b/>
          <w:sz w:val="36"/>
        </w:rPr>
        <w:t>3 技术栈整体选型</w:t>
      </w:r>
      <w:bookmarkEnd w:id="9"/>
    </w:p>
    <w:p w14:paraId="4A0370B2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3.1 前端技术栈</w:t>
      </w:r>
      <w:bookmarkEnd w:id="10"/>
    </w:p>
    <w:p w14:paraId="574C44AE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基础框架：Vue3 + Vite + TypeScript</w:t>
      </w:r>
      <w:r>
        <w:rPr>
          <w:rFonts w:ascii="Arial" w:hAnsi="Arial" w:eastAsia="等线" w:cs="Arial"/>
          <w:sz w:val="22"/>
        </w:rPr>
        <w:t>：企业级主流前端技术栈，Vue3组合式API适配复杂可视化业务，Vite解决传统Webpack打包慢、热更新延迟问题，TypeScript强类型约束规避文档渲染、差异比对的前端逻辑BUG，适配长期迭代维护，选型完全合规。</w:t>
      </w:r>
    </w:p>
    <w:p w14:paraId="3F68558C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文档渲染组件：PDF.js、Mammoth</w:t>
      </w:r>
      <w:r>
        <w:rPr>
          <w:rFonts w:ascii="Arial" w:hAnsi="Arial" w:eastAsia="等线" w:cs="Arial"/>
          <w:sz w:val="22"/>
        </w:rPr>
        <w:t>：PDF.js为Mozilla官方开源PDF渲染引擎，无商业授权风险，支持原生PDF精准渲染、坐标拾取、分页适配，适配合同PDF预览场景；Mammoth为轻量Word转HTML工具，精准还原合同版式、表格、段落结构，无冗余样式，完美适配格式合同预览，选型正确。</w:t>
      </w:r>
    </w:p>
    <w:p w14:paraId="55819897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差异可视化：Monaco Editor</w:t>
      </w:r>
      <w:r>
        <w:rPr>
          <w:rFonts w:ascii="Arial" w:hAnsi="Arial" w:eastAsia="等线" w:cs="Arial"/>
          <w:sz w:val="22"/>
        </w:rPr>
        <w:t>：VSCode底层内核，原生支持</w:t>
      </w:r>
      <w:r>
        <w:rPr>
          <w:rFonts w:ascii="Arial" w:hAnsi="Arial" w:eastAsia="等线" w:cs="Arial"/>
          <w:b/>
          <w:sz w:val="22"/>
        </w:rPr>
        <w:t>字符级、行级</w:t>
      </w:r>
      <w:r>
        <w:rPr>
          <w:rFonts w:ascii="Arial" w:hAnsi="Arial" w:eastAsia="等线" w:cs="Arial"/>
          <w:sz w:val="22"/>
        </w:rPr>
        <w:t>diff比对，内置新增/删除/修改三色高亮标记、差异坐标定位，无需自研复杂diff算法，完全匹配项目字符级差异高亮、双栏对比核心需求，是企业文档比对场景最优选型，无替代短板。</w:t>
      </w:r>
    </w:p>
    <w:p w14:paraId="7F4ADAA9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可视化标注：Fabric.js</w:t>
      </w:r>
      <w:r>
        <w:rPr>
          <w:rFonts w:ascii="Arial" w:hAnsi="Arial" w:eastAsia="等线" w:cs="Arial"/>
          <w:sz w:val="22"/>
        </w:rPr>
        <w:t>：专业前端画布交互引擎，支持文档图层叠加、文本块框选、自定义区域标注、坐标持久化、标注图层管理，完美适配合同模板「固定区/填充区/忽略区」可视化标注场景，支持标注数据回显与编辑，选型精准适配业务。</w:t>
      </w:r>
    </w:p>
    <w:p w14:paraId="5F5B0C04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交互组件：Element Plus、ECharts</w:t>
      </w:r>
      <w:r>
        <w:rPr>
          <w:rFonts w:ascii="Arial" w:hAnsi="Arial" w:eastAsia="等线" w:cs="Arial"/>
          <w:sz w:val="22"/>
        </w:rPr>
        <w:t>：Element Plus为Vue3官方配套企业级UI组件库，覆盖后台管理、配置表单、弹窗、表格等全部交互场景；ECharts适配审查数据统计、风险占比可视化展示，技术成熟、生态完善，选型无误。</w:t>
      </w:r>
    </w:p>
    <w:p w14:paraId="7BC74C1F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核心能力封装：自定义双向同步滚动、差异导航、文档预览组件</w:t>
      </w:r>
      <w:r>
        <w:rPr>
          <w:rFonts w:ascii="Arial" w:hAnsi="Arial" w:eastAsia="等线" w:cs="Arial"/>
          <w:sz w:val="22"/>
        </w:rPr>
        <w:t>：原生组件无开源成品，需基于画布、滚动事件自研封装，适配本系统专属双栏联动、差异跳转、文档适配逻辑，为业务定制化刚需，选型合理。</w:t>
      </w:r>
    </w:p>
    <w:p w14:paraId="3FA2BA8F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3.2 后端技术栈</w:t>
      </w:r>
      <w:bookmarkEnd w:id="11"/>
    </w:p>
    <w:p w14:paraId="4819562C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服务框架：FastAPI</w:t>
      </w:r>
      <w:r>
        <w:rPr>
          <w:rFonts w:ascii="Arial" w:hAnsi="Arial" w:eastAsia="等线" w:cs="Arial"/>
          <w:sz w:val="22"/>
        </w:rPr>
        <w:t>：高性能异步Python后端框架，支持高并发文件上传、文档解析任务处理，自动生成OpenAPI接口文档，适配私有化部署、第三方API对接场景；相比Django/Flask，异步特性完美解决大文档解析接口阻塞问题，适配本系统业务，选型正确。</w:t>
      </w:r>
    </w:p>
    <w:p w14:paraId="68134F4B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任务调度：Celery</w:t>
      </w:r>
      <w:r>
        <w:rPr>
          <w:rFonts w:ascii="Arial" w:hAnsi="Arial" w:eastAsia="等线" w:cs="Arial"/>
          <w:sz w:val="22"/>
        </w:rPr>
        <w:t>：Python生态成熟分布式异步任务队列，支持任务排队、并发执行、失败重试、任务状态持久化，适配大文档解析、OCR识别、语义分析等耗时任务，避免同步接口超时，适配企业级任务调度，选型稳定可靠。</w:t>
      </w:r>
    </w:p>
    <w:p w14:paraId="3E1423D4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数据校验：</w:t>
      </w:r>
      <w:r>
        <w:rPr>
          <w:rFonts w:ascii="Arial" w:hAnsi="Arial" w:eastAsia="等线" w:cs="Arial"/>
          <w:sz w:val="22"/>
        </w:rPr>
        <w:t>FastAPI官方配套强类型校验工具，支持结构化规则解析、自定义校验器、正则/枚举/阈值校验，完美承接二阶合同填充数据校验逻辑，支持配置化规则映射，无技术适配问题，选型精准。</w:t>
      </w:r>
    </w:p>
    <w:p w14:paraId="01978F2E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文档解析：</w:t>
      </w:r>
      <w:r>
        <w:rPr>
          <w:rFonts w:hint="default" w:ascii="Arial" w:hAnsi="Arial" w:eastAsia="等线" w:cs="Arial"/>
          <w:b/>
          <w:sz w:val="22"/>
          <w:lang w:val="en-US"/>
        </w:rPr>
        <w:t>MarkItDown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、</w:t>
      </w:r>
      <w:r>
        <w:rPr>
          <w:rFonts w:ascii="Arial" w:hAnsi="Arial" w:eastAsia="等线" w:cs="Arial"/>
          <w:b/>
          <w:sz w:val="22"/>
        </w:rPr>
        <w:t>python-docx、pdfplumber</w:t>
      </w:r>
      <w:r>
        <w:rPr>
          <w:rFonts w:ascii="Arial" w:hAnsi="Arial" w:eastAsia="等线" w:cs="Arial"/>
          <w:sz w:val="22"/>
        </w:rPr>
        <w:t>：python-docx精准解析Word段落、表格、文本坐标，无格式错乱问题；pdfplumber为PDF解析最优库，支持高精度文字块、单元格、页面坐标提取，适配合同结构化解析；OCR引擎，适配扫描件PDF离线文字识别，满足私有化无外网需求，三套组件组合覆盖全部合同格式，选型完全合规、可落地、无虚假依赖。</w:t>
      </w:r>
    </w:p>
    <w:p w14:paraId="6ADC1D44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规则引擎：自研轻量可视化规则引擎</w:t>
      </w:r>
      <w:r>
        <w:rPr>
          <w:rFonts w:ascii="Arial" w:hAnsi="Arial" w:eastAsia="等线" w:cs="Arial"/>
          <w:sz w:val="22"/>
        </w:rPr>
        <w:t>：基于Pydantic自定义校验器封装，支持后台可视化配置正则、枚举、数值阈值、逻辑关联校验，无需代码开发即可更新审查规则，贴合本系统「配置化大于代码化」设计原则，无开源规则引擎冗余复杂度，轻量化适配内部系统，选型合理。</w:t>
      </w:r>
    </w:p>
    <w:p w14:paraId="1D30494F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3.3 存储技术栈</w:t>
      </w:r>
      <w:bookmarkEnd w:id="12"/>
    </w:p>
    <w:p w14:paraId="3047D11B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结构化数据库：</w:t>
      </w:r>
      <w:r>
        <w:rPr>
          <w:rFonts w:hint="default" w:ascii="Arial" w:hAnsi="Arial" w:eastAsia="等线" w:cs="Arial"/>
          <w:sz w:val="22"/>
          <w:lang w:val="en-US"/>
        </w:rPr>
        <w:t>SQLite</w:t>
      </w:r>
      <w:r>
        <w:rPr>
          <w:rFonts w:ascii="Arial" w:hAnsi="Arial" w:eastAsia="等线" w:cs="Arial"/>
          <w:sz w:val="22"/>
        </w:rPr>
        <w:t>（存储模板数据、标注数据、规则配置、审查任务、权限日志）</w:t>
      </w:r>
    </w:p>
    <w:p w14:paraId="0BCFE85F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3.4 部署运维栈</w:t>
      </w:r>
      <w:bookmarkEnd w:id="13"/>
    </w:p>
    <w:p w14:paraId="047E0B5D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日志审计：系统自研日志模块 + 日志持久化入库</w:t>
      </w:r>
    </w:p>
    <w:p w14:paraId="18CFDD86">
      <w:pPr>
        <w:spacing w:before="380" w:after="140" w:line="288" w:lineRule="auto"/>
        <w:ind w:left="0"/>
        <w:jc w:val="left"/>
        <w:outlineLvl w:val="0"/>
      </w:pPr>
      <w:bookmarkStart w:id="14" w:name="heading_14"/>
      <w:r>
        <w:rPr>
          <w:rFonts w:ascii="Arial" w:hAnsi="Arial" w:eastAsia="等线" w:cs="Arial"/>
          <w:b/>
          <w:sz w:val="36"/>
        </w:rPr>
        <w:t>4 分层详细技术设计</w:t>
      </w:r>
      <w:bookmarkEnd w:id="14"/>
    </w:p>
    <w:p w14:paraId="62CD125C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4.1 数据持久层设计</w:t>
      </w:r>
      <w:bookmarkEnd w:id="15"/>
    </w:p>
    <w:p w14:paraId="4870938B">
      <w:pPr>
        <w:spacing w:before="300" w:after="120" w:line="288" w:lineRule="auto"/>
        <w:ind w:left="0"/>
        <w:jc w:val="left"/>
        <w:outlineLvl w:val="2"/>
      </w:pPr>
      <w:bookmarkStart w:id="16" w:name="heading_17"/>
      <w:r>
        <w:rPr>
          <w:rFonts w:ascii="Arial" w:hAnsi="Arial" w:eastAsia="等线" w:cs="Arial"/>
          <w:b/>
          <w:sz w:val="30"/>
        </w:rPr>
        <w:t>4.1.2 核心数据表设计</w:t>
      </w:r>
      <w:bookmarkEnd w:id="16"/>
    </w:p>
    <w:p w14:paraId="622580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业务表包含：合同模板表、模板版本表、区域标注表、审查规则表、模板策略绑定表、审查任务主表、审查结果明细表、系统权限表、操作审计日志表，所有数据表遵循三范式，无冗余字段，支持关联查询与版本追溯。</w:t>
      </w:r>
    </w:p>
    <w:p w14:paraId="25FE2AFB">
      <w:pPr>
        <w:spacing w:before="320" w:after="120" w:line="288" w:lineRule="auto"/>
        <w:ind w:left="0"/>
        <w:jc w:val="left"/>
        <w:outlineLvl w:val="1"/>
      </w:pPr>
      <w:bookmarkStart w:id="17" w:name="heading_18"/>
      <w:r>
        <w:rPr>
          <w:rFonts w:ascii="Arial" w:hAnsi="Arial" w:eastAsia="等线" w:cs="Arial"/>
          <w:b/>
          <w:sz w:val="32"/>
        </w:rPr>
        <w:t>4.2 API接入层设计</w:t>
      </w:r>
      <w:bookmarkEnd w:id="17"/>
    </w:p>
    <w:p w14:paraId="4AF90FAF">
      <w:pPr>
        <w:spacing w:before="300" w:after="120" w:line="288" w:lineRule="auto"/>
        <w:ind w:left="0"/>
        <w:jc w:val="left"/>
        <w:outlineLvl w:val="2"/>
      </w:pPr>
      <w:bookmarkStart w:id="18" w:name="heading_19"/>
      <w:r>
        <w:rPr>
          <w:rFonts w:ascii="Arial" w:hAnsi="Arial" w:eastAsia="等线" w:cs="Arial"/>
          <w:b/>
          <w:sz w:val="30"/>
        </w:rPr>
        <w:t>4.2.1 核心能力</w:t>
      </w:r>
      <w:bookmarkEnd w:id="18"/>
    </w:p>
    <w:p w14:paraId="1EE083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统一网关能力，实现所有接口的通用逻辑解耦，业务接口仅专注核心功能：</w:t>
      </w:r>
    </w:p>
    <w:p w14:paraId="5715969A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全局参数校验、请求鉴权、接口限流、跨域处理</w:t>
      </w:r>
    </w:p>
    <w:p w14:paraId="7101CB9B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统一响应格式、异常统一捕获、错误码标准化</w:t>
      </w:r>
    </w:p>
    <w:p w14:paraId="33E6D87C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全量接口操作日志自动记录，用于审计追溯</w:t>
      </w:r>
    </w:p>
    <w:p w14:paraId="57FDA41B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</w:t>
      </w:r>
      <w:r>
        <w:rPr>
          <w:rFonts w:ascii="Arial" w:hAnsi="Arial" w:eastAsia="等线" w:cs="Arial"/>
          <w:b/>
          <w:sz w:val="22"/>
        </w:rPr>
        <w:t>全流程审查、单步独立审查、多步骤组合审查</w:t>
      </w:r>
      <w:r>
        <w:rPr>
          <w:rFonts w:ascii="Arial" w:hAnsi="Arial" w:eastAsia="等线" w:cs="Arial"/>
          <w:sz w:val="22"/>
        </w:rPr>
        <w:t>三类接口能力</w:t>
      </w:r>
    </w:p>
    <w:p w14:paraId="5C93ACEB">
      <w:pPr>
        <w:spacing w:before="300" w:after="120" w:line="288" w:lineRule="auto"/>
        <w:ind w:left="0"/>
        <w:jc w:val="left"/>
        <w:outlineLvl w:val="2"/>
      </w:pPr>
      <w:bookmarkStart w:id="19" w:name="heading_20"/>
      <w:r>
        <w:rPr>
          <w:rFonts w:ascii="Arial" w:hAnsi="Arial" w:eastAsia="等线" w:cs="Arial"/>
          <w:b/>
          <w:sz w:val="30"/>
        </w:rPr>
        <w:t>4.2.2 接口分类设计</w:t>
      </w:r>
      <w:bookmarkEnd w:id="19"/>
    </w:p>
    <w:p w14:paraId="0C4A6527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模板管理接口：模板上传、版本管理、区域标注、策略绑定</w:t>
      </w:r>
    </w:p>
    <w:p w14:paraId="1A1EF17C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规则配置接口：数据校验规则、合规审查规则增删改查</w:t>
      </w:r>
    </w:p>
    <w:p w14:paraId="2F47A9BF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审查任务接口：任务创建、任务查询、结果导出、历史追溯</w:t>
      </w:r>
    </w:p>
    <w:p w14:paraId="32BB1475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独立能力接口：一阶/二阶/三阶单步单独调用接口（对外开放API）</w:t>
      </w:r>
    </w:p>
    <w:p w14:paraId="28128526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系统管理接口：权限配置、日志查询、系统参数配置</w:t>
      </w:r>
    </w:p>
    <w:p w14:paraId="760DC9E5">
      <w:pPr>
        <w:spacing w:before="320" w:after="120" w:line="288" w:lineRule="auto"/>
        <w:ind w:left="0"/>
        <w:jc w:val="left"/>
        <w:outlineLvl w:val="1"/>
      </w:pPr>
      <w:bookmarkStart w:id="20" w:name="heading_21"/>
      <w:r>
        <w:rPr>
          <w:rFonts w:ascii="Arial" w:hAnsi="Arial" w:eastAsia="等线" w:cs="Arial"/>
          <w:b/>
          <w:sz w:val="32"/>
        </w:rPr>
        <w:t>4.3 业务编排引擎层核心设计</w:t>
      </w:r>
      <w:bookmarkEnd w:id="20"/>
    </w:p>
    <w:p w14:paraId="217F20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本层为系统核心调度中枢，</w:t>
      </w:r>
      <w:r>
        <w:rPr>
          <w:rFonts w:ascii="Arial" w:hAnsi="Arial" w:eastAsia="等线" w:cs="Arial"/>
          <w:b/>
          <w:sz w:val="22"/>
        </w:rPr>
        <w:t>完全落地三阶顺序、步骤开关、流程终止</w:t>
      </w:r>
      <w:r>
        <w:rPr>
          <w:rFonts w:ascii="Arial" w:hAnsi="Arial" w:eastAsia="等线" w:cs="Arial"/>
          <w:sz w:val="22"/>
        </w:rPr>
        <w:t>核心业务规则，所有流程逻辑配置化，无需代码修改。</w:t>
      </w:r>
    </w:p>
    <w:p w14:paraId="713B6DB3">
      <w:pPr>
        <w:spacing w:before="300" w:after="120" w:line="288" w:lineRule="auto"/>
        <w:ind w:left="0"/>
        <w:jc w:val="left"/>
        <w:outlineLvl w:val="2"/>
      </w:pPr>
      <w:bookmarkStart w:id="21" w:name="heading_22"/>
      <w:r>
        <w:rPr>
          <w:rFonts w:ascii="Arial" w:hAnsi="Arial" w:eastAsia="等线" w:cs="Arial"/>
          <w:b/>
          <w:sz w:val="30"/>
        </w:rPr>
        <w:t>4.3.1 核心调度规则（硬性技术约束）</w:t>
      </w:r>
      <w:bookmarkEnd w:id="21"/>
    </w:p>
    <w:p w14:paraId="081EF4F0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顺序约束</w:t>
      </w:r>
      <w:r>
        <w:rPr>
          <w:rFonts w:ascii="Arial" w:hAnsi="Arial" w:eastAsia="等线" w:cs="Arial"/>
          <w:sz w:val="22"/>
        </w:rPr>
        <w:t>：已启用步骤严格按照 一阶→二阶→三阶 串行执行，不并行、不逆序。</w:t>
      </w:r>
    </w:p>
    <w:p w14:paraId="13209E02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开关约束</w:t>
      </w:r>
      <w:r>
        <w:rPr>
          <w:rFonts w:ascii="Arial" w:hAnsi="Arial" w:eastAsia="等线" w:cs="Arial"/>
          <w:sz w:val="22"/>
        </w:rPr>
        <w:t>：每个模板独立配置步骤启停状态。</w:t>
      </w:r>
    </w:p>
    <w:p w14:paraId="5E39AA08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终止约束</w:t>
      </w:r>
      <w:r>
        <w:rPr>
          <w:rFonts w:ascii="Arial" w:hAnsi="Arial" w:eastAsia="等线" w:cs="Arial"/>
          <w:sz w:val="22"/>
        </w:rPr>
        <w:t>：支持配置前置步骤异常阻断策略，触发严重风险后自动终止后续所有审查流程。</w:t>
      </w:r>
    </w:p>
    <w:p w14:paraId="4809BDF5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复用约束</w:t>
      </w:r>
      <w:r>
        <w:rPr>
          <w:rFonts w:ascii="Arial" w:hAnsi="Arial" w:eastAsia="等线" w:cs="Arial"/>
          <w:sz w:val="22"/>
        </w:rPr>
        <w:t>：二阶审查优先复用一阶解析的文档结构化数据，避免重复解析文档，提升性能。</w:t>
      </w:r>
    </w:p>
    <w:p w14:paraId="6627E336">
      <w:pPr>
        <w:spacing w:before="300" w:after="120" w:line="288" w:lineRule="auto"/>
        <w:ind w:left="0"/>
        <w:jc w:val="left"/>
        <w:outlineLvl w:val="2"/>
      </w:pPr>
      <w:bookmarkStart w:id="22" w:name="heading_23"/>
      <w:r>
        <w:rPr>
          <w:rFonts w:ascii="Arial" w:hAnsi="Arial" w:eastAsia="等线" w:cs="Arial"/>
          <w:b/>
          <w:sz w:val="30"/>
        </w:rPr>
        <w:t>4.3.2 流程编排模型</w:t>
      </w:r>
      <w:bookmarkEnd w:id="22"/>
    </w:p>
    <w:p w14:paraId="3325F7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采用「配置化流程节点模型」，每个审查步骤为独立可配置节点，包含节点状态、执行顺序、前置依赖、终止条件、阻断等级五大属性。引擎根据模板配置自动生成执行链路，动态适配不同合同类型的审查策略。</w:t>
      </w:r>
    </w:p>
    <w:p w14:paraId="295F0DFE">
      <w:pPr>
        <w:spacing w:before="300" w:after="120" w:line="288" w:lineRule="auto"/>
        <w:ind w:left="0"/>
        <w:jc w:val="left"/>
        <w:outlineLvl w:val="2"/>
      </w:pPr>
      <w:bookmarkStart w:id="23" w:name="heading_24"/>
      <w:r>
        <w:rPr>
          <w:rFonts w:ascii="Arial" w:hAnsi="Arial" w:eastAsia="等线" w:cs="Arial"/>
          <w:b/>
          <w:sz w:val="30"/>
        </w:rPr>
        <w:t>4.3.3 人工节点编排</w:t>
      </w:r>
      <w:bookmarkEnd w:id="23"/>
    </w:p>
    <w:p w14:paraId="57BF51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支持配置异常场景人工介入节点，系统自动识别高风险、模糊风险，暂停自动审查流程，流转人工审核，审核完成后继续执行后续步骤。</w:t>
      </w:r>
    </w:p>
    <w:p w14:paraId="74EA79F1">
      <w:pPr>
        <w:spacing w:before="320" w:after="120" w:line="288" w:lineRule="auto"/>
        <w:ind w:left="0"/>
        <w:jc w:val="left"/>
        <w:outlineLvl w:val="1"/>
      </w:pPr>
      <w:bookmarkStart w:id="24" w:name="heading_25"/>
      <w:r>
        <w:rPr>
          <w:rFonts w:ascii="Arial" w:hAnsi="Arial" w:eastAsia="等线" w:cs="Arial"/>
          <w:b/>
          <w:sz w:val="32"/>
        </w:rPr>
        <w:t>4.4 核心能力原子层详细设计</w:t>
      </w:r>
      <w:bookmarkEnd w:id="24"/>
    </w:p>
    <w:p w14:paraId="4201DE49">
      <w:pPr>
        <w:spacing w:before="300" w:after="120" w:line="288" w:lineRule="auto"/>
        <w:ind w:left="0"/>
        <w:jc w:val="left"/>
        <w:outlineLvl w:val="2"/>
      </w:pPr>
      <w:bookmarkStart w:id="25" w:name="heading_26"/>
      <w:r>
        <w:rPr>
          <w:rFonts w:ascii="Arial" w:hAnsi="Arial" w:eastAsia="等线" w:cs="Arial"/>
          <w:b/>
          <w:sz w:val="30"/>
        </w:rPr>
        <w:t>4.4.1 文档结构化解析模块（基础前置能力）</w:t>
      </w:r>
      <w:bookmarkEnd w:id="25"/>
    </w:p>
    <w:p w14:paraId="799AC7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为模板标注、篡改比对、数据校验提供统一的文档结构化数据底座，是所有审查能力的前置依赖。</w:t>
      </w:r>
    </w:p>
    <w:p w14:paraId="234E46BD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解析能力</w:t>
      </w:r>
      <w:r>
        <w:rPr>
          <w:rFonts w:ascii="Arial" w:hAnsi="Arial" w:eastAsia="等线" w:cs="Arial"/>
          <w:sz w:val="22"/>
        </w:rPr>
        <w:t>：支持Word/PDF原生文档解析、扫描件PDF OCR解析，精准提取段落、表格、文字内容、页面坐标、层级结构。</w:t>
      </w:r>
    </w:p>
    <w:p w14:paraId="22B4F855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结构化能力</w:t>
      </w:r>
      <w:r>
        <w:rPr>
          <w:rFonts w:ascii="Arial" w:hAnsi="Arial" w:eastAsia="等线" w:cs="Arial"/>
          <w:sz w:val="22"/>
        </w:rPr>
        <w:t>：自动识别合同章、节、条、款、项层级，生成标准化条款结构树，支持人工修正。</w:t>
      </w:r>
    </w:p>
    <w:p w14:paraId="298F5075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区域分类能力</w:t>
      </w:r>
      <w:r>
        <w:rPr>
          <w:rFonts w:ascii="Arial" w:hAnsi="Arial" w:eastAsia="等线" w:cs="Arial"/>
          <w:sz w:val="22"/>
        </w:rPr>
        <w:t>：适配后台标注数据，将所有文档文本块分为固定条款区、可填充区、可忽略区三类，为篡改判定提供边界依据。</w:t>
      </w:r>
    </w:p>
    <w:p w14:paraId="0D06BB2F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缓存能力</w:t>
      </w:r>
      <w:r>
        <w:rPr>
          <w:rFonts w:ascii="Arial" w:hAnsi="Arial" w:eastAsia="等线" w:cs="Arial"/>
          <w:sz w:val="22"/>
        </w:rPr>
        <w:t>：解析完成的结构化数据缓存至Redis，重复送审无需重复解析，大幅提升审查速度。</w:t>
      </w:r>
    </w:p>
    <w:p w14:paraId="41416397">
      <w:pPr>
        <w:spacing w:before="300" w:after="120" w:line="288" w:lineRule="auto"/>
        <w:ind w:left="0"/>
        <w:jc w:val="left"/>
        <w:outlineLvl w:val="2"/>
      </w:pPr>
      <w:bookmarkStart w:id="26" w:name="heading_27"/>
      <w:r>
        <w:rPr>
          <w:rFonts w:ascii="Arial" w:hAnsi="Arial" w:eastAsia="等线" w:cs="Arial"/>
          <w:b/>
          <w:sz w:val="30"/>
        </w:rPr>
        <w:t>4.4.2 一阶审查：条款篡改比对模块</w:t>
      </w:r>
      <w:bookmarkEnd w:id="26"/>
    </w:p>
    <w:p w14:paraId="0B474C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核心目标：精准识别固定条款篡改，过滤合法业务填写，无误判、无漏判。</w:t>
      </w:r>
    </w:p>
    <w:p w14:paraId="668E9815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比对前置过滤逻辑</w:t>
      </w:r>
      <w:r>
        <w:rPr>
          <w:rFonts w:ascii="Arial" w:hAnsi="Arial" w:eastAsia="等线" w:cs="Arial"/>
          <w:sz w:val="22"/>
        </w:rPr>
        <w:t>：加载模板标注数据，自动跳过可填充区域、可忽略区域，仅对固定条款执行全维度比对。</w:t>
      </w:r>
    </w:p>
    <w:p w14:paraId="69CFCBA4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多维度比对能力</w:t>
      </w:r>
      <w:r>
        <w:rPr>
          <w:rFonts w:ascii="Arial" w:hAnsi="Arial" w:eastAsia="等线" w:cs="Arial"/>
          <w:sz w:val="22"/>
        </w:rPr>
        <w:t>：覆盖文本内容、条款结构、条款顺序、条款完整性、表格结构五大比对维度。</w:t>
      </w:r>
    </w:p>
    <w:p w14:paraId="44BD1BC2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篡改类型分类</w:t>
      </w:r>
      <w:r>
        <w:rPr>
          <w:rFonts w:ascii="Arial" w:hAnsi="Arial" w:eastAsia="等线" w:cs="Arial"/>
          <w:sz w:val="22"/>
        </w:rPr>
        <w:t>：自动识别内容修改、顺序错位、结构变更、新增条款、缺失条款五类篡改场景。</w:t>
      </w:r>
    </w:p>
    <w:p w14:paraId="656AE396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风险分级能力</w:t>
      </w:r>
      <w:r>
        <w:rPr>
          <w:rFonts w:ascii="Arial" w:hAnsi="Arial" w:eastAsia="等线" w:cs="Arial"/>
          <w:sz w:val="22"/>
        </w:rPr>
        <w:t>：系统内置严重、一般、提示三级风险分级规则，支持后台自定义分级阈值。</w:t>
      </w:r>
    </w:p>
    <w:p w14:paraId="3508187F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格式适配策略</w:t>
      </w:r>
      <w:r>
        <w:rPr>
          <w:rFonts w:ascii="Arial" w:hAnsi="Arial" w:eastAsia="等线" w:cs="Arial"/>
          <w:sz w:val="22"/>
        </w:rPr>
        <w:t>：支持严格/标准/宽松三种比对模式，可配置是否校验字体、字号、对齐等格式差异。</w:t>
      </w:r>
    </w:p>
    <w:p w14:paraId="41DCBE9D">
      <w:pPr>
        <w:spacing w:before="300" w:after="120" w:line="288" w:lineRule="auto"/>
        <w:ind w:left="0"/>
        <w:jc w:val="left"/>
        <w:outlineLvl w:val="2"/>
      </w:pPr>
      <w:bookmarkStart w:id="27" w:name="heading_28"/>
      <w:r>
        <w:rPr>
          <w:rFonts w:ascii="Arial" w:hAnsi="Arial" w:eastAsia="等线" w:cs="Arial"/>
          <w:b/>
          <w:sz w:val="30"/>
        </w:rPr>
        <w:t>4.4.3 二阶审查：填写内容数据校验模块</w:t>
      </w:r>
      <w:bookmarkEnd w:id="27"/>
    </w:p>
    <w:p w14:paraId="0BC6BE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核心目标：对合同填充区域的业务数据进行规范性、逻辑性、业务性校验。</w:t>
      </w:r>
    </w:p>
    <w:p w14:paraId="16C237BE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数据复用机制</w:t>
      </w:r>
      <w:r>
        <w:rPr>
          <w:rFonts w:ascii="Arial" w:hAnsi="Arial" w:eastAsia="等线" w:cs="Arial"/>
          <w:sz w:val="22"/>
        </w:rPr>
        <w:t>：启用一阶审查时，直接复用结构化解析结果；未启用一阶时，独立解析填充字段数据。</w:t>
      </w:r>
    </w:p>
    <w:p w14:paraId="254430CF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三类校验规则</w:t>
      </w:r>
      <w:r>
        <w:rPr>
          <w:rFonts w:ascii="Arial" w:hAnsi="Arial" w:eastAsia="等线" w:cs="Arial"/>
          <w:sz w:val="22"/>
        </w:rPr>
        <w:t>：基础格式校验（正则、必填、枚举）、逻辑一致性校验（大小写、日期逻辑）、业务规则校验（金额阈值、黑名单校验）。</w:t>
      </w:r>
    </w:p>
    <w:p w14:paraId="58842CD4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规则分级机制</w:t>
      </w:r>
      <w:r>
        <w:rPr>
          <w:rFonts w:ascii="Arial" w:hAnsi="Arial" w:eastAsia="等线" w:cs="Arial"/>
          <w:sz w:val="22"/>
        </w:rPr>
        <w:t>：区分阻断性规则（终止流程）、提示性规则（仅告警），策略可后台配置。</w:t>
      </w:r>
    </w:p>
    <w:p w14:paraId="1F745C44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模板绑定策略</w:t>
      </w:r>
      <w:r>
        <w:rPr>
          <w:rFonts w:ascii="Arial" w:hAnsi="Arial" w:eastAsia="等线" w:cs="Arial"/>
          <w:sz w:val="22"/>
        </w:rPr>
        <w:t>：不同合同模板绑定独立的字段校验规则集，差异化适配业务场景。</w:t>
      </w:r>
    </w:p>
    <w:p w14:paraId="198E247E">
      <w:pPr>
        <w:spacing w:before="300" w:after="120" w:line="288" w:lineRule="auto"/>
        <w:ind w:left="0"/>
        <w:jc w:val="left"/>
        <w:outlineLvl w:val="2"/>
      </w:pPr>
      <w:bookmarkStart w:id="28" w:name="heading_29"/>
      <w:r>
        <w:rPr>
          <w:rFonts w:ascii="Arial" w:hAnsi="Arial" w:eastAsia="等线" w:cs="Arial"/>
          <w:b/>
          <w:sz w:val="30"/>
        </w:rPr>
        <w:t>4.4.4 三阶审查：合规性智能审查模块</w:t>
      </w:r>
      <w:bookmarkEnd w:id="28"/>
    </w:p>
    <w:p w14:paraId="367CBB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核心目标：结合确定性规则+智能语义分析，实现合同法律与业务合规风险全覆盖。</w:t>
      </w:r>
    </w:p>
    <w:p w14:paraId="7ECA709A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双轨审查模式</w:t>
      </w:r>
      <w:r>
        <w:rPr>
          <w:rFonts w:ascii="Arial" w:hAnsi="Arial" w:eastAsia="等线" w:cs="Arial"/>
          <w:sz w:val="22"/>
        </w:rPr>
        <w:t>：规则引擎处理确定性合规问题（违禁条款、必备条款缺失），语义引擎处理模糊性合规风险。</w:t>
      </w:r>
    </w:p>
    <w:p w14:paraId="375487C5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离线本地化能力</w:t>
      </w:r>
      <w:r>
        <w:rPr>
          <w:rFonts w:ascii="Arial" w:hAnsi="Arial" w:eastAsia="等线" w:cs="Arial"/>
          <w:sz w:val="22"/>
        </w:rPr>
        <w:t>：语义模型本地部署，无需外网，满足私有化数据安全要求。</w:t>
      </w:r>
    </w:p>
    <w:p w14:paraId="5C267D92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知识库可配置</w:t>
      </w:r>
      <w:r>
        <w:rPr>
          <w:rFonts w:ascii="Arial" w:hAnsi="Arial" w:eastAsia="等线" w:cs="Arial"/>
          <w:sz w:val="22"/>
        </w:rPr>
        <w:t>：法律条款、合规禁忌、风险阈值支持后台新增、修改、下架，持续迭代规则库。</w:t>
      </w:r>
    </w:p>
    <w:p w14:paraId="34F00E6A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结果结构化输出</w:t>
      </w:r>
      <w:r>
        <w:rPr>
          <w:rFonts w:ascii="Arial" w:hAnsi="Arial" w:eastAsia="等线" w:cs="Arial"/>
          <w:sz w:val="22"/>
        </w:rPr>
        <w:t>：自动输出风险位置、风险等级、合规依据、标准化修改建议。</w:t>
      </w:r>
    </w:p>
    <w:p w14:paraId="4D195D8A">
      <w:pPr>
        <w:spacing w:before="320" w:after="120" w:line="288" w:lineRule="auto"/>
        <w:ind w:left="0"/>
        <w:jc w:val="left"/>
        <w:outlineLvl w:val="1"/>
      </w:pPr>
      <w:bookmarkStart w:id="29" w:name="heading_30"/>
      <w:r>
        <w:rPr>
          <w:rFonts w:ascii="Arial" w:hAnsi="Arial" w:eastAsia="等线" w:cs="Arial"/>
          <w:b/>
          <w:sz w:val="32"/>
        </w:rPr>
        <w:t>4.5 前端可视化层详细设计</w:t>
      </w:r>
      <w:bookmarkEnd w:id="29"/>
    </w:p>
    <w:p w14:paraId="371C880B">
      <w:pPr>
        <w:spacing w:before="300" w:after="120" w:line="288" w:lineRule="auto"/>
        <w:ind w:left="0"/>
        <w:jc w:val="left"/>
        <w:outlineLvl w:val="2"/>
      </w:pPr>
      <w:bookmarkStart w:id="30" w:name="heading_31"/>
      <w:r>
        <w:rPr>
          <w:rFonts w:ascii="Arial" w:hAnsi="Arial" w:eastAsia="等线" w:cs="Arial"/>
          <w:b/>
          <w:sz w:val="30"/>
        </w:rPr>
        <w:t>4.5.1 核心交互能力设计</w:t>
      </w:r>
      <w:bookmarkEnd w:id="30"/>
    </w:p>
    <w:p w14:paraId="087D3BC1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模板可视化标注</w:t>
      </w:r>
      <w:r>
        <w:rPr>
          <w:rFonts w:ascii="Arial" w:hAnsi="Arial" w:eastAsia="等线" w:cs="Arial"/>
          <w:sz w:val="22"/>
        </w:rPr>
        <w:t>：支持在预览文档上框选文本块，标注固定/填充/忽略区域，保存后同步绑定模板策略。</w:t>
      </w:r>
    </w:p>
    <w:p w14:paraId="3F4EE9DD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双栏同步对比</w:t>
      </w:r>
      <w:r>
        <w:rPr>
          <w:rFonts w:ascii="Arial" w:hAnsi="Arial" w:eastAsia="等线" w:cs="Arial"/>
          <w:sz w:val="22"/>
        </w:rPr>
        <w:t>：左侧标准模板、右侧送审文件，分栏自适应布局，支持拖拽调整栏宽。</w:t>
      </w:r>
    </w:p>
    <w:p w14:paraId="4666DF5C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字符级差异高亮</w:t>
      </w:r>
      <w:r>
        <w:rPr>
          <w:rFonts w:ascii="Arial" w:hAnsi="Arial" w:eastAsia="等线" w:cs="Arial"/>
          <w:sz w:val="22"/>
        </w:rPr>
        <w:t>：精准标记字符级新增、删除、修改，区分篡改风险与正常填充内容。</w:t>
      </w:r>
    </w:p>
    <w:p w14:paraId="0E63C21D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双向同步滚动</w:t>
      </w:r>
      <w:r>
        <w:rPr>
          <w:rFonts w:ascii="Arial" w:hAnsi="Arial" w:eastAsia="等线" w:cs="Arial"/>
          <w:sz w:val="22"/>
        </w:rPr>
        <w:t>：左右文档滚动联动，差异行自动占位对齐，保证条款视觉对应。</w:t>
      </w:r>
    </w:p>
    <w:p w14:paraId="48461F2B">
      <w:pPr>
        <w:spacing w:before="300" w:after="120" w:line="288" w:lineRule="auto"/>
        <w:ind w:left="0"/>
        <w:jc w:val="left"/>
        <w:outlineLvl w:val="2"/>
      </w:pPr>
      <w:bookmarkStart w:id="31" w:name="heading_32"/>
      <w:r>
        <w:rPr>
          <w:rFonts w:ascii="Arial" w:hAnsi="Arial" w:eastAsia="等线" w:cs="Arial"/>
          <w:b/>
          <w:sz w:val="30"/>
        </w:rPr>
        <w:t>4.5.2 审查报告设计</w:t>
      </w:r>
      <w:bookmarkEnd w:id="31"/>
    </w:p>
    <w:p w14:paraId="0DCFB3BB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模块化展示各审查步骤结果，自动隐藏未启用的审查模块。</w:t>
      </w:r>
    </w:p>
    <w:p w14:paraId="443F0937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风险点按等级优先级排序，支持点击溯源文档位置。</w:t>
      </w:r>
    </w:p>
    <w:p w14:paraId="1DC3CD30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支持PDF/Word格式报告导出，满足审批留档需求。</w:t>
      </w:r>
    </w:p>
    <w:p w14:paraId="5DFC172D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支持历史审查记录追溯、多版本文件对比。</w:t>
      </w:r>
    </w:p>
    <w:p w14:paraId="43235CD0">
      <w:pPr>
        <w:spacing w:before="380" w:after="140" w:line="288" w:lineRule="auto"/>
        <w:ind w:left="0"/>
        <w:jc w:val="left"/>
        <w:outlineLvl w:val="0"/>
      </w:pPr>
      <w:bookmarkStart w:id="32" w:name="heading_33"/>
      <w:r>
        <w:rPr>
          <w:rFonts w:ascii="Arial" w:hAnsi="Arial" w:eastAsia="等线" w:cs="Arial"/>
          <w:b/>
          <w:sz w:val="36"/>
        </w:rPr>
        <w:t>5 核心业务流程技术设计</w:t>
      </w:r>
      <w:bookmarkEnd w:id="32"/>
    </w:p>
    <w:p w14:paraId="18D6FB37">
      <w:pPr>
        <w:spacing w:before="320" w:after="120" w:line="288" w:lineRule="auto"/>
        <w:ind w:left="0"/>
        <w:jc w:val="left"/>
        <w:outlineLvl w:val="1"/>
      </w:pPr>
      <w:bookmarkStart w:id="33" w:name="heading_34"/>
      <w:r>
        <w:rPr>
          <w:rFonts w:ascii="Arial" w:hAnsi="Arial" w:eastAsia="等线" w:cs="Arial"/>
          <w:b/>
          <w:sz w:val="32"/>
        </w:rPr>
        <w:t>5.1 整体审查执行流程</w:t>
      </w:r>
      <w:bookmarkEnd w:id="33"/>
    </w:p>
    <w:p w14:paraId="74EAD3A9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用户上传合同文件、选择对应合同模板类型。</w:t>
      </w:r>
    </w:p>
    <w:p w14:paraId="27B9EB76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系统加载模板绑定的审查策略（步骤开关、规则集、终止条件）。</w:t>
      </w:r>
    </w:p>
    <w:p w14:paraId="5773EC18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系统解析送审文档，生成结构化文本块数据。</w:t>
      </w:r>
    </w:p>
    <w:p w14:paraId="78ADDDBC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编排引擎按固定顺序串行执行已启用审查步骤。</w:t>
      </w:r>
    </w:p>
    <w:p w14:paraId="49F84CCF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触发预设终止条件则中断后续流程，未触发则完整执行全部步骤。</w:t>
      </w:r>
    </w:p>
    <w:p w14:paraId="385ED1A6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聚合所有步骤审查结果，生成结构化审查报告。</w:t>
      </w:r>
    </w:p>
    <w:p w14:paraId="59A4925D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前端可视化展示差异与风险，支持预览、跳转、导出、追溯。</w:t>
      </w:r>
    </w:p>
    <w:p w14:paraId="0AA8CBB0">
      <w:pPr>
        <w:spacing w:before="320" w:after="120" w:line="288" w:lineRule="auto"/>
        <w:ind w:left="0"/>
        <w:jc w:val="left"/>
        <w:outlineLvl w:val="1"/>
      </w:pPr>
      <w:bookmarkStart w:id="34" w:name="heading_35"/>
      <w:r>
        <w:rPr>
          <w:rFonts w:ascii="Arial" w:hAnsi="Arial" w:eastAsia="等线" w:cs="Arial"/>
          <w:b/>
          <w:sz w:val="32"/>
        </w:rPr>
        <w:t>5.2 模板管理核心流程</w:t>
      </w:r>
      <w:bookmarkEnd w:id="34"/>
    </w:p>
    <w:p w14:paraId="594911D9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管理员上传标准合同模板文件。</w:t>
      </w:r>
    </w:p>
    <w:p w14:paraId="6C63F1E7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系统自动结构化解析文档，生成文本块与条款结构树。</w:t>
      </w:r>
    </w:p>
    <w:p w14:paraId="78E49912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前端可视化标注三类区域，保存标注数据至数据库。</w:t>
      </w:r>
    </w:p>
    <w:p w14:paraId="72E40D24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配置模板版本信息、生效时间、审查步骤开关、终止策略。</w:t>
      </w:r>
    </w:p>
    <w:p w14:paraId="3DDD1A3D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绑定对应数据校验规则、合规审查规则集，模板生效可用于送审。</w:t>
      </w:r>
    </w:p>
    <w:p w14:paraId="0B6AF604">
      <w:pPr>
        <w:spacing w:before="380" w:after="140" w:line="288" w:lineRule="auto"/>
        <w:ind w:left="0"/>
        <w:jc w:val="left"/>
        <w:outlineLvl w:val="0"/>
      </w:pPr>
      <w:bookmarkStart w:id="35" w:name="heading_36"/>
      <w:r>
        <w:rPr>
          <w:rFonts w:ascii="Arial" w:hAnsi="Arial" w:eastAsia="等线" w:cs="Arial"/>
          <w:b/>
          <w:sz w:val="36"/>
        </w:rPr>
        <w:t>6 非功能需求技术落地设计</w:t>
      </w:r>
      <w:bookmarkEnd w:id="35"/>
    </w:p>
    <w:p w14:paraId="2522A451">
      <w:pPr>
        <w:spacing w:before="320" w:after="120" w:line="288" w:lineRule="auto"/>
        <w:ind w:left="0"/>
        <w:jc w:val="left"/>
        <w:outlineLvl w:val="1"/>
      </w:pPr>
      <w:bookmarkStart w:id="36" w:name="heading_37"/>
      <w:r>
        <w:rPr>
          <w:rFonts w:ascii="Arial" w:hAnsi="Arial" w:eastAsia="等线" w:cs="Arial"/>
          <w:b/>
          <w:sz w:val="32"/>
        </w:rPr>
        <w:t>6.1 性能保障设计</w:t>
      </w:r>
      <w:bookmarkEnd w:id="36"/>
    </w:p>
    <w:p w14:paraId="631FD821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缓存优化</w:t>
      </w:r>
      <w:r>
        <w:rPr>
          <w:rFonts w:ascii="Arial" w:hAnsi="Arial" w:eastAsia="等线" w:cs="Arial"/>
          <w:sz w:val="22"/>
        </w:rPr>
        <w:t>：文档结构化结果、审查规则全量缓存，减少磁盘IO与数据库查询。</w:t>
      </w:r>
    </w:p>
    <w:p w14:paraId="2B3FF744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异步任务</w:t>
      </w:r>
      <w:r>
        <w:rPr>
          <w:rFonts w:ascii="Arial" w:hAnsi="Arial" w:eastAsia="等线" w:cs="Arial"/>
          <w:sz w:val="22"/>
        </w:rPr>
        <w:t>：大文件解析、合规语义分析异步执行，避免接口阻塞。</w:t>
      </w:r>
    </w:p>
    <w:p w14:paraId="55B1F7B9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分块处理</w:t>
      </w:r>
      <w:r>
        <w:rPr>
          <w:rFonts w:ascii="Arial" w:hAnsi="Arial" w:eastAsia="等线" w:cs="Arial"/>
          <w:sz w:val="22"/>
        </w:rPr>
        <w:t>：百页级大文档分块解析、分块比对，避免内存溢出。</w:t>
      </w:r>
    </w:p>
    <w:p w14:paraId="4CCFA202">
      <w:pPr>
        <w:spacing w:before="320" w:after="120" w:line="288" w:lineRule="auto"/>
        <w:ind w:left="0"/>
        <w:jc w:val="left"/>
        <w:outlineLvl w:val="1"/>
      </w:pPr>
      <w:bookmarkStart w:id="37" w:name="heading_38"/>
      <w:r>
        <w:rPr>
          <w:rFonts w:ascii="Arial" w:hAnsi="Arial" w:eastAsia="等线" w:cs="Arial"/>
          <w:b/>
          <w:sz w:val="32"/>
        </w:rPr>
        <w:t>6.2 数据安全设计</w:t>
      </w:r>
      <w:bookmarkEnd w:id="37"/>
    </w:p>
    <w:p w14:paraId="41885AE4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本地化私有化部署</w:t>
      </w:r>
      <w:r>
        <w:rPr>
          <w:rFonts w:ascii="Arial" w:hAnsi="Arial" w:eastAsia="等线" w:cs="Arial"/>
          <w:sz w:val="22"/>
        </w:rPr>
        <w:t>：所有文件、数据存储于企业内网，无外网数据传输。</w:t>
      </w:r>
    </w:p>
    <w:p w14:paraId="329B14BD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数据加密</w:t>
      </w:r>
      <w:r>
        <w:rPr>
          <w:rFonts w:ascii="Arial" w:hAnsi="Arial" w:eastAsia="等线" w:cs="Arial"/>
          <w:sz w:val="22"/>
        </w:rPr>
        <w:t>：合同原文、敏感字段AES加密入库，文件存储私有加密策略。</w:t>
      </w:r>
    </w:p>
    <w:p w14:paraId="22CD0181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全量审计</w:t>
      </w:r>
      <w:r>
        <w:rPr>
          <w:rFonts w:ascii="Arial" w:hAnsi="Arial" w:eastAsia="等线" w:cs="Arial"/>
          <w:sz w:val="22"/>
        </w:rPr>
        <w:t>：所有操作、模板变更、审查记录、导出行为全日志留存，可追溯。</w:t>
      </w:r>
    </w:p>
    <w:p w14:paraId="74F951C4">
      <w:pPr>
        <w:spacing w:before="320" w:after="120" w:line="288" w:lineRule="auto"/>
        <w:ind w:left="0"/>
        <w:jc w:val="left"/>
        <w:outlineLvl w:val="1"/>
      </w:pPr>
      <w:bookmarkStart w:id="38" w:name="heading_39"/>
      <w:r>
        <w:rPr>
          <w:rFonts w:ascii="Arial" w:hAnsi="Arial" w:eastAsia="等线" w:cs="Arial"/>
          <w:b/>
          <w:sz w:val="32"/>
        </w:rPr>
        <w:t>6.3 兼容性设计</w:t>
      </w:r>
      <w:bookmarkEnd w:id="38"/>
    </w:p>
    <w:p w14:paraId="07022E2A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支持docx原生Word、原生PDF兼容。</w:t>
      </w:r>
    </w:p>
    <w:p w14:paraId="1C2B8AA1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适配不同版本合同模板，支持版本追溯与回滚。</w:t>
      </w:r>
    </w:p>
    <w:p w14:paraId="275D85E6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接口标准化设计，支持对接OA、ERP等第三方业务系统。</w:t>
      </w:r>
    </w:p>
    <w:p w14:paraId="1BE16300">
      <w:pPr>
        <w:spacing w:before="320" w:after="120" w:line="288" w:lineRule="auto"/>
        <w:ind w:left="0"/>
        <w:jc w:val="left"/>
        <w:outlineLvl w:val="1"/>
      </w:pPr>
      <w:bookmarkStart w:id="39" w:name="heading_40"/>
      <w:r>
        <w:rPr>
          <w:rFonts w:ascii="Arial" w:hAnsi="Arial" w:eastAsia="等线" w:cs="Arial"/>
          <w:b/>
          <w:sz w:val="32"/>
        </w:rPr>
        <w:t>6.4 扩展性设计</w:t>
      </w:r>
      <w:bookmarkEnd w:id="39"/>
    </w:p>
    <w:p w14:paraId="3C442862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审查步骤插件化：支持后续新增审查节点，无需重构核心架构。</w:t>
      </w:r>
    </w:p>
    <w:p w14:paraId="640AA539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规则引擎配置化：新增校验规则、合规风险无需开发代码。</w:t>
      </w:r>
    </w:p>
    <w:p w14:paraId="19CC7356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模型解耦：语义审查模型可平滑升级替换，不影响业务逻辑。</w:t>
      </w:r>
    </w:p>
    <w:p w14:paraId="17132140">
      <w:pPr>
        <w:spacing w:before="380" w:after="140" w:line="288" w:lineRule="auto"/>
        <w:ind w:left="0"/>
        <w:jc w:val="left"/>
        <w:outlineLvl w:val="0"/>
      </w:pPr>
      <w:bookmarkStart w:id="40" w:name="heading_41"/>
      <w:r>
        <w:rPr>
          <w:rFonts w:ascii="Arial" w:hAnsi="Arial" w:eastAsia="等线" w:cs="Arial"/>
          <w:b/>
          <w:sz w:val="36"/>
        </w:rPr>
        <w:t>7 部署与运维方案</w:t>
      </w:r>
      <w:bookmarkEnd w:id="40"/>
    </w:p>
    <w:p w14:paraId="68CBCD44">
      <w:pPr>
        <w:spacing w:before="120" w:after="120" w:line="288" w:lineRule="auto"/>
        <w:ind w:left="0"/>
        <w:jc w:val="left"/>
      </w:pPr>
      <w:bookmarkStart w:id="41" w:name="heading_42"/>
      <w:r>
        <w:rPr>
          <w:rFonts w:ascii="Arial" w:hAnsi="Arial" w:eastAsia="等线" w:cs="Arial"/>
          <w:b/>
          <w:sz w:val="32"/>
        </w:rPr>
        <w:t xml:space="preserve">7.1 </w:t>
      </w:r>
      <w:bookmarkEnd w:id="41"/>
      <w:bookmarkStart w:id="42" w:name="heading_43"/>
      <w:r>
        <w:rPr>
          <w:rFonts w:ascii="Arial" w:hAnsi="Arial" w:eastAsia="等线" w:cs="Arial"/>
          <w:b/>
          <w:sz w:val="32"/>
        </w:rPr>
        <w:t xml:space="preserve"> 运维能力设计</w:t>
      </w:r>
      <w:bookmarkEnd w:id="42"/>
    </w:p>
    <w:p w14:paraId="03193426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服务状态监控：各模块运行状态、任务执行状态实时监控。</w:t>
      </w:r>
    </w:p>
    <w:p w14:paraId="39A874DA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日志运维：全量业务日志、错误日志、操作日志分类存储，支持检索排查。</w:t>
      </w:r>
    </w:p>
    <w:p w14:paraId="0C70D170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版本运维：模板版本、系统版本支持追溯、回滚、迭代升级。</w:t>
      </w:r>
    </w:p>
    <w:p w14:paraId="59BE32EE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数据备份：支持数据库、文件存储定时自动备份，保障数据安全。</w:t>
      </w:r>
    </w:p>
    <w:p w14:paraId="69256A6E">
      <w:pPr>
        <w:spacing w:before="380" w:after="140" w:line="288" w:lineRule="auto"/>
        <w:ind w:left="0"/>
        <w:jc w:val="left"/>
        <w:outlineLvl w:val="0"/>
      </w:pPr>
      <w:bookmarkStart w:id="43" w:name="heading_44"/>
      <w:r>
        <w:rPr>
          <w:rFonts w:ascii="Arial" w:hAnsi="Arial" w:eastAsia="等线" w:cs="Arial"/>
          <w:b/>
          <w:sz w:val="36"/>
        </w:rPr>
        <w:t>8 风险与优化预案</w:t>
      </w:r>
      <w:bookmarkEnd w:id="43"/>
    </w:p>
    <w:p w14:paraId="5571A4CB">
      <w:pPr>
        <w:spacing w:before="320" w:after="120" w:line="288" w:lineRule="auto"/>
        <w:ind w:left="0"/>
        <w:jc w:val="left"/>
        <w:outlineLvl w:val="1"/>
      </w:pPr>
      <w:bookmarkStart w:id="44" w:name="heading_45"/>
      <w:r>
        <w:rPr>
          <w:rFonts w:ascii="Arial" w:hAnsi="Arial" w:eastAsia="等线" w:cs="Arial"/>
          <w:b/>
          <w:sz w:val="32"/>
        </w:rPr>
        <w:t>8.1 技术风险预案</w:t>
      </w:r>
      <w:bookmarkEnd w:id="44"/>
    </w:p>
    <w:p w14:paraId="343D2248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大文档解析超时：分块异步解析+缓存兜底策略。</w:t>
      </w:r>
    </w:p>
    <w:p w14:paraId="6146283A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语义识别误判：人工复核机制+相似度阈值可配置优化。</w:t>
      </w:r>
    </w:p>
    <w:p w14:paraId="0C3B082F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文件格式兼容异常：格式预处理校验+异常兜底提示。</w:t>
      </w:r>
    </w:p>
    <w:p w14:paraId="5C987A28">
      <w:pPr>
        <w:spacing w:before="320" w:after="120" w:line="288" w:lineRule="auto"/>
        <w:ind w:left="0"/>
        <w:jc w:val="left"/>
        <w:outlineLvl w:val="1"/>
      </w:pPr>
      <w:bookmarkStart w:id="45" w:name="heading_46"/>
      <w:r>
        <w:rPr>
          <w:rFonts w:ascii="Arial" w:hAnsi="Arial" w:eastAsia="等线" w:cs="Arial"/>
          <w:b/>
          <w:sz w:val="32"/>
        </w:rPr>
        <w:t>8.2 持续优化方案</w:t>
      </w:r>
      <w:bookmarkEnd w:id="45"/>
    </w:p>
    <w:p w14:paraId="5CA97B65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积累审查样本，持续迭代合规知识库与语义模型阈值。</w:t>
      </w:r>
    </w:p>
    <w:p w14:paraId="180A8C94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优化文档解析算法，提升复杂表格、嵌套条款的识别准确率。</w:t>
      </w:r>
    </w:p>
    <w:p w14:paraId="2390EF69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迭代流程编排能力，支持更复杂的多级人工审核流程。</w:t>
      </w:r>
    </w:p>
    <w:p w14:paraId="2FD682B1">
      <w:pPr>
        <w:spacing w:before="380" w:after="140" w:line="288" w:lineRule="auto"/>
        <w:ind w:left="0"/>
        <w:jc w:val="left"/>
        <w:outlineLvl w:val="0"/>
      </w:pPr>
      <w:bookmarkStart w:id="46" w:name="heading_47"/>
      <w:r>
        <w:rPr>
          <w:rFonts w:ascii="Arial" w:hAnsi="Arial" w:eastAsia="等线" w:cs="Arial"/>
          <w:b/>
          <w:sz w:val="36"/>
        </w:rPr>
        <w:t>9 落地实施阶段规划</w:t>
      </w:r>
      <w:bookmarkEnd w:id="46"/>
    </w:p>
    <w:p w14:paraId="736E6CDD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第一阶段：基础底座搭建</w:t>
      </w:r>
      <w:r>
        <w:rPr>
          <w:rFonts w:ascii="Arial" w:hAnsi="Arial" w:eastAsia="等线" w:cs="Arial"/>
          <w:sz w:val="22"/>
        </w:rPr>
        <w:t>：环境部署、数据库设计、存储搭建、基础接口开发。</w:t>
      </w:r>
    </w:p>
    <w:p w14:paraId="39E892F6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第二阶段：核心能力开发</w:t>
      </w:r>
      <w:r>
        <w:rPr>
          <w:rFonts w:ascii="Arial" w:hAnsi="Arial" w:eastAsia="等线" w:cs="Arial"/>
          <w:sz w:val="22"/>
        </w:rPr>
        <w:t>：文档解析、模板标注、一阶篡改比对核心能力落地。</w:t>
      </w:r>
    </w:p>
    <w:p w14:paraId="7B715A03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第三阶段：流程与规则开发</w:t>
      </w:r>
      <w:r>
        <w:rPr>
          <w:rFonts w:ascii="Arial" w:hAnsi="Arial" w:eastAsia="等线" w:cs="Arial"/>
          <w:sz w:val="22"/>
        </w:rPr>
        <w:t>：流程编排引擎、二阶数据校验、三阶合规审查落地。</w:t>
      </w:r>
    </w:p>
    <w:p w14:paraId="2844058F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第四阶段：前端可视化开发</w:t>
      </w:r>
      <w:r>
        <w:rPr>
          <w:rFonts w:ascii="Arial" w:hAnsi="Arial" w:eastAsia="等线" w:cs="Arial"/>
          <w:sz w:val="22"/>
        </w:rPr>
        <w:t>：双栏对比、差异高亮、报告展示、后台配置页面开发。</w:t>
      </w:r>
    </w:p>
    <w:p w14:paraId="6FB640F5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第五阶段：测试优化与交付</w:t>
      </w:r>
      <w:r>
        <w:rPr>
          <w:rFonts w:ascii="Arial" w:hAnsi="Arial" w:eastAsia="等线" w:cs="Arial"/>
          <w:sz w:val="22"/>
        </w:rPr>
        <w:t>：功能测试、性能压测、安全测试、私有化部署交付。</w:t>
      </w:r>
      <w:bookmarkStart w:id="47" w:name="_GoBack"/>
      <w:bookmarkEnd w:id="47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SimHei">
    <w:altName w:val="文泉驿微米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Liberation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03" w:usb1="2BDF3C10" w:usb2="00000016" w:usb3="00000000" w:csb0="602E0107" w:csb1="00000000"/>
  </w:font>
  <w:font w:name="等线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5D9D7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33ED9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DE0024"/>
    <w:multiLevelType w:val="singleLevel"/>
    <w:tmpl w:val="8FDE002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8FFFC971"/>
    <w:multiLevelType w:val="singleLevel"/>
    <w:tmpl w:val="8FFFC97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96CB2E9A"/>
    <w:multiLevelType w:val="singleLevel"/>
    <w:tmpl w:val="96CB2E9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9EF07568"/>
    <w:multiLevelType w:val="singleLevel"/>
    <w:tmpl w:val="9EF0756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9F9FDCBA"/>
    <w:multiLevelType w:val="singleLevel"/>
    <w:tmpl w:val="9F9FDC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A7B7BEF1"/>
    <w:multiLevelType w:val="singleLevel"/>
    <w:tmpl w:val="A7B7BEF1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">
    <w:nsid w:val="AAE683B6"/>
    <w:multiLevelType w:val="singleLevel"/>
    <w:tmpl w:val="AAE683B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B377ED2E"/>
    <w:multiLevelType w:val="singleLevel"/>
    <w:tmpl w:val="B377ED2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B3968983"/>
    <w:multiLevelType w:val="singleLevel"/>
    <w:tmpl w:val="B396898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B5FF3A39"/>
    <w:multiLevelType w:val="singleLevel"/>
    <w:tmpl w:val="B5FF3A3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">
    <w:nsid w:val="B7F5BC03"/>
    <w:multiLevelType w:val="singleLevel"/>
    <w:tmpl w:val="B7F5BC0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">
    <w:nsid w:val="B9FE23E9"/>
    <w:multiLevelType w:val="singleLevel"/>
    <w:tmpl w:val="B9FE23E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BB965452"/>
    <w:multiLevelType w:val="singleLevel"/>
    <w:tmpl w:val="BB96545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3">
    <w:nsid w:val="BDFE28C3"/>
    <w:multiLevelType w:val="singleLevel"/>
    <w:tmpl w:val="BDFE28C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">
    <w:nsid w:val="BEBDF6B8"/>
    <w:multiLevelType w:val="singleLevel"/>
    <w:tmpl w:val="BEBDF6B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">
    <w:nsid w:val="BFAFEC0A"/>
    <w:multiLevelType w:val="singleLevel"/>
    <w:tmpl w:val="BFAFEC0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BFDDD664"/>
    <w:multiLevelType w:val="singleLevel"/>
    <w:tmpl w:val="BFDDD66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BFFDDD8D"/>
    <w:multiLevelType w:val="singleLevel"/>
    <w:tmpl w:val="BFFDDD8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C777428D"/>
    <w:multiLevelType w:val="singleLevel"/>
    <w:tmpl w:val="C777428D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9">
    <w:nsid w:val="CBFEC95C"/>
    <w:multiLevelType w:val="singleLevel"/>
    <w:tmpl w:val="CBFEC95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">
    <w:nsid w:val="CC672F05"/>
    <w:multiLevelType w:val="singleLevel"/>
    <w:tmpl w:val="CC672F0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D1FE4410"/>
    <w:multiLevelType w:val="singleLevel"/>
    <w:tmpl w:val="D1FE441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D67DBB1B"/>
    <w:multiLevelType w:val="singleLevel"/>
    <w:tmpl w:val="D67DBB1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">
    <w:nsid w:val="D78E1109"/>
    <w:multiLevelType w:val="singleLevel"/>
    <w:tmpl w:val="D78E110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DA7ABC0F"/>
    <w:multiLevelType w:val="singleLevel"/>
    <w:tmpl w:val="DA7ABC0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DAF358CA"/>
    <w:multiLevelType w:val="singleLevel"/>
    <w:tmpl w:val="DAF358C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">
    <w:nsid w:val="DB7E5D42"/>
    <w:multiLevelType w:val="singleLevel"/>
    <w:tmpl w:val="DB7E5D42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7">
    <w:nsid w:val="DDDE273E"/>
    <w:multiLevelType w:val="singleLevel"/>
    <w:tmpl w:val="DDDE273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8">
    <w:nsid w:val="DEBB3ED0"/>
    <w:multiLevelType w:val="singleLevel"/>
    <w:tmpl w:val="DEBB3ED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DFBE194C"/>
    <w:multiLevelType w:val="singleLevel"/>
    <w:tmpl w:val="DFBE194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0">
    <w:nsid w:val="DFC8299F"/>
    <w:multiLevelType w:val="singleLevel"/>
    <w:tmpl w:val="DFC8299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1">
    <w:nsid w:val="DFF2FB56"/>
    <w:multiLevelType w:val="singleLevel"/>
    <w:tmpl w:val="DFF2FB5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2">
    <w:nsid w:val="DFFEA26E"/>
    <w:multiLevelType w:val="singleLevel"/>
    <w:tmpl w:val="DFFEA26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E6F9F7E5"/>
    <w:multiLevelType w:val="singleLevel"/>
    <w:tmpl w:val="E6F9F7E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4">
    <w:nsid w:val="E9FC60FB"/>
    <w:multiLevelType w:val="singleLevel"/>
    <w:tmpl w:val="E9FC60F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">
    <w:nsid w:val="ED6C5A83"/>
    <w:multiLevelType w:val="singleLevel"/>
    <w:tmpl w:val="ED6C5A8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">
    <w:nsid w:val="EDEE64E9"/>
    <w:multiLevelType w:val="singleLevel"/>
    <w:tmpl w:val="EDEE64E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7">
    <w:nsid w:val="EDFB4C6D"/>
    <w:multiLevelType w:val="singleLevel"/>
    <w:tmpl w:val="EDFB4C6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8">
    <w:nsid w:val="EDFBEABC"/>
    <w:multiLevelType w:val="singleLevel"/>
    <w:tmpl w:val="EDFBEAB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9">
    <w:nsid w:val="EE6AACCC"/>
    <w:multiLevelType w:val="singleLevel"/>
    <w:tmpl w:val="EE6AACC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0">
    <w:nsid w:val="EFEECA2A"/>
    <w:multiLevelType w:val="singleLevel"/>
    <w:tmpl w:val="EFEECA2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1">
    <w:nsid w:val="EFEF142F"/>
    <w:multiLevelType w:val="singleLevel"/>
    <w:tmpl w:val="EFEF142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2">
    <w:nsid w:val="EFFC1C1C"/>
    <w:multiLevelType w:val="singleLevel"/>
    <w:tmpl w:val="EFFC1C1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3">
    <w:nsid w:val="F5CF8F01"/>
    <w:multiLevelType w:val="singleLevel"/>
    <w:tmpl w:val="F5CF8F0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4">
    <w:nsid w:val="F5DA7C44"/>
    <w:multiLevelType w:val="singleLevel"/>
    <w:tmpl w:val="F5DA7C4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5">
    <w:nsid w:val="F5EFD8C1"/>
    <w:multiLevelType w:val="singleLevel"/>
    <w:tmpl w:val="F5EFD8C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6">
    <w:nsid w:val="F63D54BC"/>
    <w:multiLevelType w:val="singleLevel"/>
    <w:tmpl w:val="F63D54B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7">
    <w:nsid w:val="F6FE1A76"/>
    <w:multiLevelType w:val="singleLevel"/>
    <w:tmpl w:val="F6FE1A7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8">
    <w:nsid w:val="F76F4EBF"/>
    <w:multiLevelType w:val="singleLevel"/>
    <w:tmpl w:val="F76F4EB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9">
    <w:nsid w:val="F7BBF886"/>
    <w:multiLevelType w:val="singleLevel"/>
    <w:tmpl w:val="F7BBF88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0">
    <w:nsid w:val="F7CA0C9C"/>
    <w:multiLevelType w:val="singleLevel"/>
    <w:tmpl w:val="F7CA0C9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1">
    <w:nsid w:val="F7EF15FF"/>
    <w:multiLevelType w:val="singleLevel"/>
    <w:tmpl w:val="F7EF15F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2">
    <w:nsid w:val="F7F7DEB8"/>
    <w:multiLevelType w:val="singleLevel"/>
    <w:tmpl w:val="F7F7DE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3">
    <w:nsid w:val="F97473D4"/>
    <w:multiLevelType w:val="singleLevel"/>
    <w:tmpl w:val="F97473D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4">
    <w:nsid w:val="F9FBE3DB"/>
    <w:multiLevelType w:val="singleLevel"/>
    <w:tmpl w:val="F9FBE3D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5">
    <w:nsid w:val="FAFBE809"/>
    <w:multiLevelType w:val="singleLevel"/>
    <w:tmpl w:val="FAFBE80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6">
    <w:nsid w:val="FB4919ED"/>
    <w:multiLevelType w:val="singleLevel"/>
    <w:tmpl w:val="FB4919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7">
    <w:nsid w:val="FB96A02E"/>
    <w:multiLevelType w:val="singleLevel"/>
    <w:tmpl w:val="FB96A02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8">
    <w:nsid w:val="FBEC1113"/>
    <w:multiLevelType w:val="singleLevel"/>
    <w:tmpl w:val="FBEC111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9">
    <w:nsid w:val="FC9D1D0C"/>
    <w:multiLevelType w:val="singleLevel"/>
    <w:tmpl w:val="FC9D1D0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0">
    <w:nsid w:val="FD9EAE07"/>
    <w:multiLevelType w:val="singleLevel"/>
    <w:tmpl w:val="FD9EAE07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61">
    <w:nsid w:val="FDBE9D2C"/>
    <w:multiLevelType w:val="singleLevel"/>
    <w:tmpl w:val="FDBE9D2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2">
    <w:nsid w:val="FDBF0C3C"/>
    <w:multiLevelType w:val="singleLevel"/>
    <w:tmpl w:val="FDBF0C3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3">
    <w:nsid w:val="FDFE5594"/>
    <w:multiLevelType w:val="singleLevel"/>
    <w:tmpl w:val="FDFE559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4">
    <w:nsid w:val="FDFF61B2"/>
    <w:multiLevelType w:val="singleLevel"/>
    <w:tmpl w:val="FDFF61B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5">
    <w:nsid w:val="FE5F3CF3"/>
    <w:multiLevelType w:val="singleLevel"/>
    <w:tmpl w:val="FE5F3CF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6">
    <w:nsid w:val="FEBEAC0F"/>
    <w:multiLevelType w:val="singleLevel"/>
    <w:tmpl w:val="FEBEAC0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7">
    <w:nsid w:val="FF6AA1C4"/>
    <w:multiLevelType w:val="singleLevel"/>
    <w:tmpl w:val="FF6AA1C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8">
    <w:nsid w:val="FFC3D2CC"/>
    <w:multiLevelType w:val="singleLevel"/>
    <w:tmpl w:val="FFC3D2C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9">
    <w:nsid w:val="FFCE5F93"/>
    <w:multiLevelType w:val="singleLevel"/>
    <w:tmpl w:val="FFCE5F9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0">
    <w:nsid w:val="FFD8766C"/>
    <w:multiLevelType w:val="singleLevel"/>
    <w:tmpl w:val="FFD8766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1">
    <w:nsid w:val="FFF23203"/>
    <w:multiLevelType w:val="singleLevel"/>
    <w:tmpl w:val="FFF2320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2">
    <w:nsid w:val="FFF6B3D7"/>
    <w:multiLevelType w:val="singleLevel"/>
    <w:tmpl w:val="FFF6B3D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3">
    <w:nsid w:val="FFFB58E4"/>
    <w:multiLevelType w:val="singleLevel"/>
    <w:tmpl w:val="FFFB58E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4">
    <w:nsid w:val="FFFE616D"/>
    <w:multiLevelType w:val="singleLevel"/>
    <w:tmpl w:val="FFFE616D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5">
    <w:nsid w:val="FFFEC756"/>
    <w:multiLevelType w:val="singleLevel"/>
    <w:tmpl w:val="FFFEC75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6">
    <w:nsid w:val="FFFFF9DE"/>
    <w:multiLevelType w:val="singleLevel"/>
    <w:tmpl w:val="FFFFF9D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7">
    <w:nsid w:val="1CFC8657"/>
    <w:multiLevelType w:val="singleLevel"/>
    <w:tmpl w:val="1CFC865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8">
    <w:nsid w:val="1FFFF7B5"/>
    <w:multiLevelType w:val="singleLevel"/>
    <w:tmpl w:val="1FFFF7B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9">
    <w:nsid w:val="27FF5ED7"/>
    <w:multiLevelType w:val="singleLevel"/>
    <w:tmpl w:val="27FF5ED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0">
    <w:nsid w:val="2FDDD0AB"/>
    <w:multiLevelType w:val="singleLevel"/>
    <w:tmpl w:val="2FDDD0A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1">
    <w:nsid w:val="3EC32DF6"/>
    <w:multiLevelType w:val="singleLevel"/>
    <w:tmpl w:val="3EC32DF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2">
    <w:nsid w:val="3EFD9A2C"/>
    <w:multiLevelType w:val="singleLevel"/>
    <w:tmpl w:val="3EFD9A2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3">
    <w:nsid w:val="55BC3D55"/>
    <w:multiLevelType w:val="singleLevel"/>
    <w:tmpl w:val="55BC3D5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4">
    <w:nsid w:val="57380B95"/>
    <w:multiLevelType w:val="singleLevel"/>
    <w:tmpl w:val="57380B9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5">
    <w:nsid w:val="5AFBECCF"/>
    <w:multiLevelType w:val="singleLevel"/>
    <w:tmpl w:val="5AFBECC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6">
    <w:nsid w:val="5BE3A2D1"/>
    <w:multiLevelType w:val="singleLevel"/>
    <w:tmpl w:val="5BE3A2D1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7">
    <w:nsid w:val="5CFECA6F"/>
    <w:multiLevelType w:val="singleLevel"/>
    <w:tmpl w:val="5CFECA6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8">
    <w:nsid w:val="5E4B213A"/>
    <w:multiLevelType w:val="singleLevel"/>
    <w:tmpl w:val="5E4B213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9">
    <w:nsid w:val="5F7C103F"/>
    <w:multiLevelType w:val="singleLevel"/>
    <w:tmpl w:val="5F7C103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0">
    <w:nsid w:val="5F7EB3F8"/>
    <w:multiLevelType w:val="singleLevel"/>
    <w:tmpl w:val="5F7EB3F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1">
    <w:nsid w:val="5FB7CB45"/>
    <w:multiLevelType w:val="singleLevel"/>
    <w:tmpl w:val="5FB7CB4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2">
    <w:nsid w:val="636C9BFE"/>
    <w:multiLevelType w:val="singleLevel"/>
    <w:tmpl w:val="636C9BFE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3">
    <w:nsid w:val="67F8ED16"/>
    <w:multiLevelType w:val="singleLevel"/>
    <w:tmpl w:val="67F8ED1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4">
    <w:nsid w:val="69FF8162"/>
    <w:multiLevelType w:val="singleLevel"/>
    <w:tmpl w:val="69FF816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5">
    <w:nsid w:val="6EDF535B"/>
    <w:multiLevelType w:val="singleLevel"/>
    <w:tmpl w:val="6EDF53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6">
    <w:nsid w:val="6F6ABA0B"/>
    <w:multiLevelType w:val="singleLevel"/>
    <w:tmpl w:val="6F6ABA0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7">
    <w:nsid w:val="70DB7267"/>
    <w:multiLevelType w:val="singleLevel"/>
    <w:tmpl w:val="70DB726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8">
    <w:nsid w:val="7363936A"/>
    <w:multiLevelType w:val="singleLevel"/>
    <w:tmpl w:val="7363936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9">
    <w:nsid w:val="73D6A82E"/>
    <w:multiLevelType w:val="singleLevel"/>
    <w:tmpl w:val="73D6A82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0">
    <w:nsid w:val="75BFB4DF"/>
    <w:multiLevelType w:val="singleLevel"/>
    <w:tmpl w:val="75BFB4D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1">
    <w:nsid w:val="769226F3"/>
    <w:multiLevelType w:val="singleLevel"/>
    <w:tmpl w:val="769226F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2">
    <w:nsid w:val="77763AC5"/>
    <w:multiLevelType w:val="singleLevel"/>
    <w:tmpl w:val="77763AC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3">
    <w:nsid w:val="7B4ECA8E"/>
    <w:multiLevelType w:val="singleLevel"/>
    <w:tmpl w:val="7B4ECA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4">
    <w:nsid w:val="7BDC0F43"/>
    <w:multiLevelType w:val="singleLevel"/>
    <w:tmpl w:val="7BDC0F4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5">
    <w:nsid w:val="7F9E993C"/>
    <w:multiLevelType w:val="singleLevel"/>
    <w:tmpl w:val="7F9E993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6">
    <w:nsid w:val="7FEE941D"/>
    <w:multiLevelType w:val="singleLevel"/>
    <w:tmpl w:val="7FEE941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7">
    <w:nsid w:val="7FFC5F38"/>
    <w:multiLevelType w:val="singleLevel"/>
    <w:tmpl w:val="7FFC5F38"/>
    <w:lvl w:ilvl="0" w:tentative="0">
      <w:start w:val="6"/>
      <w:numFmt w:val="decimal"/>
      <w:lvlText w:val="%1."/>
      <w:lvlJc w:val="left"/>
      <w:rPr>
        <w:color w:val="3370FF"/>
      </w:rPr>
    </w:lvl>
  </w:abstractNum>
  <w:num w:numId="1">
    <w:abstractNumId w:val="48"/>
  </w:num>
  <w:num w:numId="2">
    <w:abstractNumId w:val="24"/>
  </w:num>
  <w:num w:numId="3">
    <w:abstractNumId w:val="75"/>
  </w:num>
  <w:num w:numId="4">
    <w:abstractNumId w:val="47"/>
  </w:num>
  <w:num w:numId="5">
    <w:abstractNumId w:val="92"/>
  </w:num>
  <w:num w:numId="6">
    <w:abstractNumId w:val="64"/>
  </w:num>
  <w:num w:numId="7">
    <w:abstractNumId w:val="100"/>
  </w:num>
  <w:num w:numId="8">
    <w:abstractNumId w:val="1"/>
  </w:num>
  <w:num w:numId="9">
    <w:abstractNumId w:val="18"/>
  </w:num>
  <w:num w:numId="10">
    <w:abstractNumId w:val="55"/>
  </w:num>
  <w:num w:numId="11">
    <w:abstractNumId w:val="16"/>
  </w:num>
  <w:num w:numId="12">
    <w:abstractNumId w:val="49"/>
  </w:num>
  <w:num w:numId="13">
    <w:abstractNumId w:val="68"/>
  </w:num>
  <w:num w:numId="14">
    <w:abstractNumId w:val="77"/>
  </w:num>
  <w:num w:numId="15">
    <w:abstractNumId w:val="89"/>
  </w:num>
  <w:num w:numId="16">
    <w:abstractNumId w:val="79"/>
  </w:num>
  <w:num w:numId="17">
    <w:abstractNumId w:val="43"/>
  </w:num>
  <w:num w:numId="18">
    <w:abstractNumId w:val="22"/>
  </w:num>
  <w:num w:numId="19">
    <w:abstractNumId w:val="51"/>
  </w:num>
  <w:num w:numId="20">
    <w:abstractNumId w:val="104"/>
  </w:num>
  <w:num w:numId="21">
    <w:abstractNumId w:val="73"/>
  </w:num>
  <w:num w:numId="22">
    <w:abstractNumId w:val="19"/>
  </w:num>
  <w:num w:numId="23">
    <w:abstractNumId w:val="38"/>
  </w:num>
  <w:num w:numId="24">
    <w:abstractNumId w:val="106"/>
  </w:num>
  <w:num w:numId="25">
    <w:abstractNumId w:val="107"/>
  </w:num>
  <w:num w:numId="26">
    <w:abstractNumId w:val="93"/>
  </w:num>
  <w:num w:numId="27">
    <w:abstractNumId w:val="70"/>
  </w:num>
  <w:num w:numId="28">
    <w:abstractNumId w:val="40"/>
  </w:num>
  <w:num w:numId="29">
    <w:abstractNumId w:val="102"/>
  </w:num>
  <w:num w:numId="30">
    <w:abstractNumId w:val="26"/>
  </w:num>
  <w:num w:numId="31">
    <w:abstractNumId w:val="53"/>
  </w:num>
  <w:num w:numId="32">
    <w:abstractNumId w:val="83"/>
  </w:num>
  <w:num w:numId="33">
    <w:abstractNumId w:val="3"/>
  </w:num>
  <w:num w:numId="34">
    <w:abstractNumId w:val="54"/>
  </w:num>
  <w:num w:numId="35">
    <w:abstractNumId w:val="45"/>
  </w:num>
  <w:num w:numId="36">
    <w:abstractNumId w:val="101"/>
  </w:num>
  <w:num w:numId="37">
    <w:abstractNumId w:val="46"/>
  </w:num>
  <w:num w:numId="38">
    <w:abstractNumId w:val="97"/>
  </w:num>
  <w:num w:numId="39">
    <w:abstractNumId w:val="52"/>
  </w:num>
  <w:num w:numId="40">
    <w:abstractNumId w:val="13"/>
  </w:num>
  <w:num w:numId="41">
    <w:abstractNumId w:val="84"/>
  </w:num>
  <w:num w:numId="42">
    <w:abstractNumId w:val="61"/>
  </w:num>
  <w:num w:numId="43">
    <w:abstractNumId w:val="85"/>
  </w:num>
  <w:num w:numId="44">
    <w:abstractNumId w:val="95"/>
  </w:num>
  <w:num w:numId="45">
    <w:abstractNumId w:val="82"/>
  </w:num>
  <w:num w:numId="46">
    <w:abstractNumId w:val="66"/>
  </w:num>
  <w:num w:numId="47">
    <w:abstractNumId w:val="59"/>
  </w:num>
  <w:num w:numId="48">
    <w:abstractNumId w:val="37"/>
  </w:num>
  <w:num w:numId="49">
    <w:abstractNumId w:val="27"/>
  </w:num>
  <w:num w:numId="50">
    <w:abstractNumId w:val="11"/>
  </w:num>
  <w:num w:numId="51">
    <w:abstractNumId w:val="50"/>
  </w:num>
  <w:num w:numId="52">
    <w:abstractNumId w:val="42"/>
  </w:num>
  <w:num w:numId="53">
    <w:abstractNumId w:val="62"/>
  </w:num>
  <w:num w:numId="54">
    <w:abstractNumId w:val="9"/>
  </w:num>
  <w:num w:numId="55">
    <w:abstractNumId w:val="56"/>
  </w:num>
  <w:num w:numId="56">
    <w:abstractNumId w:val="36"/>
  </w:num>
  <w:num w:numId="57">
    <w:abstractNumId w:val="23"/>
  </w:num>
  <w:num w:numId="58">
    <w:abstractNumId w:val="74"/>
  </w:num>
  <w:num w:numId="59">
    <w:abstractNumId w:val="98"/>
  </w:num>
  <w:num w:numId="60">
    <w:abstractNumId w:val="7"/>
  </w:num>
  <w:num w:numId="61">
    <w:abstractNumId w:val="94"/>
  </w:num>
  <w:num w:numId="62">
    <w:abstractNumId w:val="10"/>
  </w:num>
  <w:num w:numId="63">
    <w:abstractNumId w:val="71"/>
  </w:num>
  <w:num w:numId="64">
    <w:abstractNumId w:val="25"/>
  </w:num>
  <w:num w:numId="65">
    <w:abstractNumId w:val="41"/>
  </w:num>
  <w:num w:numId="66">
    <w:abstractNumId w:val="65"/>
  </w:num>
  <w:num w:numId="67">
    <w:abstractNumId w:val="57"/>
  </w:num>
  <w:num w:numId="68">
    <w:abstractNumId w:val="67"/>
  </w:num>
  <w:num w:numId="69">
    <w:abstractNumId w:val="17"/>
  </w:num>
  <w:num w:numId="70">
    <w:abstractNumId w:val="44"/>
  </w:num>
  <w:num w:numId="71">
    <w:abstractNumId w:val="8"/>
  </w:num>
  <w:num w:numId="72">
    <w:abstractNumId w:val="32"/>
  </w:num>
  <w:num w:numId="73">
    <w:abstractNumId w:val="72"/>
  </w:num>
  <w:num w:numId="74">
    <w:abstractNumId w:val="58"/>
  </w:num>
  <w:num w:numId="75">
    <w:abstractNumId w:val="12"/>
  </w:num>
  <w:num w:numId="76">
    <w:abstractNumId w:val="30"/>
  </w:num>
  <w:num w:numId="77">
    <w:abstractNumId w:val="60"/>
  </w:num>
  <w:num w:numId="78">
    <w:abstractNumId w:val="81"/>
  </w:num>
  <w:num w:numId="79">
    <w:abstractNumId w:val="80"/>
  </w:num>
  <w:num w:numId="80">
    <w:abstractNumId w:val="96"/>
  </w:num>
  <w:num w:numId="81">
    <w:abstractNumId w:val="14"/>
  </w:num>
  <w:num w:numId="82">
    <w:abstractNumId w:val="86"/>
  </w:num>
  <w:num w:numId="83">
    <w:abstractNumId w:val="103"/>
  </w:num>
  <w:num w:numId="84">
    <w:abstractNumId w:val="99"/>
  </w:num>
  <w:num w:numId="85">
    <w:abstractNumId w:val="63"/>
  </w:num>
  <w:num w:numId="86">
    <w:abstractNumId w:val="69"/>
  </w:num>
  <w:num w:numId="87">
    <w:abstractNumId w:val="2"/>
  </w:num>
  <w:num w:numId="88">
    <w:abstractNumId w:val="21"/>
  </w:num>
  <w:num w:numId="89">
    <w:abstractNumId w:val="6"/>
  </w:num>
  <w:num w:numId="90">
    <w:abstractNumId w:val="35"/>
  </w:num>
  <w:num w:numId="91">
    <w:abstractNumId w:val="88"/>
  </w:num>
  <w:num w:numId="92">
    <w:abstractNumId w:val="15"/>
  </w:num>
  <w:num w:numId="93">
    <w:abstractNumId w:val="33"/>
  </w:num>
  <w:num w:numId="94">
    <w:abstractNumId w:val="28"/>
  </w:num>
  <w:num w:numId="95">
    <w:abstractNumId w:val="34"/>
  </w:num>
  <w:num w:numId="96">
    <w:abstractNumId w:val="0"/>
  </w:num>
  <w:num w:numId="97">
    <w:abstractNumId w:val="76"/>
  </w:num>
  <w:num w:numId="98">
    <w:abstractNumId w:val="87"/>
  </w:num>
  <w:num w:numId="99">
    <w:abstractNumId w:val="31"/>
  </w:num>
  <w:num w:numId="100">
    <w:abstractNumId w:val="20"/>
  </w:num>
  <w:num w:numId="101">
    <w:abstractNumId w:val="29"/>
  </w:num>
  <w:num w:numId="102">
    <w:abstractNumId w:val="91"/>
  </w:num>
  <w:num w:numId="103">
    <w:abstractNumId w:val="105"/>
  </w:num>
  <w:num w:numId="104">
    <w:abstractNumId w:val="39"/>
  </w:num>
  <w:num w:numId="105">
    <w:abstractNumId w:val="90"/>
  </w:num>
  <w:num w:numId="106">
    <w:abstractNumId w:val="4"/>
  </w:num>
  <w:num w:numId="107">
    <w:abstractNumId w:val="78"/>
  </w:num>
  <w:num w:numId="1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18C577FD"/>
    <w:rsid w:val="3F4FC2C9"/>
    <w:rsid w:val="4F3FC702"/>
    <w:rsid w:val="4FBFC41C"/>
    <w:rsid w:val="597DD417"/>
    <w:rsid w:val="5DFF4FD3"/>
    <w:rsid w:val="5FFF50FF"/>
    <w:rsid w:val="67FC88B3"/>
    <w:rsid w:val="7AEF0177"/>
    <w:rsid w:val="7BE8CB35"/>
    <w:rsid w:val="7D5E4787"/>
    <w:rsid w:val="7F37DEE9"/>
    <w:rsid w:val="7FFD33C5"/>
    <w:rsid w:val="7FFFB99A"/>
    <w:rsid w:val="9F7F369F"/>
    <w:rsid w:val="AD5FE798"/>
    <w:rsid w:val="B3EF1618"/>
    <w:rsid w:val="B7FFD07E"/>
    <w:rsid w:val="BAFBA788"/>
    <w:rsid w:val="E5DF97A4"/>
    <w:rsid w:val="EF6ECB51"/>
    <w:rsid w:val="EFFBB6BB"/>
    <w:rsid w:val="F5BE322D"/>
    <w:rsid w:val="FAB3A71B"/>
    <w:rsid w:val="FD9D4FF9"/>
    <w:rsid w:val="FEFA39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TotalTime>32</TotalTime>
  <ScaleCrop>false</ScaleCrop>
  <LinksUpToDate>false</LinksUpToDate>
  <Application>WPS Office_12.1.2.25882_F1E327BC-269C-435d-A152-05C5408002CA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2026-06-23T11:11:00Z</dcterms:created>
  <dc:creator>Apache POI</dc:creator>
  <cp:lastModifiedBy>cox</cp:lastModifiedBy>
  <dcterms:modified xsi:type="dcterms:W3CDTF">2026-06-23T11:57:16Z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{"Label":"1","ContentProducer":"001191110102MACQD9K64010000","ProduceID":"7654423257357995246","ReservedCode1":"","ContentPropagator":"","PropagateID":"","ReservedCode2":""}</vt:lpwstr>
  </property>
  <property fmtid="{D5CDD505-2E9C-101B-9397-08002B2CF9AE}" pid="3" name="KSOProductBuildVer">
    <vt:lpwstr>1033-12.1.2.25882</vt:lpwstr>
  </property>
  <property fmtid="{D5CDD505-2E9C-101B-9397-08002B2CF9AE}" pid="4" name="ICV">
    <vt:lpwstr>7BF8FE5F7639FF34F9013A6AEB72B671_42</vt:lpwstr>
  </property>
</Properties>
</file>