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360"/>
        <w:jc w:val="center"/>
      </w:pPr>
      <w:r>
        <w:rPr>
          <w:rFonts w:ascii="Calibri" w:hAnsi="Calibri" w:eastAsia="Microsoft YaHei"/>
          <w:b/>
          <w:color w:val="2E74B5"/>
          <w:sz w:val="22"/>
        </w:rPr>
        <w:t>研究指导文档</w:t>
      </w:r>
    </w:p>
    <w:p>
      <w:pPr>
        <w:spacing w:after="200"/>
        <w:jc w:val="center"/>
      </w:pPr>
      <w:r>
        <w:rPr>
          <w:rFonts w:ascii="Calibri" w:hAnsi="Calibri" w:eastAsia="Microsoft YaHei"/>
          <w:b/>
          <w:color w:val="0B2545"/>
          <w:sz w:val="56"/>
        </w:rPr>
        <w:t>长程 Agentic RL 的两类训练偏差</w:t>
      </w:r>
    </w:p>
    <w:p>
      <w:pPr>
        <w:spacing w:after="120"/>
        <w:jc w:val="center"/>
      </w:pPr>
      <w:r>
        <w:rPr>
          <w:rFonts w:ascii="Calibri" w:hAnsi="Calibri" w:eastAsia="Microsoft YaHei"/>
          <w:color w:val="1F4D78"/>
          <w:sz w:val="32"/>
        </w:rPr>
        <w:t>异步轨迹一致性与跨阶段能力合并</w:t>
      </w:r>
    </w:p>
    <w:p>
      <w:pPr>
        <w:spacing w:after="1000"/>
        <w:jc w:val="center"/>
      </w:pPr>
      <w:r>
        <w:rPr>
          <w:rFonts w:ascii="Calibri" w:hAnsi="Calibri" w:eastAsia="Microsoft YaHei"/>
          <w:i/>
          <w:color w:val="5F6875"/>
          <w:sz w:val="22"/>
        </w:rPr>
        <w:t>以 GLM-5/GLM-5.2 配套工作与 DeepSeek-V4 技术报告为起点</w:t>
      </w:r>
    </w:p>
    <w:p>
      <w:pPr>
        <w:spacing w:after="160"/>
        <w:jc w:val="center"/>
      </w:pPr>
      <w:r>
        <w:rPr>
          <w:rFonts w:ascii="Calibri" w:hAnsi="Calibri" w:eastAsia="Microsoft YaHei"/>
          <w:b/>
          <w:color w:val="2E74B5"/>
          <w:sz w:val="20"/>
        </w:rPr>
        <w:t>用途</w:t>
      </w:r>
    </w:p>
    <w:p>
      <w:pPr>
        <w:spacing w:after="800"/>
        <w:jc w:val="center"/>
      </w:pPr>
      <w:r>
        <w:rPr>
          <w:rFonts w:ascii="Calibri" w:hAnsi="Calibri" w:eastAsia="Microsoft YaHei"/>
          <w:color w:val="20252B"/>
          <w:sz w:val="22"/>
        </w:rPr>
        <w:t>界定核心问题、建立证据边界，并给出可验证的研究议程</w:t>
      </w:r>
    </w:p>
    <w:p>
      <w:pPr>
        <w:spacing w:after="80"/>
        <w:jc w:val="center"/>
      </w:pPr>
      <w:r>
        <w:rPr>
          <w:rFonts w:ascii="Calibri" w:hAnsi="Calibri" w:eastAsia="Microsoft YaHei"/>
          <w:color w:val="5F6875"/>
          <w:sz w:val="19"/>
        </w:rPr>
        <w:t>版本：2026-07-20</w:t>
      </w:r>
    </w:p>
    <w:p>
      <w:pPr>
        <w:jc w:val="center"/>
      </w:pPr>
      <w:r>
        <w:rPr>
          <w:rFonts w:ascii="Calibri" w:hAnsi="Calibri" w:eastAsia="Microsoft YaHei"/>
          <w:color w:val="5F6875"/>
          <w:sz w:val="19"/>
        </w:rPr>
        <w:t>文献范围：截至 2026-07-20 的公开技术报告与论文</w:t>
      </w:r>
    </w:p>
    <w:p>
      <w:r>
        <w:br w:type="page"/>
      </w:r>
    </w:p>
    <w:p>
      <w:pPr>
        <w:pStyle w:val="Heading1"/>
      </w:pPr>
      <w:r>
        <w:t>执行摘要</w:t>
      </w:r>
    </w:p>
    <w:tbl>
      <w:tblPr>
        <w:tblStyle w:val="TableGrid"/>
        <w:tblW w:type="dxa" w:w="9360"/>
        <w:jc w:val="left"/>
        <w:tblLayout w:type="fixed"/>
        <w:tblLook w:firstColumn="1" w:firstRow="1" w:lastColumn="0" w:lastRow="0" w:noHBand="0" w:noVBand="1" w:val="04A0"/>
        <w:tblInd w:type="dxa" w:w="180"/>
      </w:tblPr>
      <w:tblGrid>
        <w:gridCol w:w="9360"/>
      </w:tblGrid>
      <w:tr>
        <w:trPr/>
        <w:tc>
          <w:tcPr>
            <w:tcW w:type="dxa" w:w="9360"/>
            <w:shd w:fill="F4F6F9"/>
            <w:tcMar>
              <w:top w:w="120" w:type="dxa"/>
              <w:bottom w:w="120" w:type="dxa"/>
              <w:start w:w="180" w:type="dxa"/>
              <w:end w:w="180" w:type="dxa"/>
            </w:tcMar>
          </w:tcPr>
          <w:p>
            <w:pPr>
              <w:spacing w:before="40" w:after="40" w:line="288" w:lineRule="auto"/>
            </w:pPr>
            <w:r>
              <w:rPr>
                <w:rFonts w:ascii="Calibri" w:hAnsi="Calibri" w:eastAsia="Microsoft YaHei"/>
                <w:b/>
                <w:color w:val="1F4D78"/>
                <w:sz w:val="21"/>
              </w:rPr>
              <w:t xml:space="preserve">核心判断  </w:t>
            </w:r>
            <w:r>
              <w:rPr>
                <w:rFonts w:ascii="Calibri" w:hAnsi="Calibri" w:eastAsia="Microsoft YaHei"/>
                <w:color w:val="20252B"/>
                <w:sz w:val="21"/>
              </w:rPr>
              <w:t>长程 Agentic RL 的主要难点，不是把 PPO 或 GRPO 直接搬到更长的序列，而是保证交互经验在进入 learner 时仍然“可解释、可归因、可复用”，并保证不同训练阶段形成的能力在最终策略中不互相覆盖。前者是轨迹层面的分布漂移，后者是能力层面的分布漂移。[1-3,5,9,13-14]</w:t>
            </w:r>
          </w:p>
        </w:tc>
      </w:tr>
    </w:tbl>
    <w:p>
      <w:pPr>
        <w:spacing w:after="40"/>
      </w:pPr>
    </w:p>
    <w:p>
      <w:pPr>
        <w:spacing w:after="120" w:line="300" w:lineRule="auto"/>
      </w:pPr>
      <w:r>
        <w:rPr>
          <w:rFonts w:ascii="Calibri" w:hAnsi="Calibri" w:eastAsia="Microsoft YaHei"/>
          <w:i w:val="0"/>
        </w:rPr>
        <w:t>本文将研究范围压缩为两个核心问题。第一，异步生成、环境故障和中断恢复共同改变了轨迹的数据语义：同一条轨迹可能跨越多个策略版本，包含不可学习的环境失败，或因错误恢复方式产生长度选择偏差。[1-3,5,7,9,11] 第二，Reasoning、Coding、Agent 与 General Alignment 等阶段分别优化后，最终模型需要合并多套策略能力；技术报告普遍采用 on-policy distillation（OPD），但现有证据尚不足以说明它能够普遍修复失败能力或消除跨阶段干扰。[1-2,13-17]</w:t>
      </w:r>
    </w:p>
    <w:p>
      <w:pPr>
        <w:spacing w:after="120" w:line="300" w:lineRule="auto"/>
      </w:pPr>
      <w:r>
        <w:rPr>
          <w:rFonts w:ascii="Calibri" w:hAnsi="Calibri" w:eastAsia="Microsoft YaHei"/>
          <w:i w:val="0"/>
        </w:rPr>
        <w:t>这两个问题应当分别研究，但共享同一评价原则：不能只看最终 benchmark 分数，还要同时记录轨迹新鲜度、有效样本利用率、训练稳定性、旧能力保留率和单位计算成本。AReaL、Asynchronous RLHF 与 RolloutPipe 已表明吞吐与 on-policy 程度存在可设计的系统权衡；MiniLLM、GKD 与近期 OPD 工作则表明，学生分布上的密集监督能缓解 exposure bias，但其作用取决于教师信号、散度形式和训练阶段。[5-8,13-16]</w:t>
      </w:r>
    </w:p>
    <w:p>
      <w:pPr>
        <w:pStyle w:val="Heading1"/>
      </w:pPr>
      <w:r>
        <w:t>1. 文档定位与证据规则</w:t>
      </w:r>
    </w:p>
    <w:p>
      <w:pPr>
        <w:pStyle w:val="Heading2"/>
      </w:pPr>
      <w:r>
        <w:t>1.1 研究边界</w:t>
      </w:r>
    </w:p>
    <w:p>
      <w:pPr>
        <w:spacing w:after="120" w:line="300" w:lineRule="auto"/>
      </w:pPr>
      <w:r>
        <w:rPr>
          <w:rFonts w:ascii="Calibri" w:hAnsi="Calibri" w:eastAsia="Microsoft YaHei"/>
          <w:i w:val="0"/>
        </w:rPr>
        <w:t>本文不再把“轨迹长度、环境噪声、off-policy、SFT/RL 协调、熵下降”等现象并列为独立方向。它们分别被纳入两个因果问题：一条轨迹何时仍是合法的学习样本，以及多个训练阶段如何合并为一个不退化的策略。上下文压缩、reward shaping 和环境扩展仅在能够解释这两个核心问题时进入正文。[3-4,10-12]</w:t>
      </w:r>
    </w:p>
    <w:p>
      <w:pPr>
        <w:spacing w:after="120" w:line="300" w:lineRule="auto"/>
      </w:pPr>
      <w:r>
        <w:rPr>
          <w:rFonts w:ascii="Calibri" w:hAnsi="Calibri" w:eastAsia="Microsoft YaHei"/>
          <w:i w:val="0"/>
        </w:rPr>
        <w:t>来源表述需要保持准确：GLM-5.2 模型卡引用的是 GLM-5 技术报告；SAO 与 CompactionRL 两篇配套论文明确声明其方法用于 GLM-5.2。因此，本文使用“GLM-5 报告及 GLM-5.2 配套工作”，不把 GLM-5 报告中的所有机制直接写成 GLM-5.2 的独立消融结论。[1,3-4]</w:t>
      </w:r>
    </w:p>
    <w:p>
      <w:pPr>
        <w:pStyle w:val="Heading2"/>
      </w:pPr>
      <w:r>
        <w:t>1.2 证据分层</w:t>
      </w:r>
    </w:p>
    <w:p>
      <w:pPr>
        <w:pStyle w:val="Caption"/>
      </w:pPr>
      <w:r>
        <w:rPr>
          <w:rFonts w:ascii="Calibri" w:hAnsi="Calibri" w:eastAsia="Microsoft YaHei"/>
          <w:color w:val="5F6875"/>
          <w:sz w:val="18"/>
        </w:rPr>
        <w:t>表 1  证据分层规则。本文的“研究假设”会明确区别于论文已验证结论。</w:t>
      </w:r>
    </w:p>
    <w:tbl>
      <w:tblPr>
        <w:tblStyle w:val="TableGrid"/>
        <w:tblW w:type="dxa" w:w="9360"/>
        <w:jc w:val="left"/>
        <w:tblLayout w:type="fixed"/>
        <w:tblLook w:firstColumn="1" w:firstRow="1" w:lastColumn="0" w:lastRow="0" w:noHBand="0" w:noVBand="1" w:val="04A0"/>
        <w:tblInd w:type="dxa" w:w="120"/>
      </w:tblPr>
      <w:tblGrid>
        <w:gridCol w:w="1600"/>
        <w:gridCol w:w="3880"/>
        <w:gridCol w:w="3880"/>
      </w:tblGrid>
      <w:tr>
        <w:trPr>
          <w:tblHeader w:val="true"/>
        </w:trPr>
        <w:tc>
          <w:tcPr>
            <w:tcW w:type="dxa" w:w="1600"/>
            <w:shd w:fill="E8EEF5"/>
            <w:vAlign w:val="center"/>
            <w:tcMar>
              <w:top w:w="80" w:type="dxa"/>
              <w:bottom w:w="80" w:type="dxa"/>
              <w:start w:w="120" w:type="dxa"/>
              <w:end w:w="120" w:type="dxa"/>
            </w:tcMar>
          </w:tcPr>
          <w:p>
            <w:pPr>
              <w:spacing w:before="0" w:after="40" w:line="269" w:lineRule="auto"/>
            </w:pPr>
            <w:r>
              <w:rPr>
                <w:rFonts w:ascii="Calibri" w:hAnsi="Calibri" w:eastAsia="Microsoft YaHei"/>
                <w:b/>
                <w:color w:val="0B2545"/>
                <w:sz w:val="18"/>
              </w:rPr>
              <w:t>证据层级</w:t>
            </w:r>
          </w:p>
        </w:tc>
        <w:tc>
          <w:tcPr>
            <w:tcW w:type="dxa" w:w="3880"/>
            <w:shd w:fill="E8EEF5"/>
            <w:vAlign w:val="center"/>
            <w:tcMar>
              <w:top w:w="80" w:type="dxa"/>
              <w:bottom w:w="80" w:type="dxa"/>
              <w:start w:w="120" w:type="dxa"/>
              <w:end w:w="120" w:type="dxa"/>
            </w:tcMar>
          </w:tcPr>
          <w:p>
            <w:pPr>
              <w:spacing w:before="0" w:after="40" w:line="269" w:lineRule="auto"/>
            </w:pPr>
            <w:r>
              <w:rPr>
                <w:rFonts w:ascii="Calibri" w:hAnsi="Calibri" w:eastAsia="Microsoft YaHei"/>
                <w:b/>
                <w:color w:val="0B2545"/>
                <w:sz w:val="18"/>
              </w:rPr>
              <w:t>可支持的结论</w:t>
            </w:r>
          </w:p>
        </w:tc>
        <w:tc>
          <w:tcPr>
            <w:tcW w:type="dxa" w:w="3880"/>
            <w:shd w:fill="E8EEF5"/>
            <w:vAlign w:val="center"/>
            <w:tcMar>
              <w:top w:w="80" w:type="dxa"/>
              <w:bottom w:w="80" w:type="dxa"/>
              <w:start w:w="120" w:type="dxa"/>
              <w:end w:w="120" w:type="dxa"/>
            </w:tcMar>
          </w:tcPr>
          <w:p>
            <w:pPr>
              <w:spacing w:before="0" w:after="40" w:line="269" w:lineRule="auto"/>
            </w:pPr>
            <w:r>
              <w:rPr>
                <w:rFonts w:ascii="Calibri" w:hAnsi="Calibri" w:eastAsia="Microsoft YaHei"/>
                <w:b/>
                <w:color w:val="0B2545"/>
                <w:sz w:val="18"/>
              </w:rPr>
              <w:t>本文处理方式</w:t>
            </w:r>
          </w:p>
        </w:tc>
      </w:tr>
      <w:tr>
        <w:trPr/>
        <w:tc>
          <w:tcPr>
            <w:tcW w:type="dxa" w:w="16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A：控制实验或理论分析</w:t>
            </w:r>
          </w:p>
        </w:tc>
        <w:tc>
          <w:tcPr>
            <w:tcW w:type="dxa" w:w="388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机制在给定模型、任务和超参数下的因果效果</w:t>
            </w:r>
          </w:p>
        </w:tc>
        <w:tc>
          <w:tcPr>
            <w:tcW w:type="dxa" w:w="388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用于提出主要假设，同时保留外推边界</w:t>
            </w:r>
          </w:p>
        </w:tc>
      </w:tr>
      <w:tr>
        <w:trPr/>
        <w:tc>
          <w:tcPr>
            <w:tcW w:type="dxa" w:w="16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B：大规模技术报告</w:t>
            </w:r>
          </w:p>
        </w:tc>
        <w:tc>
          <w:tcPr>
            <w:tcW w:type="dxa" w:w="388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真实训练管线采用了某项设计，具备工程可行性</w:t>
            </w:r>
          </w:p>
        </w:tc>
        <w:tc>
          <w:tcPr>
            <w:tcW w:type="dxa" w:w="388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不等同于独立消融，不直接宣称普适最优</w:t>
            </w:r>
          </w:p>
        </w:tc>
      </w:tr>
      <w:tr>
        <w:trPr/>
        <w:tc>
          <w:tcPr>
            <w:tcW w:type="dxa" w:w="16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C：新近预印本或边界论文</w:t>
            </w:r>
          </w:p>
        </w:tc>
        <w:tc>
          <w:tcPr>
            <w:tcW w:type="dxa" w:w="388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提出反例、机制解释或待复现实验</w:t>
            </w:r>
          </w:p>
        </w:tc>
        <w:tc>
          <w:tcPr>
            <w:tcW w:type="dxa" w:w="388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用于暴露冲突，不能单独支撑强结论</w:t>
            </w:r>
          </w:p>
        </w:tc>
      </w:tr>
    </w:tbl>
    <w:p>
      <w:pPr>
        <w:spacing w:after="40"/>
      </w:pPr>
    </w:p>
    <w:p>
      <w:pPr>
        <w:pStyle w:val="Heading2"/>
      </w:pPr>
      <w:r>
        <w:t>1.3 两类漂移的统一视角</w:t>
      </w:r>
    </w:p>
    <w:p>
      <w:pPr>
        <w:pStyle w:val="Caption"/>
      </w:pPr>
      <w:r>
        <w:rPr>
          <w:rFonts w:ascii="Calibri" w:hAnsi="Calibri" w:eastAsia="Microsoft YaHei"/>
          <w:color w:val="5F6875"/>
          <w:sz w:val="18"/>
        </w:rPr>
        <w:t>表 2  本文的核心问题框架。轨迹层关注“样本是否可学”，能力层关注“所得能力是否可合”。</w:t>
      </w:r>
    </w:p>
    <w:tbl>
      <w:tblPr>
        <w:tblStyle w:val="TableGrid"/>
        <w:tblW w:type="dxa" w:w="9360"/>
        <w:jc w:val="left"/>
        <w:tblLayout w:type="fixed"/>
        <w:tblLook w:firstColumn="1" w:firstRow="1" w:lastColumn="0" w:lastRow="0" w:noHBand="0" w:noVBand="1" w:val="04A0"/>
        <w:tblInd w:type="dxa" w:w="120"/>
      </w:tblPr>
      <w:tblGrid>
        <w:gridCol w:w="1150"/>
        <w:gridCol w:w="2900"/>
        <w:gridCol w:w="2850"/>
        <w:gridCol w:w="2460"/>
      </w:tblGrid>
      <w:tr>
        <w:trPr>
          <w:tblHeader w:val="true"/>
        </w:trPr>
        <w:tc>
          <w:tcPr>
            <w:tcW w:type="dxa" w:w="1150"/>
            <w:shd w:fill="E8EEF5"/>
            <w:vAlign w:val="center"/>
            <w:tcMar>
              <w:top w:w="80" w:type="dxa"/>
              <w:bottom w:w="80" w:type="dxa"/>
              <w:start w:w="120" w:type="dxa"/>
              <w:end w:w="120" w:type="dxa"/>
            </w:tcMar>
          </w:tcPr>
          <w:p>
            <w:pPr>
              <w:spacing w:before="0" w:after="40" w:line="269" w:lineRule="auto"/>
            </w:pPr>
            <w:r>
              <w:rPr>
                <w:rFonts w:ascii="Calibri" w:hAnsi="Calibri" w:eastAsia="Microsoft YaHei"/>
                <w:b/>
                <w:color w:val="0B2545"/>
                <w:sz w:val="18"/>
              </w:rPr>
              <w:t>层次</w:t>
            </w:r>
          </w:p>
        </w:tc>
        <w:tc>
          <w:tcPr>
            <w:tcW w:type="dxa" w:w="2900"/>
            <w:shd w:fill="E8EEF5"/>
            <w:vAlign w:val="center"/>
            <w:tcMar>
              <w:top w:w="80" w:type="dxa"/>
              <w:bottom w:w="80" w:type="dxa"/>
              <w:start w:w="120" w:type="dxa"/>
              <w:end w:w="120" w:type="dxa"/>
            </w:tcMar>
          </w:tcPr>
          <w:p>
            <w:pPr>
              <w:spacing w:before="0" w:after="40" w:line="269" w:lineRule="auto"/>
            </w:pPr>
            <w:r>
              <w:rPr>
                <w:rFonts w:ascii="Calibri" w:hAnsi="Calibri" w:eastAsia="Microsoft YaHei"/>
                <w:b/>
                <w:color w:val="0B2545"/>
                <w:sz w:val="18"/>
              </w:rPr>
              <w:t>分布漂移来源</w:t>
            </w:r>
          </w:p>
        </w:tc>
        <w:tc>
          <w:tcPr>
            <w:tcW w:type="dxa" w:w="2850"/>
            <w:shd w:fill="E8EEF5"/>
            <w:vAlign w:val="center"/>
            <w:tcMar>
              <w:top w:w="80" w:type="dxa"/>
              <w:bottom w:w="80" w:type="dxa"/>
              <w:start w:w="120" w:type="dxa"/>
              <w:end w:w="120" w:type="dxa"/>
            </w:tcMar>
          </w:tcPr>
          <w:p>
            <w:pPr>
              <w:spacing w:before="0" w:after="40" w:line="269" w:lineRule="auto"/>
            </w:pPr>
            <w:r>
              <w:rPr>
                <w:rFonts w:ascii="Calibri" w:hAnsi="Calibri" w:eastAsia="Microsoft YaHei"/>
                <w:b/>
                <w:color w:val="0B2545"/>
                <w:sz w:val="18"/>
              </w:rPr>
              <w:t>直接风险</w:t>
            </w:r>
          </w:p>
        </w:tc>
        <w:tc>
          <w:tcPr>
            <w:tcW w:type="dxa" w:w="2460"/>
            <w:shd w:fill="E8EEF5"/>
            <w:vAlign w:val="center"/>
            <w:tcMar>
              <w:top w:w="80" w:type="dxa"/>
              <w:bottom w:w="80" w:type="dxa"/>
              <w:start w:w="120" w:type="dxa"/>
              <w:end w:w="120" w:type="dxa"/>
            </w:tcMar>
          </w:tcPr>
          <w:p>
            <w:pPr>
              <w:spacing w:before="0" w:after="40" w:line="269" w:lineRule="auto"/>
            </w:pPr>
            <w:r>
              <w:rPr>
                <w:rFonts w:ascii="Calibri" w:hAnsi="Calibri" w:eastAsia="Microsoft YaHei"/>
                <w:b/>
                <w:color w:val="0B2545"/>
                <w:sz w:val="18"/>
              </w:rPr>
              <w:t>核心可观测量</w:t>
            </w:r>
          </w:p>
        </w:tc>
      </w:tr>
      <w:tr>
        <w:trPr/>
        <w:tc>
          <w:tcPr>
            <w:tcW w:type="dxa" w:w="115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轨迹层</w:t>
            </w:r>
          </w:p>
        </w:tc>
        <w:tc>
          <w:tcPr>
            <w:tcW w:type="dxa" w:w="29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policy lag、跨版本生成、环境失败、抢占与恢复、压缩分段</w:t>
            </w:r>
          </w:p>
        </w:tc>
        <w:tc>
          <w:tcPr>
            <w:tcW w:type="dxa" w:w="285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行为策略不可识别、错误归因、梯度偏差、样本浪费</w:t>
            </w:r>
          </w:p>
        </w:tc>
        <w:tc>
          <w:tcPr>
            <w:tcW w:type="dxa" w:w="246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staleness、ratio/KL、clip/mask、故障标签、恢复路径</w:t>
            </w:r>
          </w:p>
        </w:tc>
      </w:tr>
      <w:tr>
        <w:trPr/>
        <w:tc>
          <w:tcPr>
            <w:tcW w:type="dxa" w:w="115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能力层</w:t>
            </w:r>
          </w:p>
        </w:tc>
        <w:tc>
          <w:tcPr>
            <w:tcW w:type="dxa" w:w="29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顺序 RL、多专家训练、teacher mixture、散度与蒸馏阶段</w:t>
            </w:r>
          </w:p>
        </w:tc>
        <w:tc>
          <w:tcPr>
            <w:tcW w:type="dxa" w:w="285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遗忘、能力干扰、模式坍缩、只压缩不纠错</w:t>
            </w:r>
          </w:p>
        </w:tc>
        <w:tc>
          <w:tcPr>
            <w:tcW w:type="dxa" w:w="246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旧任务保留率、最差域下降、teacher gap、token/成本</w:t>
            </w:r>
          </w:p>
        </w:tc>
      </w:tr>
    </w:tbl>
    <w:p>
      <w:pPr>
        <w:spacing w:after="40"/>
      </w:pPr>
    </w:p>
    <w:p>
      <w:pPr>
        <w:pStyle w:val="Heading1"/>
      </w:pPr>
      <w:r>
        <w:t>2. 核心问题一：异步轨迹何时仍然可学习</w:t>
      </w:r>
    </w:p>
    <w:tbl>
      <w:tblPr>
        <w:tblStyle w:val="TableGrid"/>
        <w:tblW w:type="dxa" w:w="9360"/>
        <w:jc w:val="left"/>
        <w:tblLayout w:type="fixed"/>
        <w:tblLook w:firstColumn="1" w:firstRow="1" w:lastColumn="0" w:lastRow="0" w:noHBand="0" w:noVBand="1" w:val="04A0"/>
        <w:tblInd w:type="dxa" w:w="180"/>
      </w:tblPr>
      <w:tblGrid>
        <w:gridCol w:w="9360"/>
      </w:tblGrid>
      <w:tr>
        <w:trPr/>
        <w:tc>
          <w:tcPr>
            <w:tcW w:type="dxa" w:w="9360"/>
            <w:shd w:fill="F4F6F9"/>
            <w:tcMar>
              <w:top w:w="120" w:type="dxa"/>
              <w:bottom w:w="120" w:type="dxa"/>
              <w:start w:w="180" w:type="dxa"/>
              <w:end w:w="180" w:type="dxa"/>
            </w:tcMar>
          </w:tcPr>
          <w:p>
            <w:pPr>
              <w:spacing w:before="40" w:after="40" w:line="288" w:lineRule="auto"/>
            </w:pPr>
            <w:r>
              <w:rPr>
                <w:rFonts w:ascii="Calibri" w:hAnsi="Calibri" w:eastAsia="Microsoft YaHei"/>
                <w:b/>
                <w:color w:val="1F4D78"/>
                <w:sz w:val="21"/>
              </w:rPr>
              <w:t xml:space="preserve">研究问题 RQ1  </w:t>
            </w:r>
            <w:r>
              <w:rPr>
                <w:rFonts w:ascii="Calibri" w:hAnsi="Calibri" w:eastAsia="Microsoft YaHei"/>
                <w:color w:val="20252B"/>
                <w:sz w:val="21"/>
              </w:rPr>
              <w:t>当一条长轨迹跨越多个策略版本、环境状态和系统中断时，learner 如何识别真实行为策略、排除非策略失败，并在吞吐与偏差之间选择可验证的更新规则？</w:t>
            </w:r>
          </w:p>
        </w:tc>
      </w:tr>
    </w:tbl>
    <w:p>
      <w:pPr>
        <w:spacing w:after="40"/>
      </w:pPr>
    </w:p>
    <w:p>
      <w:pPr>
        <w:pStyle w:val="Heading2"/>
      </w:pPr>
      <w:r>
        <w:t>2.1 从同步屏障到异步偏差</w:t>
      </w:r>
    </w:p>
    <w:p>
      <w:pPr>
        <w:spacing w:after="120" w:line="300" w:lineRule="auto"/>
      </w:pPr>
      <w:r>
        <w:rPr>
          <w:rFonts w:ascii="Calibri" w:hAnsi="Calibri" w:eastAsia="Microsoft YaHei"/>
          <w:i w:val="0"/>
        </w:rPr>
        <w:t>长序列和多轮工具调用具有显著的尾延迟，完全同步的 rollout-train 交替会让训练资源等待最慢样本。AReaL 通过生成与训练解耦、可中断生成和 replay buffer 提升并行度；Asynchronous RLHF 在摘要、数学和通用对话设置中报告了相同质量下的训练加速，但同时观察到 PPO、RLOO 与 Online DPO 对 off-policy 数据的鲁棒性并不相同。[5-6]</w:t>
      </w:r>
    </w:p>
    <w:p>
      <w:pPr>
        <w:spacing w:after="120" w:line="300" w:lineRule="auto"/>
      </w:pPr>
      <w:r>
        <w:rPr>
          <w:rFonts w:ascii="Calibri" w:hAnsi="Calibri" w:eastAsia="Microsoft YaHei"/>
          <w:i w:val="0"/>
        </w:rPr>
        <w:t>因此，“提高吞吐必须接受强异步”并不是唯一方案。RolloutPipe 保持固定权重和完整 group 的 on-policy 语义，通过 group pipeline 与优先调度重叠 rollout 和训练，在其 1.7B、四类推理任务设置下缩短总时长并降低 trainer 等待比例。[8] 这给研究提供了一个重要对照：先验证是否能够通过调度消除空泡，再判断是否值得引入 off-policy 修正。</w:t>
      </w:r>
    </w:p>
    <w:p>
      <w:pPr>
        <w:spacing w:after="120" w:line="300" w:lineRule="auto"/>
      </w:pPr>
      <w:r>
        <w:rPr>
          <w:rFonts w:ascii="Calibri" w:hAnsi="Calibri" w:eastAsia="Microsoft YaHei"/>
          <w:i w:val="0"/>
        </w:rPr>
        <w:t>Staleness-Learning Rate Scaling Laws 将异步 GRPO 的单步代理梯度偏差刻画为随最大 lag S 与学习率 η 的乘积增长，并指出稳定区间同时受局部 stale-rollout 条件和训练时域内累计漂移约束。该结论建立在数学推理、二元可验证奖励和有限模型规模上，不能直接替代 Agent 环境实验，但它说明“只设最大 staleness 阈值”缺少学习率与更新幅度的信息。[7]</w:t>
      </w:r>
    </w:p>
    <w:p>
      <w:pPr>
        <w:pStyle w:val="Heading2"/>
      </w:pPr>
      <w:r>
        <w:t>2.2 行为策略不是一个实现细节</w:t>
      </w:r>
    </w:p>
    <w:p>
      <w:pPr>
        <w:spacing w:after="120" w:line="300" w:lineRule="auto"/>
      </w:pPr>
      <w:r>
        <w:rPr>
          <w:rFonts w:ascii="Calibri" w:hAnsi="Calibri" w:eastAsia="Microsoft YaHei"/>
          <w:i w:val="0"/>
        </w:rPr>
        <w:t>GLM-5 报告在异步 Agent RL 中记录 rollout token 与 log-probability，采用直接双边重要性采样，并屏蔽偏离信任域的 token；SAO 进一步用单 rollout 取消 GRPO 的组内等待，以更快的 critic 更新、冻结 critic attention 和 skip-observation GAE 控制方差。[1,3] 这些设计强调可扩展性，并在 SAO 的 Qwen3-30B-A3B 数学工具调用和 SWE-Bench Verified 实验中优于所比较的 GRPO 变体。[3]</w:t>
      </w:r>
    </w:p>
    <w:p>
      <w:pPr>
        <w:spacing w:after="120" w:line="300" w:lineRule="auto"/>
      </w:pPr>
      <w:r>
        <w:rPr>
          <w:rFonts w:ascii="Calibri" w:hAnsi="Calibri" w:eastAsia="Microsoft YaHei"/>
          <w:i w:val="0"/>
        </w:rPr>
        <w:t>Missing Old Logits 对上述近似提出了更严格的语义问题：rollout-policy ratio 能修正训练-推理不一致，却不自动恢复 PPO 所需的旧训练策略；当 exact old logits 缺失时，discrepancy correction 与 staleness correction 是两件不同的事。该论文比较了 snapshot、独立 old-logit model、暂停恢复计算和 EWMA 近似，并在 agentic benchmark 上展示修正精度与系统成本的权衡。[9]</w:t>
      </w:r>
    </w:p>
    <w:tbl>
      <w:tblPr>
        <w:tblStyle w:val="TableGrid"/>
        <w:tblW w:type="dxa" w:w="9360"/>
        <w:jc w:val="left"/>
        <w:tblLayout w:type="fixed"/>
        <w:tblLook w:firstColumn="1" w:firstRow="1" w:lastColumn="0" w:lastRow="0" w:noHBand="0" w:noVBand="1" w:val="04A0"/>
        <w:tblInd w:type="dxa" w:w="180"/>
      </w:tblPr>
      <w:tblGrid>
        <w:gridCol w:w="9360"/>
      </w:tblGrid>
      <w:tr>
        <w:trPr/>
        <w:tc>
          <w:tcPr>
            <w:tcW w:type="dxa" w:w="9360"/>
            <w:shd w:fill="F4F6F9"/>
            <w:tcMar>
              <w:top w:w="120" w:type="dxa"/>
              <w:bottom w:w="120" w:type="dxa"/>
              <w:start w:w="180" w:type="dxa"/>
              <w:end w:w="180" w:type="dxa"/>
            </w:tcMar>
          </w:tcPr>
          <w:p>
            <w:pPr>
              <w:spacing w:before="40" w:after="40" w:line="288" w:lineRule="auto"/>
            </w:pPr>
            <w:r>
              <w:rPr>
                <w:rFonts w:ascii="Calibri" w:hAnsi="Calibri" w:eastAsia="Microsoft YaHei"/>
                <w:b/>
                <w:color w:val="1F4D78"/>
                <w:sz w:val="21"/>
              </w:rPr>
              <w:t xml:space="preserve">关键冲突  </w:t>
            </w:r>
            <w:r>
              <w:rPr>
                <w:rFonts w:ascii="Calibri" w:hAnsi="Calibri" w:eastAsia="Microsoft YaHei"/>
                <w:color w:val="20252B"/>
                <w:sz w:val="21"/>
              </w:rPr>
              <w:t>SAO/GLM 路线把 rollout log-probability 视为可用的行为代理；Missing Old Logits 则认为它没有恢复 proximal policy 的完整语义。后续研究不应只比较最终分数，而应直接测量行为策略重建误差及其对 clip、mask 和梯度方向的影响。[1,3,9]</w:t>
            </w:r>
          </w:p>
        </w:tc>
      </w:tr>
    </w:tbl>
    <w:p>
      <w:pPr>
        <w:spacing w:after="40"/>
      </w:pPr>
    </w:p>
    <w:p>
      <w:pPr>
        <w:pStyle w:val="Heading2"/>
      </w:pPr>
      <w:r>
        <w:t>2.3 中断恢复和环境故障会改变数据分布</w:t>
      </w:r>
    </w:p>
    <w:p>
      <w:pPr>
        <w:spacing w:after="120" w:line="300" w:lineRule="auto"/>
      </w:pPr>
      <w:r>
        <w:rPr>
          <w:rFonts w:ascii="Calibri" w:hAnsi="Calibri" w:eastAsia="Microsoft YaHei"/>
          <w:i w:val="0"/>
        </w:rPr>
        <w:t>DeepSeek-V4 使用 token 级 write-ahead log、KV cache 保存与 sandbox trajectory log 恢复被抢占任务。报告指出，从头重新生成未完成请求会使短响应更容易幸存，从而引入长度偏差；对非幂等工具操作，重放已缓存结果也比重新执行更安全。[2] GLM-5 则记录失败原因，排除 sandbox 崩溃等非策略失败，并按策略版本丢弃过旧轨迹。[1]</w:t>
      </w:r>
    </w:p>
    <w:p>
      <w:pPr>
        <w:spacing w:after="120" w:line="300" w:lineRule="auto"/>
      </w:pPr>
      <w:r>
        <w:rPr>
          <w:rFonts w:ascii="Calibri" w:hAnsi="Calibri" w:eastAsia="Microsoft YaHei"/>
          <w:i w:val="0"/>
        </w:rPr>
        <w:t>环境错误并非只影响吞吐。Demystifying RL for Long-Horizon Tool-Using Agents 在 TravelPlanner 中注入工具执行失败，观察到较高故障率会减慢收敛并增大训练波动；但其结论来自单一环境和特定模型规模，不能直接推出统一容错阈值。[11] 这意味着“环境失败过滤”必须与失败归因准确率一起评估，否则过滤本身会造成选择偏差。</w:t>
      </w:r>
    </w:p>
    <w:p>
      <w:pPr>
        <w:pStyle w:val="Heading2"/>
      </w:pPr>
      <w:r>
        <w:t>2.4 优化粒度仍没有统一答案</w:t>
      </w:r>
    </w:p>
    <w:p>
      <w:pPr>
        <w:spacing w:after="120" w:line="300" w:lineRule="auto"/>
      </w:pPr>
      <w:r>
        <w:rPr>
          <w:rFonts w:ascii="Calibri" w:hAnsi="Calibri" w:eastAsia="Microsoft YaHei"/>
          <w:i w:val="0"/>
        </w:rPr>
        <w:t>SORL 认为 token-level importance sampling 与自然的多轮 turn 结构不匹配，并在搜索与医疗任务中以 turn-level importance sampling 和 clipping-triggered normalization 抑制梯度尖峰。[10] 相对地，SAO 的附录实验中 token-level value/policy 更新优于两个 step-level GAE 变体；CompactionRL 也发现 token-level loss normalization 对变长 segment 的性能影响大于移除 cross-trajectory GAE。[3-4]</w:t>
      </w:r>
    </w:p>
    <w:p>
      <w:pPr>
        <w:spacing w:after="120" w:line="300" w:lineRule="auto"/>
      </w:pPr>
      <w:r>
        <w:rPr>
          <w:rFonts w:ascii="Calibri" w:hAnsi="Calibri" w:eastAsia="Microsoft YaHei"/>
          <w:i w:val="0"/>
        </w:rPr>
        <w:t>这些结果并不构成直接矛盾，因为论文改变了 action 定义、importance weight、advantage estimator、任务结构和 backbone。它们共同说明：token、turn、segment 或完整 trajectory 不是先验正确的归一化单位，研究必须在同一管线中控制其他变量后比较。[3-4,10]</w:t>
      </w:r>
    </w:p>
    <w:p>
      <w:pPr>
        <w:pStyle w:val="Heading2"/>
      </w:pPr>
      <w:r>
        <w:t>2.5 可检验假设</w:t>
      </w:r>
    </w:p>
    <w:p>
      <w:pPr>
        <w:spacing w:after="80" w:line="300" w:lineRule="auto"/>
        <w:ind w:left="403" w:hanging="259"/>
      </w:pPr>
      <w:r>
        <w:rPr>
          <w:rFonts w:ascii="Calibri" w:hAnsi="Calibri" w:eastAsia="Microsoft YaHei"/>
        </w:rPr>
        <w:t xml:space="preserve">•  </w:t>
      </w:r>
      <w:r>
        <w:rPr>
          <w:rFonts w:ascii="Calibri" w:hAnsi="Calibri" w:eastAsia="Microsoft YaHei"/>
        </w:rPr>
        <w:t>H1（联合稳定区间）：稳定性主要由 staleness × learning-rate × update-scale 的联合量决定，而不是由 staleness 阈值单独决定。理论依据来自 [7]，需在多轮 Agent 环境中复核。</w:t>
      </w:r>
    </w:p>
    <w:p>
      <w:pPr>
        <w:spacing w:after="80" w:line="300" w:lineRule="auto"/>
        <w:ind w:left="403" w:hanging="259"/>
      </w:pPr>
      <w:r>
        <w:rPr>
          <w:rFonts w:ascii="Calibri" w:hAnsi="Calibri" w:eastAsia="Microsoft YaHei"/>
        </w:rPr>
        <w:t xml:space="preserve">•  </w:t>
      </w:r>
      <w:r>
        <w:rPr>
          <w:rFonts w:ascii="Calibri" w:hAnsi="Calibri" w:eastAsia="Microsoft YaHei"/>
        </w:rPr>
        <w:t>H2（行为策略可识别性）：跨版本轨迹中，exact/proxy old-policy 的重建误差比单纯 rollout age 更能预测训练坍缩。依据来自 [3,5,9] 的机制差异。</w:t>
      </w:r>
    </w:p>
    <w:p>
      <w:pPr>
        <w:spacing w:after="80" w:line="300" w:lineRule="auto"/>
        <w:ind w:left="403" w:hanging="259"/>
      </w:pPr>
      <w:r>
        <w:rPr>
          <w:rFonts w:ascii="Calibri" w:hAnsi="Calibri" w:eastAsia="Microsoft YaHei"/>
        </w:rPr>
        <w:t xml:space="preserve">•  </w:t>
      </w:r>
      <w:r>
        <w:rPr>
          <w:rFonts w:ascii="Calibri" w:hAnsi="Calibri" w:eastAsia="Microsoft YaHei"/>
        </w:rPr>
        <w:t>H3（故障归因）：只有当环境错误分类具有足够精度时，failure-aware filtering 才提升有效样本效率；错误过滤会产生难度相关的选择偏差。依据来自 [1-2,11]，结论属于本文假设。</w:t>
      </w:r>
    </w:p>
    <w:p>
      <w:pPr>
        <w:spacing w:after="80" w:line="300" w:lineRule="auto"/>
        <w:ind w:left="403" w:hanging="259"/>
      </w:pPr>
      <w:r>
        <w:rPr>
          <w:rFonts w:ascii="Calibri" w:hAnsi="Calibri" w:eastAsia="Microsoft YaHei"/>
        </w:rPr>
        <w:t xml:space="preserve">•  </w:t>
      </w:r>
      <w:r>
        <w:rPr>
          <w:rFonts w:ascii="Calibri" w:hAnsi="Calibri" w:eastAsia="Microsoft YaHei"/>
        </w:rPr>
        <w:t>H4（粒度依赖任务）：工具 action 语义边界清晰时 turn-level 校正可能更稳；长推理内部包含密集逻辑转移时 token-level critic 可能更有效。依据来自 [3-4,10] 的异质结果。</w:t>
      </w:r>
    </w:p>
    <w:p>
      <w:pPr>
        <w:pStyle w:val="Heading2"/>
      </w:pPr>
      <w:r>
        <w:t>2.6 实验矩阵与评价指标</w:t>
      </w:r>
    </w:p>
    <w:p>
      <w:pPr>
        <w:pStyle w:val="Caption"/>
      </w:pPr>
      <w:r>
        <w:rPr>
          <w:rFonts w:ascii="Calibri" w:hAnsi="Calibri" w:eastAsia="Microsoft YaHei"/>
          <w:color w:val="5F6875"/>
          <w:sz w:val="18"/>
        </w:rPr>
        <w:t>表 3  RQ1 的最小正交实验设计。不要在同一次实验中同时更换算法、系统和数据。</w:t>
      </w:r>
    </w:p>
    <w:tbl>
      <w:tblPr>
        <w:tblStyle w:val="TableGrid"/>
        <w:tblW w:type="dxa" w:w="9360"/>
        <w:jc w:val="left"/>
        <w:tblLayout w:type="fixed"/>
        <w:tblLook w:firstColumn="1" w:firstRow="1" w:lastColumn="0" w:lastRow="0" w:noHBand="0" w:noVBand="1" w:val="04A0"/>
        <w:tblInd w:type="dxa" w:w="120"/>
      </w:tblPr>
      <w:tblGrid>
        <w:gridCol w:w="1700"/>
        <w:gridCol w:w="3300"/>
        <w:gridCol w:w="4360"/>
      </w:tblGrid>
      <w:tr>
        <w:trPr>
          <w:tblHeader w:val="true"/>
        </w:trPr>
        <w:tc>
          <w:tcPr>
            <w:tcW w:type="dxa" w:w="1700"/>
            <w:shd w:fill="E8EEF5"/>
            <w:vAlign w:val="center"/>
            <w:tcMar>
              <w:top w:w="80" w:type="dxa"/>
              <w:bottom w:w="80" w:type="dxa"/>
              <w:start w:w="120" w:type="dxa"/>
              <w:end w:w="120" w:type="dxa"/>
            </w:tcMar>
          </w:tcPr>
          <w:p>
            <w:pPr>
              <w:spacing w:before="0" w:after="40" w:line="269" w:lineRule="auto"/>
            </w:pPr>
            <w:r>
              <w:rPr>
                <w:rFonts w:ascii="Calibri" w:hAnsi="Calibri" w:eastAsia="Microsoft YaHei"/>
                <w:b/>
                <w:color w:val="0B2545"/>
                <w:sz w:val="18"/>
              </w:rPr>
              <w:t>实验轴</w:t>
            </w:r>
          </w:p>
        </w:tc>
        <w:tc>
          <w:tcPr>
            <w:tcW w:type="dxa" w:w="3300"/>
            <w:shd w:fill="E8EEF5"/>
            <w:vAlign w:val="center"/>
            <w:tcMar>
              <w:top w:w="80" w:type="dxa"/>
              <w:bottom w:w="80" w:type="dxa"/>
              <w:start w:w="120" w:type="dxa"/>
              <w:end w:w="120" w:type="dxa"/>
            </w:tcMar>
          </w:tcPr>
          <w:p>
            <w:pPr>
              <w:spacing w:before="0" w:after="40" w:line="269" w:lineRule="auto"/>
            </w:pPr>
            <w:r>
              <w:rPr>
                <w:rFonts w:ascii="Calibri" w:hAnsi="Calibri" w:eastAsia="Microsoft YaHei"/>
                <w:b/>
                <w:color w:val="0B2545"/>
                <w:sz w:val="18"/>
              </w:rPr>
              <w:t>建议水平</w:t>
            </w:r>
          </w:p>
        </w:tc>
        <w:tc>
          <w:tcPr>
            <w:tcW w:type="dxa" w:w="4360"/>
            <w:shd w:fill="E8EEF5"/>
            <w:vAlign w:val="center"/>
            <w:tcMar>
              <w:top w:w="80" w:type="dxa"/>
              <w:bottom w:w="80" w:type="dxa"/>
              <w:start w:w="120" w:type="dxa"/>
              <w:end w:w="120" w:type="dxa"/>
            </w:tcMar>
          </w:tcPr>
          <w:p>
            <w:pPr>
              <w:spacing w:before="0" w:after="40" w:line="269" w:lineRule="auto"/>
            </w:pPr>
            <w:r>
              <w:rPr>
                <w:rFonts w:ascii="Calibri" w:hAnsi="Calibri" w:eastAsia="Microsoft YaHei"/>
                <w:b/>
                <w:color w:val="0B2545"/>
                <w:sz w:val="18"/>
              </w:rPr>
              <w:t>要回答的问题</w:t>
            </w:r>
          </w:p>
        </w:tc>
      </w:tr>
      <w:tr>
        <w:trPr/>
        <w:tc>
          <w:tcPr>
            <w:tcW w:type="dxa" w:w="17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异步程度</w:t>
            </w:r>
          </w:p>
        </w:tc>
        <w:tc>
          <w:tcPr>
            <w:tcW w:type="dxa" w:w="33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S=0/1/4/8/16；同时记录真实 token-age 分布</w:t>
            </w:r>
          </w:p>
        </w:tc>
        <w:tc>
          <w:tcPr>
            <w:tcW w:type="dxa" w:w="436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最大 lag 与分布尾部谁更能预测不稳定？</w:t>
            </w:r>
          </w:p>
        </w:tc>
      </w:tr>
      <w:tr>
        <w:trPr/>
        <w:tc>
          <w:tcPr>
            <w:tcW w:type="dxa" w:w="17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更新尺度</w:t>
            </w:r>
          </w:p>
        </w:tc>
        <w:tc>
          <w:tcPr>
            <w:tcW w:type="dxa" w:w="33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固定 η；按 S 缩放 η；固定 target-KL</w:t>
            </w:r>
          </w:p>
        </w:tc>
        <w:tc>
          <w:tcPr>
            <w:tcW w:type="dxa" w:w="436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能否验证 S×η 或累计漂移的稳定区间？</w:t>
            </w:r>
          </w:p>
        </w:tc>
      </w:tr>
      <w:tr>
        <w:trPr/>
        <w:tc>
          <w:tcPr>
            <w:tcW w:type="dxa" w:w="17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行为策略</w:t>
            </w:r>
          </w:p>
        </w:tc>
        <w:tc>
          <w:tcPr>
            <w:tcW w:type="dxa" w:w="33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latest-old、rollout-logit、snapshot exact、EWMA</w:t>
            </w:r>
          </w:p>
        </w:tc>
        <w:tc>
          <w:tcPr>
            <w:tcW w:type="dxa" w:w="436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近似误差、系统成本与收敛如何权衡？</w:t>
            </w:r>
          </w:p>
        </w:tc>
      </w:tr>
      <w:tr>
        <w:trPr/>
        <w:tc>
          <w:tcPr>
            <w:tcW w:type="dxa" w:w="17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完成语义</w:t>
            </w:r>
          </w:p>
        </w:tc>
        <w:tc>
          <w:tcPr>
            <w:tcW w:type="dxa" w:w="33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从头重采样、WAL 续接、丢弃、partial rollout</w:t>
            </w:r>
          </w:p>
        </w:tc>
        <w:tc>
          <w:tcPr>
            <w:tcW w:type="dxa" w:w="436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恢复方式是否引入长度或难度选择偏差？</w:t>
            </w:r>
          </w:p>
        </w:tc>
      </w:tr>
      <w:tr>
        <w:trPr/>
        <w:tc>
          <w:tcPr>
            <w:tcW w:type="dxa" w:w="17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优化粒度</w:t>
            </w:r>
          </w:p>
        </w:tc>
        <w:tc>
          <w:tcPr>
            <w:tcW w:type="dxa" w:w="33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token、turn、compaction segment、trajectory</w:t>
            </w:r>
          </w:p>
        </w:tc>
        <w:tc>
          <w:tcPr>
            <w:tcW w:type="dxa" w:w="436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哪种单位在何类任务上降低方差且不损失信用分配？</w:t>
            </w:r>
          </w:p>
        </w:tc>
      </w:tr>
      <w:tr>
        <w:trPr/>
        <w:tc>
          <w:tcPr>
            <w:tcW w:type="dxa" w:w="17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环境故障</w:t>
            </w:r>
          </w:p>
        </w:tc>
        <w:tc>
          <w:tcPr>
            <w:tcW w:type="dxa" w:w="33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0/1/5/10% 注入；控制故障标签准确率</w:t>
            </w:r>
          </w:p>
        </w:tc>
        <w:tc>
          <w:tcPr>
            <w:tcW w:type="dxa" w:w="436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过滤收益是否依赖故障归因质量？</w:t>
            </w:r>
          </w:p>
        </w:tc>
      </w:tr>
    </w:tbl>
    <w:p>
      <w:pPr>
        <w:spacing w:after="40"/>
      </w:pPr>
    </w:p>
    <w:p>
      <w:pPr>
        <w:spacing w:after="120" w:line="300" w:lineRule="auto"/>
      </w:pPr>
      <w:r>
        <w:rPr>
          <w:rFonts w:ascii="Calibri" w:hAnsi="Calibri" w:eastAsia="Microsoft YaHei"/>
          <w:i w:val="0"/>
        </w:rPr>
        <w:t>主结果应至少同时报告：task success 与 OOD success；KL、entropy、gradient norm、clip/mask ratio；critic explained variance；轨迹丢弃率、有效训练 token 比例和故障误过滤率；GPU-hour、wall-clock time-to-target 和单位成功轨迹成本。[3,5-11] 只报告吞吐或最终 reward 无法区分“更快地产生数据”与“更有效地学习数据”。</w:t>
      </w:r>
    </w:p>
    <w:p>
      <w:pPr>
        <w:pStyle w:val="Heading1"/>
      </w:pPr>
      <w:r>
        <w:t>3. 核心问题二：多阶段能力如何合并而不退化</w:t>
      </w:r>
    </w:p>
    <w:tbl>
      <w:tblPr>
        <w:tblStyle w:val="TableGrid"/>
        <w:tblW w:type="dxa" w:w="9360"/>
        <w:jc w:val="left"/>
        <w:tblLayout w:type="fixed"/>
        <w:tblLook w:firstColumn="1" w:firstRow="1" w:lastColumn="0" w:lastRow="0" w:noHBand="0" w:noVBand="1" w:val="04A0"/>
        <w:tblInd w:type="dxa" w:w="180"/>
      </w:tblPr>
      <w:tblGrid>
        <w:gridCol w:w="9360"/>
      </w:tblGrid>
      <w:tr>
        <w:trPr/>
        <w:tc>
          <w:tcPr>
            <w:tcW w:type="dxa" w:w="9360"/>
            <w:shd w:fill="F4F6F9"/>
            <w:tcMar>
              <w:top w:w="120" w:type="dxa"/>
              <w:bottom w:w="120" w:type="dxa"/>
              <w:start w:w="180" w:type="dxa"/>
              <w:end w:w="180" w:type="dxa"/>
            </w:tcMar>
          </w:tcPr>
          <w:p>
            <w:pPr>
              <w:spacing w:before="40" w:after="40" w:line="288" w:lineRule="auto"/>
            </w:pPr>
            <w:r>
              <w:rPr>
                <w:rFonts w:ascii="Calibri" w:hAnsi="Calibri" w:eastAsia="Microsoft YaHei"/>
                <w:b/>
                <w:color w:val="1F4D78"/>
                <w:sz w:val="21"/>
              </w:rPr>
              <w:t xml:space="preserve">研究问题 RQ2  </w:t>
            </w:r>
            <w:r>
              <w:rPr>
                <w:rFonts w:ascii="Calibri" w:hAnsi="Calibri" w:eastAsia="Microsoft YaHei"/>
                <w:color w:val="20252B"/>
                <w:sz w:val="21"/>
              </w:rPr>
              <w:t>当 reasoning、coding、agent 与 general alignment 分别经过 SFT/RL 优化后，如何把多个专家或阶段 checkpoint 合并成一个策略，同时保留旧能力、吸收新能力，并控制教师前向成本？</w:t>
            </w:r>
          </w:p>
        </w:tc>
      </w:tr>
    </w:tbl>
    <w:p>
      <w:pPr>
        <w:spacing w:after="40"/>
      </w:pPr>
    </w:p>
    <w:p>
      <w:pPr>
        <w:pStyle w:val="Heading2"/>
      </w:pPr>
      <w:r>
        <w:t>3.1 从 mixed RL 转向学生分布上的能力合并</w:t>
      </w:r>
    </w:p>
    <w:p>
      <w:pPr>
        <w:spacing w:after="120" w:line="300" w:lineRule="auto"/>
      </w:pPr>
      <w:r>
        <w:rPr>
          <w:rFonts w:ascii="Calibri" w:hAnsi="Calibri" w:eastAsia="Microsoft YaHei"/>
          <w:i w:val="0"/>
        </w:rPr>
        <w:t>DeepSeek-V4 先以 SFT 和 GRPO 独立培养数学、代码、Agent、指令遵循等专家，再用超过十个教师进行多教师 OPD；报告明确称其用 OPD 完全替换 mixed RL，并在学生生成轨迹上计算 reverse-KL。[2] GLM-5 则顺序执行 Reasoning RL、Agentic RL、General RL，最后让前序阶段 checkpoint 作为教师进行 cross-stage on-policy distillation，以恢复被后续阶段削弱的能力。[1]</w:t>
      </w:r>
    </w:p>
    <w:p>
      <w:pPr>
        <w:spacing w:after="120" w:line="300" w:lineRule="auto"/>
      </w:pPr>
      <w:r>
        <w:rPr>
          <w:rFonts w:ascii="Calibri" w:hAnsi="Calibri" w:eastAsia="Microsoft YaHei"/>
          <w:i w:val="0"/>
        </w:rPr>
        <w:t>这两份报告证明了该路线在大规模管线中的工程可行性，但没有提供足以分离“专家训练质量、prompt mixture、教师权重、OPD 目标和基础模型规模”的统一消融。因此，报告可以支持“实际采用”，不能单独支持“OPD 必然优于 mixed RL”或“已经消除灾难性遗忘”的普遍结论。[1-2]</w:t>
      </w:r>
    </w:p>
    <w:p>
      <w:pPr>
        <w:pStyle w:val="Heading2"/>
      </w:pPr>
      <w:r>
        <w:t>3.2 OPD 的基础证据与适用边界</w:t>
      </w:r>
    </w:p>
    <w:p>
      <w:pPr>
        <w:spacing w:after="120" w:line="300" w:lineRule="auto"/>
      </w:pPr>
      <w:r>
        <w:rPr>
          <w:rFonts w:ascii="Calibri" w:hAnsi="Calibri" w:eastAsia="Microsoft YaHei"/>
          <w:i w:val="0"/>
        </w:rPr>
        <w:t>MiniLLM 将蒸馏写成学生生成分布上的 reverse-KL 优化，并用长度归一化、teacher mixing 和单步分解降低长序列方差；其主要实验针对较小学生模型和通用生成任务。[13] GKD 系统比较 teacher-generated 与 student-generated 数据比例以及 forward-KL、reverse-KL 和 JSD，显示 on-policy student data 能缓解训练-解码分布错位，但不同散度的效果依赖任务与模型。[14]</w:t>
      </w:r>
    </w:p>
    <w:p>
      <w:pPr>
        <w:spacing w:after="120" w:line="300" w:lineRule="auto"/>
      </w:pPr>
      <w:r>
        <w:rPr>
          <w:rFonts w:ascii="Calibri" w:hAnsi="Calibri" w:eastAsia="Microsoft YaHei"/>
          <w:i w:val="0"/>
        </w:rPr>
        <w:t>这些工作解释了 OPD 为什么可能适合作为能力合并工具：监督发生在学生实际访问的状态上，教师对学生当前错误提供密集 token 分布。然而，它们最初研究的是模型压缩或单教师蒸馏，而不是多个 RL 专家之间的冲突，因此只能为 DeepSeek-V4 与 GLM-5 的做法提供机制基础，不能替代多专家实验。[1-2,13-14]</w:t>
      </w:r>
    </w:p>
    <w:p>
      <w:pPr>
        <w:pStyle w:val="Heading2"/>
      </w:pPr>
      <w:r>
        <w:t>3.3 新近结果表明 OPD 不是单一机制</w:t>
      </w:r>
    </w:p>
    <w:p>
      <w:pPr>
        <w:spacing w:after="120" w:line="300" w:lineRule="auto"/>
      </w:pPr>
      <w:r>
        <w:rPr>
          <w:rFonts w:ascii="Calibri" w:hAnsi="Calibri" w:eastAsia="Microsoft YaHei"/>
          <w:i w:val="0"/>
        </w:rPr>
        <w:t>OPSD Compresses What RLVR Teaches 在 thinking-enabled 数学推理上将正确与错误 rollout 分开训练。其结果显示，对正确轨迹做 OPSD 能在较好保留准确率的同时缩短推理，而只用错误轨迹会明显损害准确率；作者据此把 OPSD 定位为 SFT→RLVR→OPSD 管线中的 post-RL compaction，而不是可靠的失败轨迹修复器。[15] 这构成对“密集 token 教师信号天然比稀疏 outcome reward 更会纠错”的直接反例。</w:t>
      </w:r>
    </w:p>
    <w:p>
      <w:pPr>
        <w:spacing w:after="120" w:line="300" w:lineRule="auto"/>
      </w:pPr>
      <w:r>
        <w:rPr>
          <w:rFonts w:ascii="Calibri" w:hAnsi="Calibri" w:eastAsia="Microsoft YaHei"/>
          <w:i w:val="0"/>
        </w:rPr>
        <w:t>OPD² 不再直接模仿教师分布，而使用“教师相对其 base model 的变化”作为 delta signal，并在数学、科学和代码 benchmark 上报告了相对常规 OPD 的提升；代价是额外 teacher-base 前向与约 8%-28% 的训练时间开销。[16] 该结果提示教师的“增量能力”可能比教师全部偏好更适合作为迁移目标，但尚未在多轮 Agent 或多教师合并上验证。</w:t>
      </w:r>
    </w:p>
    <w:p>
      <w:pPr>
        <w:spacing w:after="120" w:line="300" w:lineRule="auto"/>
      </w:pPr>
      <w:r>
        <w:rPr>
          <w:rFonts w:ascii="Calibri" w:hAnsi="Calibri" w:eastAsia="Microsoft YaHei"/>
          <w:i w:val="0"/>
        </w:rPr>
        <w:t>SEED 将完成后的 Agent 轨迹转化为 hindsight skill，再比较普通上下文与 skill-augmented 上下文下的 action 概率差，形成与 outcome RL 联合优化的 OPD 信号。论文在 ALFWorld、Search QA、WebShop 和视觉 Agent 任务上报告了成功率、样本效率和跨域提升，同时明确指出 self-analyzer 可能把错误解释固化为技能。[17] 这说明 OPD 可以补充稀疏 Agent reward，但教师或分析器本身的可信度成为新的噪声源。</w:t>
      </w:r>
    </w:p>
    <w:p>
      <w:pPr>
        <w:pStyle w:val="Heading2"/>
      </w:pPr>
      <w:r>
        <w:t>3.4 四个尚未解决的设计选择</w:t>
      </w:r>
    </w:p>
    <w:p>
      <w:pPr>
        <w:spacing w:after="80" w:line="300" w:lineRule="auto"/>
        <w:ind w:left="403" w:hanging="259"/>
      </w:pPr>
      <w:r>
        <w:rPr>
          <w:rFonts w:ascii="Calibri" w:hAnsi="Calibri" w:eastAsia="Microsoft YaHei"/>
        </w:rPr>
        <w:t xml:space="preserve">•  </w:t>
      </w:r>
      <w:r>
        <w:rPr>
          <w:rFonts w:ascii="Calibri" w:hAnsi="Calibri" w:eastAsia="Microsoft YaHei"/>
        </w:rPr>
        <w:t>教师内容：蒸馏教师的完整分布、教师相对 base 的增量，还是带 privileged context 的自教师？不同选择对应“复制能力”“抽取增量”和“利用事后信息”三种目标。[13-17]</w:t>
      </w:r>
    </w:p>
    <w:p>
      <w:pPr>
        <w:spacing w:after="80" w:line="300" w:lineRule="auto"/>
        <w:ind w:left="403" w:hanging="259"/>
      </w:pPr>
      <w:r>
        <w:rPr>
          <w:rFonts w:ascii="Calibri" w:hAnsi="Calibri" w:eastAsia="Microsoft YaHei"/>
        </w:rPr>
        <w:t xml:space="preserve">•  </w:t>
      </w:r>
      <w:r>
        <w:rPr>
          <w:rFonts w:ascii="Calibri" w:hAnsi="Calibri" w:eastAsia="Microsoft YaHei"/>
        </w:rPr>
        <w:t>教师路由：DeepSeek-V4 使用多教师权重，GLM-5 使用阶段数据混合，但报告没有回答权重应静态设置、按任务标签设置，还是由当前学生状态动态路由。[1-2]</w:t>
      </w:r>
    </w:p>
    <w:p>
      <w:pPr>
        <w:spacing w:after="80" w:line="300" w:lineRule="auto"/>
        <w:ind w:left="403" w:hanging="259"/>
      </w:pPr>
      <w:r>
        <w:rPr>
          <w:rFonts w:ascii="Calibri" w:hAnsi="Calibri" w:eastAsia="Microsoft YaHei"/>
        </w:rPr>
        <w:t xml:space="preserve">•  </w:t>
      </w:r>
      <w:r>
        <w:rPr>
          <w:rFonts w:ascii="Calibri" w:hAnsi="Calibri" w:eastAsia="Microsoft YaHei"/>
        </w:rPr>
        <w:t>散度与估计：DeepSeek-V4 认为 sampled-token KL 方差高并采用 full-vocabulary reverse-KL；GLM-5 使用 token log-ratio 形式以提高吞吐；MiniLLM、GKD 和 OPD² 又展示了不同近似与散度的行为差异。[1-2,13-14,16]</w:t>
      </w:r>
    </w:p>
    <w:p>
      <w:pPr>
        <w:spacing w:after="80" w:line="300" w:lineRule="auto"/>
        <w:ind w:left="403" w:hanging="259"/>
      </w:pPr>
      <w:r>
        <w:rPr>
          <w:rFonts w:ascii="Calibri" w:hAnsi="Calibri" w:eastAsia="Microsoft YaHei"/>
        </w:rPr>
        <w:t xml:space="preserve">•  </w:t>
      </w:r>
      <w:r>
        <w:rPr>
          <w:rFonts w:ascii="Calibri" w:hAnsi="Calibri" w:eastAsia="Microsoft YaHei"/>
        </w:rPr>
        <w:t>训练时机：技术报告倾向最终统一蒸馏，OPSD 结果支持先 RL 再压缩，SEED 则把 OPD 与 Agent RL 联合进行。不存在一个已经被统一实验证明的最佳阶段顺序。[1-2,15,17]</w:t>
      </w:r>
    </w:p>
    <w:p>
      <w:pPr>
        <w:pStyle w:val="Heading2"/>
      </w:pPr>
      <w:r>
        <w:t>3.5 可检验假设</w:t>
      </w:r>
    </w:p>
    <w:p>
      <w:pPr>
        <w:spacing w:after="80" w:line="300" w:lineRule="auto"/>
        <w:ind w:left="403" w:hanging="259"/>
      </w:pPr>
      <w:r>
        <w:rPr>
          <w:rFonts w:ascii="Calibri" w:hAnsi="Calibri" w:eastAsia="Microsoft YaHei"/>
        </w:rPr>
        <w:t xml:space="preserve">•  </w:t>
      </w:r>
      <w:r>
        <w:rPr>
          <w:rFonts w:ascii="Calibri" w:hAnsi="Calibri" w:eastAsia="Microsoft YaHei"/>
        </w:rPr>
        <w:t>H5（增量教师）：当教师包含大量与目标域无关的通用偏好时，teacher-minus-base 的 delta signal 比完整教师分布更能减少跨域干扰。依据来自 [16]，需在多专家设置中验证。</w:t>
      </w:r>
    </w:p>
    <w:p>
      <w:pPr>
        <w:spacing w:after="80" w:line="300" w:lineRule="auto"/>
        <w:ind w:left="403" w:hanging="259"/>
      </w:pPr>
      <w:r>
        <w:rPr>
          <w:rFonts w:ascii="Calibri" w:hAnsi="Calibri" w:eastAsia="Microsoft YaHei"/>
        </w:rPr>
        <w:t xml:space="preserve">•  </w:t>
      </w:r>
      <w:r>
        <w:rPr>
          <w:rFonts w:ascii="Calibri" w:hAnsi="Calibri" w:eastAsia="Microsoft YaHei"/>
        </w:rPr>
        <w:t>H6（状态路由）：按学生当前 prompt/state 动态选择教师，比固定全局权重更能提高最差域保留率。依据来自 [2] 的多教师形式，结论属于本文假设。</w:t>
      </w:r>
    </w:p>
    <w:p>
      <w:pPr>
        <w:spacing w:after="80" w:line="300" w:lineRule="auto"/>
        <w:ind w:left="403" w:hanging="259"/>
      </w:pPr>
      <w:r>
        <w:rPr>
          <w:rFonts w:ascii="Calibri" w:hAnsi="Calibri" w:eastAsia="Microsoft YaHei"/>
        </w:rPr>
        <w:t xml:space="preserve">•  </w:t>
      </w:r>
      <w:r>
        <w:rPr>
          <w:rFonts w:ascii="Calibri" w:hAnsi="Calibri" w:eastAsia="Microsoft YaHei"/>
        </w:rPr>
        <w:t>H7（阶段依赖）：OPD 对“已有但冗长”的能力更像压缩，对“尚未可达”的失败能力不能替代 outcome RL。依据来自 [15]，需要扩展到 Agent 轨迹。</w:t>
      </w:r>
    </w:p>
    <w:p>
      <w:pPr>
        <w:spacing w:after="80" w:line="300" w:lineRule="auto"/>
        <w:ind w:left="403" w:hanging="259"/>
      </w:pPr>
      <w:r>
        <w:rPr>
          <w:rFonts w:ascii="Calibri" w:hAnsi="Calibri" w:eastAsia="Microsoft YaHei"/>
        </w:rPr>
        <w:t xml:space="preserve">•  </w:t>
      </w:r>
      <w:r>
        <w:rPr>
          <w:rFonts w:ascii="Calibri" w:hAnsi="Calibri" w:eastAsia="Microsoft YaHei"/>
        </w:rPr>
        <w:t>H8（联合训练条件）：只有当 hindsight analyzer 的错误率受控时，RL+OPD 才比纯 outcome RL 更具样本效率；否则密集错误信号会累积。依据来自 [17] 的机制与局限。</w:t>
      </w:r>
    </w:p>
    <w:p>
      <w:pPr>
        <w:pStyle w:val="Heading2"/>
      </w:pPr>
      <w:r>
        <w:t>3.6 实验矩阵与评价指标</w:t>
      </w:r>
    </w:p>
    <w:p>
      <w:pPr>
        <w:pStyle w:val="Caption"/>
      </w:pPr>
      <w:r>
        <w:rPr>
          <w:rFonts w:ascii="Calibri" w:hAnsi="Calibri" w:eastAsia="Microsoft YaHei"/>
          <w:color w:val="5F6875"/>
          <w:sz w:val="18"/>
        </w:rPr>
        <w:t>表 4  RQ2 的实验矩阵。主实验应先固定教师和数据，再逐项改变目标与训练顺序。</w:t>
      </w:r>
    </w:p>
    <w:tbl>
      <w:tblPr>
        <w:tblStyle w:val="TableGrid"/>
        <w:tblW w:type="dxa" w:w="9360"/>
        <w:jc w:val="left"/>
        <w:tblLayout w:type="fixed"/>
        <w:tblLook w:firstColumn="1" w:firstRow="1" w:lastColumn="0" w:lastRow="0" w:noHBand="0" w:noVBand="1" w:val="04A0"/>
        <w:tblInd w:type="dxa" w:w="120"/>
      </w:tblPr>
      <w:tblGrid>
        <w:gridCol w:w="1700"/>
        <w:gridCol w:w="3800"/>
        <w:gridCol w:w="3860"/>
      </w:tblGrid>
      <w:tr>
        <w:trPr>
          <w:tblHeader w:val="true"/>
        </w:trPr>
        <w:tc>
          <w:tcPr>
            <w:tcW w:type="dxa" w:w="1700"/>
            <w:shd w:fill="E8EEF5"/>
            <w:vAlign w:val="center"/>
            <w:tcMar>
              <w:top w:w="80" w:type="dxa"/>
              <w:bottom w:w="80" w:type="dxa"/>
              <w:start w:w="120" w:type="dxa"/>
              <w:end w:w="120" w:type="dxa"/>
            </w:tcMar>
          </w:tcPr>
          <w:p>
            <w:pPr>
              <w:spacing w:before="0" w:after="40" w:line="269" w:lineRule="auto"/>
            </w:pPr>
            <w:r>
              <w:rPr>
                <w:rFonts w:ascii="Calibri" w:hAnsi="Calibri" w:eastAsia="Microsoft YaHei"/>
                <w:b/>
                <w:color w:val="0B2545"/>
                <w:sz w:val="18"/>
              </w:rPr>
              <w:t>实验轴</w:t>
            </w:r>
          </w:p>
        </w:tc>
        <w:tc>
          <w:tcPr>
            <w:tcW w:type="dxa" w:w="3800"/>
            <w:shd w:fill="E8EEF5"/>
            <w:vAlign w:val="center"/>
            <w:tcMar>
              <w:top w:w="80" w:type="dxa"/>
              <w:bottom w:w="80" w:type="dxa"/>
              <w:start w:w="120" w:type="dxa"/>
              <w:end w:w="120" w:type="dxa"/>
            </w:tcMar>
          </w:tcPr>
          <w:p>
            <w:pPr>
              <w:spacing w:before="0" w:after="40" w:line="269" w:lineRule="auto"/>
            </w:pPr>
            <w:r>
              <w:rPr>
                <w:rFonts w:ascii="Calibri" w:hAnsi="Calibri" w:eastAsia="Microsoft YaHei"/>
                <w:b/>
                <w:color w:val="0B2545"/>
                <w:sz w:val="18"/>
              </w:rPr>
              <w:t>建议水平</w:t>
            </w:r>
          </w:p>
        </w:tc>
        <w:tc>
          <w:tcPr>
            <w:tcW w:type="dxa" w:w="3860"/>
            <w:shd w:fill="E8EEF5"/>
            <w:vAlign w:val="center"/>
            <w:tcMar>
              <w:top w:w="80" w:type="dxa"/>
              <w:bottom w:w="80" w:type="dxa"/>
              <w:start w:w="120" w:type="dxa"/>
              <w:end w:w="120" w:type="dxa"/>
            </w:tcMar>
          </w:tcPr>
          <w:p>
            <w:pPr>
              <w:spacing w:before="0" w:after="40" w:line="269" w:lineRule="auto"/>
            </w:pPr>
            <w:r>
              <w:rPr>
                <w:rFonts w:ascii="Calibri" w:hAnsi="Calibri" w:eastAsia="Microsoft YaHei"/>
                <w:b/>
                <w:color w:val="0B2545"/>
                <w:sz w:val="18"/>
              </w:rPr>
              <w:t>主要观测</w:t>
            </w:r>
          </w:p>
        </w:tc>
      </w:tr>
      <w:tr>
        <w:trPr/>
        <w:tc>
          <w:tcPr>
            <w:tcW w:type="dxa" w:w="17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训练结构</w:t>
            </w:r>
          </w:p>
        </w:tc>
        <w:tc>
          <w:tcPr>
            <w:tcW w:type="dxa" w:w="38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mixed RL、sequential RL、final OPD、per-stage OPD、joint RL+OPD</w:t>
            </w:r>
          </w:p>
        </w:tc>
        <w:tc>
          <w:tcPr>
            <w:tcW w:type="dxa" w:w="386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平均能力与最差域保留率</w:t>
            </w:r>
          </w:p>
        </w:tc>
      </w:tr>
      <w:tr>
        <w:trPr/>
        <w:tc>
          <w:tcPr>
            <w:tcW w:type="dxa" w:w="17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教师信号</w:t>
            </w:r>
          </w:p>
        </w:tc>
        <w:tc>
          <w:tcPr>
            <w:tcW w:type="dxa" w:w="38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full teacher、teacher-base delta、privileged self-teacher</w:t>
            </w:r>
          </w:p>
        </w:tc>
        <w:tc>
          <w:tcPr>
            <w:tcW w:type="dxa" w:w="386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迁移收益、错误放大与计算成本</w:t>
            </w:r>
          </w:p>
        </w:tc>
      </w:tr>
      <w:tr>
        <w:trPr/>
        <w:tc>
          <w:tcPr>
            <w:tcW w:type="dxa" w:w="17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教师路由</w:t>
            </w:r>
          </w:p>
        </w:tc>
        <w:tc>
          <w:tcPr>
            <w:tcW w:type="dxa" w:w="38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固定权重、任务标签、student-state gating</w:t>
            </w:r>
          </w:p>
        </w:tc>
        <w:tc>
          <w:tcPr>
            <w:tcW w:type="dxa" w:w="386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域间干扰与前向次数</w:t>
            </w:r>
          </w:p>
        </w:tc>
      </w:tr>
      <w:tr>
        <w:trPr/>
        <w:tc>
          <w:tcPr>
            <w:tcW w:type="dxa" w:w="17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散度/估计</w:t>
            </w:r>
          </w:p>
        </w:tc>
        <w:tc>
          <w:tcPr>
            <w:tcW w:type="dxa" w:w="38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full-vocab RKL、top-k RKL、sampled-token、JSD/FKL</w:t>
            </w:r>
          </w:p>
        </w:tc>
        <w:tc>
          <w:tcPr>
            <w:tcW w:type="dxa" w:w="386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梯度方差、稳定性、吞吐</w:t>
            </w:r>
          </w:p>
        </w:tc>
      </w:tr>
      <w:tr>
        <w:trPr/>
        <w:tc>
          <w:tcPr>
            <w:tcW w:type="dxa" w:w="17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轨迹筛选</w:t>
            </w:r>
          </w:p>
        </w:tc>
        <w:tc>
          <w:tcPr>
            <w:tcW w:type="dxa" w:w="38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all、correct-only、incorrect-only、置信度门控</w:t>
            </w:r>
          </w:p>
        </w:tc>
        <w:tc>
          <w:tcPr>
            <w:tcW w:type="dxa" w:w="386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纠错、压缩与选择偏差</w:t>
            </w:r>
          </w:p>
        </w:tc>
      </w:tr>
      <w:tr>
        <w:trPr/>
        <w:tc>
          <w:tcPr>
            <w:tcW w:type="dxa" w:w="17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蒸馏时机</w:t>
            </w:r>
          </w:p>
        </w:tc>
        <w:tc>
          <w:tcPr>
            <w:tcW w:type="dxa" w:w="38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RL 前、RL 中、RL 后、每阶段后</w:t>
            </w:r>
          </w:p>
        </w:tc>
        <w:tc>
          <w:tcPr>
            <w:tcW w:type="dxa" w:w="386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可达能力、收敛速度与遗忘曲线</w:t>
            </w:r>
          </w:p>
        </w:tc>
      </w:tr>
    </w:tbl>
    <w:p>
      <w:pPr>
        <w:spacing w:after="40"/>
      </w:pPr>
    </w:p>
    <w:p>
      <w:pPr>
        <w:spacing w:after="120" w:line="300" w:lineRule="auto"/>
      </w:pPr>
      <w:r>
        <w:rPr>
          <w:rFonts w:ascii="Calibri" w:hAnsi="Calibri" w:eastAsia="Microsoft YaHei"/>
          <w:i w:val="0"/>
        </w:rPr>
        <w:t>评价应以多域 Pareto 而非单一平均分为主：每个阶段前后的域内性能、旧任务 retention ratio、最差域下降、正/负迁移矩阵、输出长度与任务成功的联合曲线、teacher forward FLOPs、full-logit 缓存开销和 wall-clock time-to-target。[1-2,13-17] 对 OPD 的结论还应区分“能力恢复”“失败纠正”“轨迹压缩”三种不同效果。</w:t>
      </w:r>
    </w:p>
    <w:p>
      <w:pPr>
        <w:pStyle w:val="Heading1"/>
      </w:pPr>
      <w:r>
        <w:t>4. 建议的最小研究路线</w:t>
      </w:r>
    </w:p>
    <w:p>
      <w:pPr>
        <w:spacing w:after="120" w:line="300" w:lineRule="auto"/>
      </w:pPr>
      <w:r>
        <w:rPr>
          <w:rFonts w:ascii="Calibri" w:hAnsi="Calibri" w:eastAsia="Microsoft YaHei"/>
          <w:i w:val="0"/>
        </w:rPr>
        <w:t>下面的路线优先追求可归因性，而不是一开始复制前沿模型的完整训练规模。每一阶段都设置停止条件，避免系统工程掩盖算法问题。该路线是本文建议，实验变量来自前述证据冲突。[1-17]</w:t>
      </w:r>
    </w:p>
    <w:p>
      <w:pPr>
        <w:numPr>
          <w:ilvl w:val="0"/>
          <w:numId w:val="11"/>
        </w:numPr>
        <w:spacing w:after="80" w:line="300" w:lineRule="auto"/>
      </w:pPr>
      <w:r>
        <w:rPr>
          <w:rFonts w:ascii="Calibri" w:hAnsi="Calibri" w:eastAsia="Microsoft YaHei"/>
        </w:rPr>
        <w:t>阶段 0：建立可回放环境。选择一个搜索 Agent 环境和一个可执行代码/终端环境；记录 token、policy version、log-probability、turn/segment 边界、环境错误类型和恢复事件。先验证同一轨迹可确定性重放。</w:t>
      </w:r>
    </w:p>
    <w:p>
      <w:pPr>
        <w:numPr>
          <w:ilvl w:val="0"/>
          <w:numId w:val="11"/>
        </w:numPr>
        <w:spacing w:after="80" w:line="300" w:lineRule="auto"/>
      </w:pPr>
      <w:r>
        <w:rPr>
          <w:rFonts w:ascii="Calibri" w:hAnsi="Calibri" w:eastAsia="Microsoft YaHei"/>
        </w:rPr>
        <w:t>阶段 1：完成 RQ1 小规模因果实验。固定 3B-8B backbone、数据与 reward，只改变 staleness、行为策略恢复、粒度和故障处理；至少三次独立运行，绘制 time-to-target 与稳定性曲线。</w:t>
      </w:r>
    </w:p>
    <w:p>
      <w:pPr>
        <w:numPr>
          <w:ilvl w:val="0"/>
          <w:numId w:val="11"/>
        </w:numPr>
        <w:spacing w:after="80" w:line="300" w:lineRule="auto"/>
      </w:pPr>
      <w:r>
        <w:rPr>
          <w:rFonts w:ascii="Calibri" w:hAnsi="Calibri" w:eastAsia="Microsoft YaHei"/>
        </w:rPr>
        <w:t>阶段 2：完成 RQ2 两域实验。分别训练 reasoning 与 agent expert，比较 mixed/sequential/final-OPD；随后加入 delta teacher、动态路由和 correct/incorrect 分组，测量完整遗忘矩阵。</w:t>
      </w:r>
    </w:p>
    <w:p>
      <w:pPr>
        <w:numPr>
          <w:ilvl w:val="0"/>
          <w:numId w:val="11"/>
        </w:numPr>
        <w:spacing w:after="80" w:line="300" w:lineRule="auto"/>
      </w:pPr>
      <w:r>
        <w:rPr>
          <w:rFonts w:ascii="Calibri" w:hAnsi="Calibri" w:eastAsia="Microsoft YaHei"/>
        </w:rPr>
        <w:t>阶段 3：验证交互效应。只选择阶段 1、2 中最稳的两种配置，研究 asynchronous learner 是否改变 OPD 的 teacher/student mismatch，避免全排列式成本爆炸。</w:t>
      </w:r>
    </w:p>
    <w:p>
      <w:pPr>
        <w:numPr>
          <w:ilvl w:val="0"/>
          <w:numId w:val="11"/>
        </w:numPr>
        <w:spacing w:after="80" w:line="300" w:lineRule="auto"/>
      </w:pPr>
      <w:r>
        <w:rPr>
          <w:rFonts w:ascii="Calibri" w:hAnsi="Calibri" w:eastAsia="Microsoft YaHei"/>
        </w:rPr>
        <w:t>阶段 4：扩大模型与环境。只有当小规模机制可重复、指标能区分失败原因后，再迁移到 SWE/Terminal 长轨迹和更大 MoE backbone。</w:t>
      </w:r>
    </w:p>
    <w:p>
      <w:pPr>
        <w:pStyle w:val="Caption"/>
      </w:pPr>
      <w:r>
        <w:rPr>
          <w:rFonts w:ascii="Calibri" w:hAnsi="Calibri" w:eastAsia="Microsoft YaHei"/>
          <w:color w:val="5F6875"/>
          <w:sz w:val="18"/>
        </w:rPr>
        <w:t>表 5  研究里程碑与停止条件。</w:t>
      </w:r>
    </w:p>
    <w:tbl>
      <w:tblPr>
        <w:tblStyle w:val="TableGrid"/>
        <w:tblW w:type="dxa" w:w="9360"/>
        <w:jc w:val="left"/>
        <w:tblLayout w:type="fixed"/>
        <w:tblLook w:firstColumn="1" w:firstRow="1" w:lastColumn="0" w:lastRow="0" w:noHBand="0" w:noVBand="1" w:val="04A0"/>
        <w:tblInd w:type="dxa" w:w="120"/>
      </w:tblPr>
      <w:tblGrid>
        <w:gridCol w:w="1600"/>
        <w:gridCol w:w="2700"/>
        <w:gridCol w:w="2650"/>
        <w:gridCol w:w="2410"/>
      </w:tblGrid>
      <w:tr>
        <w:trPr>
          <w:tblHeader w:val="true"/>
        </w:trPr>
        <w:tc>
          <w:tcPr>
            <w:tcW w:type="dxa" w:w="1600"/>
            <w:shd w:fill="E8EEF5"/>
            <w:vAlign w:val="center"/>
            <w:tcMar>
              <w:top w:w="80" w:type="dxa"/>
              <w:bottom w:w="80" w:type="dxa"/>
              <w:start w:w="120" w:type="dxa"/>
              <w:end w:w="120" w:type="dxa"/>
            </w:tcMar>
          </w:tcPr>
          <w:p>
            <w:pPr>
              <w:spacing w:before="0" w:after="40" w:line="269" w:lineRule="auto"/>
            </w:pPr>
            <w:r>
              <w:rPr>
                <w:rFonts w:ascii="Calibri" w:hAnsi="Calibri" w:eastAsia="Microsoft YaHei"/>
                <w:b/>
                <w:color w:val="0B2545"/>
                <w:sz w:val="18"/>
              </w:rPr>
              <w:t>里程碑</w:t>
            </w:r>
          </w:p>
        </w:tc>
        <w:tc>
          <w:tcPr>
            <w:tcW w:type="dxa" w:w="2700"/>
            <w:shd w:fill="E8EEF5"/>
            <w:vAlign w:val="center"/>
            <w:tcMar>
              <w:top w:w="80" w:type="dxa"/>
              <w:bottom w:w="80" w:type="dxa"/>
              <w:start w:w="120" w:type="dxa"/>
              <w:end w:w="120" w:type="dxa"/>
            </w:tcMar>
          </w:tcPr>
          <w:p>
            <w:pPr>
              <w:spacing w:before="0" w:after="40" w:line="269" w:lineRule="auto"/>
            </w:pPr>
            <w:r>
              <w:rPr>
                <w:rFonts w:ascii="Calibri" w:hAnsi="Calibri" w:eastAsia="Microsoft YaHei"/>
                <w:b/>
                <w:color w:val="0B2545"/>
                <w:sz w:val="18"/>
              </w:rPr>
              <w:t>最小产出</w:t>
            </w:r>
          </w:p>
        </w:tc>
        <w:tc>
          <w:tcPr>
            <w:tcW w:type="dxa" w:w="2650"/>
            <w:shd w:fill="E8EEF5"/>
            <w:vAlign w:val="center"/>
            <w:tcMar>
              <w:top w:w="80" w:type="dxa"/>
              <w:bottom w:w="80" w:type="dxa"/>
              <w:start w:w="120" w:type="dxa"/>
              <w:end w:w="120" w:type="dxa"/>
            </w:tcMar>
          </w:tcPr>
          <w:p>
            <w:pPr>
              <w:spacing w:before="0" w:after="40" w:line="269" w:lineRule="auto"/>
            </w:pPr>
            <w:r>
              <w:rPr>
                <w:rFonts w:ascii="Calibri" w:hAnsi="Calibri" w:eastAsia="Microsoft YaHei"/>
                <w:b/>
                <w:color w:val="0B2545"/>
                <w:sz w:val="18"/>
              </w:rPr>
              <w:t>继续条件</w:t>
            </w:r>
          </w:p>
        </w:tc>
        <w:tc>
          <w:tcPr>
            <w:tcW w:type="dxa" w:w="2410"/>
            <w:shd w:fill="E8EEF5"/>
            <w:vAlign w:val="center"/>
            <w:tcMar>
              <w:top w:w="80" w:type="dxa"/>
              <w:bottom w:w="80" w:type="dxa"/>
              <w:start w:w="120" w:type="dxa"/>
              <w:end w:w="120" w:type="dxa"/>
            </w:tcMar>
          </w:tcPr>
          <w:p>
            <w:pPr>
              <w:spacing w:before="0" w:after="40" w:line="269" w:lineRule="auto"/>
            </w:pPr>
            <w:r>
              <w:rPr>
                <w:rFonts w:ascii="Calibri" w:hAnsi="Calibri" w:eastAsia="Microsoft YaHei"/>
                <w:b/>
                <w:color w:val="0B2545"/>
                <w:sz w:val="18"/>
              </w:rPr>
              <w:t>停止/回退条件</w:t>
            </w:r>
          </w:p>
        </w:tc>
      </w:tr>
      <w:tr>
        <w:trPr/>
        <w:tc>
          <w:tcPr>
            <w:tcW w:type="dxa" w:w="16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M0 数据正确性</w:t>
            </w:r>
          </w:p>
        </w:tc>
        <w:tc>
          <w:tcPr>
            <w:tcW w:type="dxa" w:w="27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可重放日志与故障标签</w:t>
            </w:r>
          </w:p>
        </w:tc>
        <w:tc>
          <w:tcPr>
            <w:tcW w:type="dxa" w:w="265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恢复前后状态一致</w:t>
            </w:r>
          </w:p>
        </w:tc>
        <w:tc>
          <w:tcPr>
            <w:tcW w:type="dxa" w:w="241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非幂等操作无法追踪</w:t>
            </w:r>
          </w:p>
        </w:tc>
      </w:tr>
      <w:tr>
        <w:trPr/>
        <w:tc>
          <w:tcPr>
            <w:tcW w:type="dxa" w:w="16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M1 异步机制</w:t>
            </w:r>
          </w:p>
        </w:tc>
        <w:tc>
          <w:tcPr>
            <w:tcW w:type="dxa" w:w="27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稳定区间与成本曲线</w:t>
            </w:r>
          </w:p>
        </w:tc>
        <w:tc>
          <w:tcPr>
            <w:tcW w:type="dxa" w:w="265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至少一项机制跨两环境复现</w:t>
            </w:r>
          </w:p>
        </w:tc>
        <w:tc>
          <w:tcPr>
            <w:tcW w:type="dxa" w:w="241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收益仅来自更短输出或数据差异</w:t>
            </w:r>
          </w:p>
        </w:tc>
      </w:tr>
      <w:tr>
        <w:trPr/>
        <w:tc>
          <w:tcPr>
            <w:tcW w:type="dxa" w:w="16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M2 能力合并</w:t>
            </w:r>
          </w:p>
        </w:tc>
        <w:tc>
          <w:tcPr>
            <w:tcW w:type="dxa" w:w="27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多域迁移/遗忘矩阵</w:t>
            </w:r>
          </w:p>
        </w:tc>
        <w:tc>
          <w:tcPr>
            <w:tcW w:type="dxa" w:w="265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最差域下降可控且总成本透明</w:t>
            </w:r>
          </w:p>
        </w:tc>
        <w:tc>
          <w:tcPr>
            <w:tcW w:type="dxa" w:w="241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平均分上升但旧能力系统退化</w:t>
            </w:r>
          </w:p>
        </w:tc>
      </w:tr>
      <w:tr>
        <w:trPr/>
        <w:tc>
          <w:tcPr>
            <w:tcW w:type="dxa" w:w="16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M3 联合验证</w:t>
            </w:r>
          </w:p>
        </w:tc>
        <w:tc>
          <w:tcPr>
            <w:tcW w:type="dxa" w:w="27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async × OPD 交互结果</w:t>
            </w:r>
          </w:p>
        </w:tc>
        <w:tc>
          <w:tcPr>
            <w:tcW w:type="dxa" w:w="265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结论在第二 backbone 保持</w:t>
            </w:r>
          </w:p>
        </w:tc>
        <w:tc>
          <w:tcPr>
            <w:tcW w:type="dxa" w:w="241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结果对单一 seed/阈值敏感</w:t>
            </w:r>
          </w:p>
        </w:tc>
      </w:tr>
    </w:tbl>
    <w:p>
      <w:pPr>
        <w:spacing w:after="40"/>
      </w:pPr>
    </w:p>
    <w:p>
      <w:pPr>
        <w:pStyle w:val="Heading1"/>
      </w:pPr>
      <w:r>
        <w:t>5. 研究执行中的方法学约束</w:t>
      </w:r>
    </w:p>
    <w:p>
      <w:pPr>
        <w:spacing w:after="80" w:line="300" w:lineRule="auto"/>
        <w:ind w:left="403" w:hanging="259"/>
      </w:pPr>
      <w:r>
        <w:rPr>
          <w:rFonts w:ascii="Calibri" w:hAnsi="Calibri" w:eastAsia="Microsoft YaHei"/>
        </w:rPr>
        <w:t xml:space="preserve">•  </w:t>
      </w:r>
      <w:r>
        <w:rPr>
          <w:rFonts w:ascii="Calibri" w:hAnsi="Calibri" w:eastAsia="Microsoft YaHei"/>
        </w:rPr>
        <w:t>先报告数据流，再报告算法名。必须明确 rollout policy、old/proximal policy、current learner、reference/teacher 各自的版本和更新时间。[3,5,9]</w:t>
      </w:r>
    </w:p>
    <w:p>
      <w:pPr>
        <w:spacing w:after="80" w:line="300" w:lineRule="auto"/>
        <w:ind w:left="403" w:hanging="259"/>
      </w:pPr>
      <w:r>
        <w:rPr>
          <w:rFonts w:ascii="Calibri" w:hAnsi="Calibri" w:eastAsia="Microsoft YaHei"/>
        </w:rPr>
        <w:t xml:space="preserve">•  </w:t>
      </w:r>
      <w:r>
        <w:rPr>
          <w:rFonts w:ascii="Calibri" w:hAnsi="Calibri" w:eastAsia="Microsoft YaHei"/>
        </w:rPr>
        <w:t>区分环境 observation 与模型 action。只有模型生成 token 进入 policy loss 时，需要说明 advantage 如何跨 observation、turn 和 compaction boundary 传播。[3-4,10]</w:t>
      </w:r>
    </w:p>
    <w:p>
      <w:pPr>
        <w:spacing w:after="80" w:line="300" w:lineRule="auto"/>
        <w:ind w:left="403" w:hanging="259"/>
      </w:pPr>
      <w:r>
        <w:rPr>
          <w:rFonts w:ascii="Calibri" w:hAnsi="Calibri" w:eastAsia="Microsoft YaHei"/>
        </w:rPr>
        <w:t xml:space="preserve">•  </w:t>
      </w:r>
      <w:r>
        <w:rPr>
          <w:rFonts w:ascii="Calibri" w:hAnsi="Calibri" w:eastAsia="Microsoft YaHei"/>
        </w:rPr>
        <w:t>同时报告质量与成本。吞吐、GPU-hour、teacher forward、被丢弃 token 和 wall-clock time-to-target 应与任务成功率并列。[5-9,13-16]</w:t>
      </w:r>
    </w:p>
    <w:p>
      <w:pPr>
        <w:spacing w:after="80" w:line="300" w:lineRule="auto"/>
        <w:ind w:left="403" w:hanging="259"/>
      </w:pPr>
      <w:r>
        <w:rPr>
          <w:rFonts w:ascii="Calibri" w:hAnsi="Calibri" w:eastAsia="Microsoft YaHei"/>
        </w:rPr>
        <w:t xml:space="preserve">•  </w:t>
      </w:r>
      <w:r>
        <w:rPr>
          <w:rFonts w:ascii="Calibri" w:hAnsi="Calibri" w:eastAsia="Microsoft YaHei"/>
        </w:rPr>
        <w:t>至少提供训练曲线和多 seed。最终 checkpoint 分数可能隐藏中途坍缩、后期退化或 early saturation。[3,7,10,15-16]</w:t>
      </w:r>
    </w:p>
    <w:p>
      <w:pPr>
        <w:spacing w:after="80" w:line="300" w:lineRule="auto"/>
        <w:ind w:left="403" w:hanging="259"/>
      </w:pPr>
      <w:r>
        <w:rPr>
          <w:rFonts w:ascii="Calibri" w:hAnsi="Calibri" w:eastAsia="Microsoft YaHei"/>
        </w:rPr>
        <w:t xml:space="preserve">•  </w:t>
      </w:r>
      <w:r>
        <w:rPr>
          <w:rFonts w:ascii="Calibri" w:hAnsi="Calibri" w:eastAsia="Microsoft YaHei"/>
        </w:rPr>
        <w:t>报告适用边界。数学 RLHF、搜索 Agent、SWE Agent、TravelPlanner 和 embodied environment 的 horizon、奖励密度与工具错误结构不同，不能直接互相外推。[3-6,10-12,17]</w:t>
      </w:r>
    </w:p>
    <w:p>
      <w:pPr>
        <w:spacing w:after="80" w:line="300" w:lineRule="auto"/>
        <w:ind w:left="403" w:hanging="259"/>
      </w:pPr>
      <w:r>
        <w:rPr>
          <w:rFonts w:ascii="Calibri" w:hAnsi="Calibri" w:eastAsia="Microsoft YaHei"/>
        </w:rPr>
        <w:t xml:space="preserve">•  </w:t>
      </w:r>
      <w:r>
        <w:rPr>
          <w:rFonts w:ascii="Calibri" w:hAnsi="Calibri" w:eastAsia="Microsoft YaHei"/>
        </w:rPr>
        <w:t>技术报告只作工程可行性证据。若没有独立消融，不将大模型最终能力归因于某一个模块。[1-2]</w:t>
      </w:r>
    </w:p>
    <w:p>
      <w:pPr>
        <w:pStyle w:val="Heading1"/>
      </w:pPr>
      <w:r>
        <w:t>6. 阅读路线与证据地图</w:t>
      </w:r>
    </w:p>
    <w:p>
      <w:pPr>
        <w:pStyle w:val="Caption"/>
      </w:pPr>
      <w:r>
        <w:rPr>
          <w:rFonts w:ascii="Calibri" w:hAnsi="Calibri" w:eastAsia="Microsoft YaHei"/>
          <w:color w:val="5F6875"/>
          <w:sz w:val="18"/>
        </w:rPr>
        <w:t>表 6  建议阅读顺序。先读机制冲突，再读规模化实现。</w:t>
      </w:r>
    </w:p>
    <w:tbl>
      <w:tblPr>
        <w:tblStyle w:val="TableGrid"/>
        <w:tblW w:type="dxa" w:w="9360"/>
        <w:jc w:val="left"/>
        <w:tblLayout w:type="fixed"/>
        <w:tblLook w:firstColumn="1" w:firstRow="1" w:lastColumn="0" w:lastRow="0" w:noHBand="0" w:noVBand="1" w:val="04A0"/>
        <w:tblInd w:type="dxa" w:w="120"/>
      </w:tblPr>
      <w:tblGrid>
        <w:gridCol w:w="1800"/>
        <w:gridCol w:w="3000"/>
        <w:gridCol w:w="4560"/>
      </w:tblGrid>
      <w:tr>
        <w:trPr>
          <w:tblHeader w:val="true"/>
        </w:trPr>
        <w:tc>
          <w:tcPr>
            <w:tcW w:type="dxa" w:w="1800"/>
            <w:shd w:fill="E8EEF5"/>
            <w:vAlign w:val="center"/>
            <w:tcMar>
              <w:top w:w="80" w:type="dxa"/>
              <w:bottom w:w="80" w:type="dxa"/>
              <w:start w:w="120" w:type="dxa"/>
              <w:end w:w="120" w:type="dxa"/>
            </w:tcMar>
          </w:tcPr>
          <w:p>
            <w:pPr>
              <w:spacing w:before="0" w:after="40" w:line="269" w:lineRule="auto"/>
            </w:pPr>
            <w:r>
              <w:rPr>
                <w:rFonts w:ascii="Calibri" w:hAnsi="Calibri" w:eastAsia="Microsoft YaHei"/>
                <w:b/>
                <w:color w:val="0B2545"/>
                <w:sz w:val="18"/>
              </w:rPr>
              <w:t>阅读目的</w:t>
            </w:r>
          </w:p>
        </w:tc>
        <w:tc>
          <w:tcPr>
            <w:tcW w:type="dxa" w:w="3000"/>
            <w:shd w:fill="E8EEF5"/>
            <w:vAlign w:val="center"/>
            <w:tcMar>
              <w:top w:w="80" w:type="dxa"/>
              <w:bottom w:w="80" w:type="dxa"/>
              <w:start w:w="120" w:type="dxa"/>
              <w:end w:w="120" w:type="dxa"/>
            </w:tcMar>
          </w:tcPr>
          <w:p>
            <w:pPr>
              <w:spacing w:before="0" w:after="40" w:line="269" w:lineRule="auto"/>
            </w:pPr>
            <w:r>
              <w:rPr>
                <w:rFonts w:ascii="Calibri" w:hAnsi="Calibri" w:eastAsia="Microsoft YaHei"/>
                <w:b/>
                <w:color w:val="0B2545"/>
                <w:sz w:val="18"/>
              </w:rPr>
              <w:t>优先论文</w:t>
            </w:r>
          </w:p>
        </w:tc>
        <w:tc>
          <w:tcPr>
            <w:tcW w:type="dxa" w:w="4560"/>
            <w:shd w:fill="E8EEF5"/>
            <w:vAlign w:val="center"/>
            <w:tcMar>
              <w:top w:w="80" w:type="dxa"/>
              <w:bottom w:w="80" w:type="dxa"/>
              <w:start w:w="120" w:type="dxa"/>
              <w:end w:w="120" w:type="dxa"/>
            </w:tcMar>
          </w:tcPr>
          <w:p>
            <w:pPr>
              <w:spacing w:before="0" w:after="40" w:line="269" w:lineRule="auto"/>
            </w:pPr>
            <w:r>
              <w:rPr>
                <w:rFonts w:ascii="Calibri" w:hAnsi="Calibri" w:eastAsia="Microsoft YaHei"/>
                <w:b/>
                <w:color w:val="0B2545"/>
                <w:sz w:val="18"/>
              </w:rPr>
              <w:t>阅读重点</w:t>
            </w:r>
          </w:p>
        </w:tc>
      </w:tr>
      <w:tr>
        <w:trPr/>
        <w:tc>
          <w:tcPr>
            <w:tcW w:type="dxa" w:w="18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理解真实大规模管线</w:t>
            </w:r>
          </w:p>
        </w:tc>
        <w:tc>
          <w:tcPr>
            <w:tcW w:type="dxa" w:w="30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GLM-5 [1]；DeepSeek-V4 [2]</w:t>
            </w:r>
          </w:p>
        </w:tc>
        <w:tc>
          <w:tcPr>
            <w:tcW w:type="dxa" w:w="456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异步 Agent RL、故障恢复、OPD 管线；注意缺少哪些消融</w:t>
            </w:r>
          </w:p>
        </w:tc>
      </w:tr>
      <w:tr>
        <w:trPr/>
        <w:tc>
          <w:tcPr>
            <w:tcW w:type="dxa" w:w="18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理解异步训练基础</w:t>
            </w:r>
          </w:p>
        </w:tc>
        <w:tc>
          <w:tcPr>
            <w:tcW w:type="dxa" w:w="30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AReaL [5]；Async RLHF [6]；RolloutPipe [8]</w:t>
            </w:r>
          </w:p>
        </w:tc>
        <w:tc>
          <w:tcPr>
            <w:tcW w:type="dxa" w:w="456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吞吐、staleness、on-policy 替代方案</w:t>
            </w:r>
          </w:p>
        </w:tc>
      </w:tr>
      <w:tr>
        <w:trPr/>
        <w:tc>
          <w:tcPr>
            <w:tcW w:type="dxa" w:w="18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理解行为策略语义</w:t>
            </w:r>
          </w:p>
        </w:tc>
        <w:tc>
          <w:tcPr>
            <w:tcW w:type="dxa" w:w="30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SAO [3]；Staleness Law [7]；Missing Old Logits [9]</w:t>
            </w:r>
          </w:p>
        </w:tc>
        <w:tc>
          <w:tcPr>
            <w:tcW w:type="dxa" w:w="456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ratio 定义、old policy、稳定区间和系统成本</w:t>
            </w:r>
          </w:p>
        </w:tc>
      </w:tr>
      <w:tr>
        <w:trPr/>
        <w:tc>
          <w:tcPr>
            <w:tcW w:type="dxa" w:w="18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理解粒度与环境噪声</w:t>
            </w:r>
          </w:p>
        </w:tc>
        <w:tc>
          <w:tcPr>
            <w:tcW w:type="dxa" w:w="30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CompactionRL [4]；SORL [10]；Demystifying [11]；AgentGym-RL [12]</w:t>
            </w:r>
          </w:p>
        </w:tc>
        <w:tc>
          <w:tcPr>
            <w:tcW w:type="dxa" w:w="456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token/turn/segment、故障注入、progressive horizon</w:t>
            </w:r>
          </w:p>
        </w:tc>
      </w:tr>
      <w:tr>
        <w:trPr/>
        <w:tc>
          <w:tcPr>
            <w:tcW w:type="dxa" w:w="18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理解 OPD 基础</w:t>
            </w:r>
          </w:p>
        </w:tc>
        <w:tc>
          <w:tcPr>
            <w:tcW w:type="dxa" w:w="30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MiniLLM [13]；GKD [14]</w:t>
            </w:r>
          </w:p>
        </w:tc>
        <w:tc>
          <w:tcPr>
            <w:tcW w:type="dxa" w:w="456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学生分布、reverse-KL、散度与 exposure bias</w:t>
            </w:r>
          </w:p>
        </w:tc>
      </w:tr>
      <w:tr>
        <w:trPr/>
        <w:tc>
          <w:tcPr>
            <w:tcW w:type="dxa" w:w="18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理解 OPD 的边界与扩展</w:t>
            </w:r>
          </w:p>
        </w:tc>
        <w:tc>
          <w:tcPr>
            <w:tcW w:type="dxa" w:w="30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OPSD [15]；OPD² [16]；SEED [17]</w:t>
            </w:r>
          </w:p>
        </w:tc>
        <w:tc>
          <w:tcPr>
            <w:tcW w:type="dxa" w:w="456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压缩与纠错、delta teacher、Agent hindsight skill</w:t>
            </w:r>
          </w:p>
        </w:tc>
      </w:tr>
    </w:tbl>
    <w:p>
      <w:pPr>
        <w:spacing w:after="40"/>
      </w:pPr>
    </w:p>
    <w:p>
      <w:pPr>
        <w:pStyle w:val="Heading1"/>
      </w:pPr>
      <w:r>
        <w:t>7. 结论：后续研究应回答什么</w:t>
      </w:r>
    </w:p>
    <w:p>
      <w:pPr>
        <w:spacing w:after="120" w:line="300" w:lineRule="auto"/>
      </w:pPr>
      <w:r>
        <w:rPr>
          <w:rFonts w:ascii="Calibri" w:hAnsi="Calibri" w:eastAsia="Microsoft YaHei"/>
          <w:i w:val="0"/>
        </w:rPr>
        <w:t>第一条主线最终要回答的不是“异步 RL 是否更快”，而是：在给定 wall-clock 预算下，系统能否证明每条进入 learner 的轨迹来自可识别的行为策略、保留正确的交互状态，并把环境故障与策略失败分开。AReaL、SAO、DeepSeek-V4 与 Missing Old Logits 已提供互补机制，但尚未形成统一的统计-系统正确性标准。[2-3,5,7-9]</w:t>
      </w:r>
    </w:p>
    <w:p>
      <w:pPr>
        <w:spacing w:after="120" w:line="300" w:lineRule="auto"/>
      </w:pPr>
      <w:r>
        <w:rPr>
          <w:rFonts w:ascii="Calibri" w:hAnsi="Calibri" w:eastAsia="Microsoft YaHei"/>
          <w:i w:val="0"/>
        </w:rPr>
        <w:t>第二条主线最终要回答的不是“OPD 是否有效”，而是：它在什么条件下复制能力、抽取教师增量、压缩既有轨迹，或真正修复失败策略。DeepSeek-V4 与 GLM-5 展示了大规模多阶段合并的可行性，MiniLLM/GKD 提供了机制基础，OPSD、OPD² 与 SEED 则暴露了作用边界和新的教师噪声问题。[1-2,13-17]</w:t>
      </w:r>
    </w:p>
    <w:tbl>
      <w:tblPr>
        <w:tblStyle w:val="TableGrid"/>
        <w:tblW w:type="dxa" w:w="9360"/>
        <w:jc w:val="left"/>
        <w:tblLayout w:type="fixed"/>
        <w:tblLook w:firstColumn="1" w:firstRow="1" w:lastColumn="0" w:lastRow="0" w:noHBand="0" w:noVBand="1" w:val="04A0"/>
        <w:tblInd w:type="dxa" w:w="180"/>
      </w:tblPr>
      <w:tblGrid>
        <w:gridCol w:w="9360"/>
      </w:tblGrid>
      <w:tr>
        <w:trPr/>
        <w:tc>
          <w:tcPr>
            <w:tcW w:type="dxa" w:w="9360"/>
            <w:shd w:fill="F4F6F9"/>
            <w:tcMar>
              <w:top w:w="120" w:type="dxa"/>
              <w:bottom w:w="120" w:type="dxa"/>
              <w:start w:w="180" w:type="dxa"/>
              <w:end w:w="180" w:type="dxa"/>
            </w:tcMar>
          </w:tcPr>
          <w:p>
            <w:pPr>
              <w:spacing w:before="40" w:after="40" w:line="288" w:lineRule="auto"/>
            </w:pPr>
            <w:r>
              <w:rPr>
                <w:rFonts w:ascii="Calibri" w:hAnsi="Calibri" w:eastAsia="Microsoft YaHei"/>
                <w:b/>
                <w:color w:val="1F4D78"/>
                <w:sz w:val="21"/>
              </w:rPr>
              <w:t xml:space="preserve">最终指导原则  </w:t>
            </w:r>
            <w:r>
              <w:rPr>
                <w:rFonts w:ascii="Calibri" w:hAnsi="Calibri" w:eastAsia="Microsoft YaHei"/>
                <w:color w:val="20252B"/>
                <w:sz w:val="21"/>
              </w:rPr>
              <w:t>把“轨迹是否可学”和“能力是否可合”作为两个独立判据。任何新方法只有同时给出行为策略语义、数据利用率、稳定性曲线、跨域保留率和计算成本，才足以支持面向长程 Agent 的优化结论。</w:t>
            </w:r>
          </w:p>
        </w:tc>
      </w:tr>
    </w:tbl>
    <w:p>
      <w:pPr>
        <w:spacing w:after="40"/>
      </w:pPr>
    </w:p>
    <w:p>
      <w:pPr>
        <w:pStyle w:val="Heading1"/>
      </w:pPr>
      <w:r>
        <w:t>参考文献</w:t>
      </w:r>
    </w:p>
    <w:p>
      <w:pPr>
        <w:numPr>
          <w:ilvl w:val="0"/>
          <w:numId w:val="12"/>
        </w:numPr>
        <w:spacing w:after="100" w:line="276" w:lineRule="auto"/>
      </w:pPr>
      <w:r>
        <w:rPr>
          <w:rFonts w:ascii="Calibri" w:hAnsi="Calibri" w:eastAsia="Microsoft YaHei"/>
          <w:sz w:val="19"/>
        </w:rPr>
        <w:t xml:space="preserve">GLM-5 Team. GLM-5: from Vibe Coding to Agentic Engineering. arXiv:2602.15763, 2026. </w:t>
      </w:r>
      <w:hyperlink r:id="rId11">
        <w:r>
          <w:rPr>
            <w:color w:val="0563C1"/>
            <w:u w:val="single"/>
            <w:rFonts w:ascii="Calibri" w:hAnsi="Calibri" w:eastAsia="Microsoft YaHei"/>
          </w:rPr>
          <w:t>arXiv</w:t>
        </w:r>
      </w:hyperlink>
    </w:p>
    <w:p>
      <w:pPr>
        <w:numPr>
          <w:ilvl w:val="0"/>
          <w:numId w:val="12"/>
        </w:numPr>
        <w:spacing w:after="100" w:line="276" w:lineRule="auto"/>
      </w:pPr>
      <w:r>
        <w:rPr>
          <w:rFonts w:ascii="Calibri" w:hAnsi="Calibri" w:eastAsia="Microsoft YaHei"/>
          <w:sz w:val="19"/>
        </w:rPr>
        <w:t xml:space="preserve">DeepSeek-AI. DeepSeek-V4: Towards Highly Efficient Million-Token Context Intelligence. arXiv:2606.19348, 2026. </w:t>
      </w:r>
      <w:hyperlink r:id="rId12">
        <w:r>
          <w:rPr>
            <w:color w:val="0563C1"/>
            <w:u w:val="single"/>
            <w:rFonts w:ascii="Calibri" w:hAnsi="Calibri" w:eastAsia="Microsoft YaHei"/>
          </w:rPr>
          <w:t>arXiv</w:t>
        </w:r>
      </w:hyperlink>
    </w:p>
    <w:p>
      <w:pPr>
        <w:numPr>
          <w:ilvl w:val="0"/>
          <w:numId w:val="12"/>
        </w:numPr>
        <w:spacing w:after="100" w:line="276" w:lineRule="auto"/>
      </w:pPr>
      <w:r>
        <w:rPr>
          <w:rFonts w:ascii="Calibri" w:hAnsi="Calibri" w:eastAsia="Microsoft YaHei"/>
          <w:sz w:val="19"/>
        </w:rPr>
        <w:t xml:space="preserve">Zhenyu Hou, Yujiang Li, Jie Tang, and Yuxiao Dong. Single-Rollout Asynchronous Optimization for Agentic Reinforcement Learning. arXiv:2607.07508, 2026. </w:t>
      </w:r>
      <w:hyperlink r:id="rId13">
        <w:r>
          <w:rPr>
            <w:color w:val="0563C1"/>
            <w:u w:val="single"/>
            <w:rFonts w:ascii="Calibri" w:hAnsi="Calibri" w:eastAsia="Microsoft YaHei"/>
          </w:rPr>
          <w:t>arXiv</w:t>
        </w:r>
      </w:hyperlink>
    </w:p>
    <w:p>
      <w:pPr>
        <w:numPr>
          <w:ilvl w:val="0"/>
          <w:numId w:val="12"/>
        </w:numPr>
        <w:spacing w:after="100" w:line="276" w:lineRule="auto"/>
      </w:pPr>
      <w:r>
        <w:rPr>
          <w:rFonts w:ascii="Calibri" w:hAnsi="Calibri" w:eastAsia="Microsoft YaHei"/>
          <w:sz w:val="19"/>
        </w:rPr>
        <w:t xml:space="preserve">Yujiang Li, Zhenyu Hou, Yi Jing, Jie Tang, and Yuxiao Dong. CompactionRL: Reinforcement Learning with Context Compaction for Long-Horizon Agents. arXiv:2607.05378, 2026. </w:t>
      </w:r>
      <w:hyperlink r:id="rId14">
        <w:r>
          <w:rPr>
            <w:color w:val="0563C1"/>
            <w:u w:val="single"/>
            <w:rFonts w:ascii="Calibri" w:hAnsi="Calibri" w:eastAsia="Microsoft YaHei"/>
          </w:rPr>
          <w:t>arXiv</w:t>
        </w:r>
      </w:hyperlink>
    </w:p>
    <w:p>
      <w:pPr>
        <w:numPr>
          <w:ilvl w:val="0"/>
          <w:numId w:val="12"/>
        </w:numPr>
        <w:spacing w:after="100" w:line="276" w:lineRule="auto"/>
      </w:pPr>
      <w:r>
        <w:rPr>
          <w:rFonts w:ascii="Calibri" w:hAnsi="Calibri" w:eastAsia="Microsoft YaHei"/>
          <w:sz w:val="19"/>
        </w:rPr>
        <w:t xml:space="preserve">Wei Fu et al. AReaL: A Large-Scale Asynchronous Reinforcement Learning System for Language Reasoning. arXiv:2505.24298, 2025. </w:t>
      </w:r>
      <w:hyperlink r:id="rId15">
        <w:r>
          <w:rPr>
            <w:color w:val="0563C1"/>
            <w:u w:val="single"/>
            <w:rFonts w:ascii="Calibri" w:hAnsi="Calibri" w:eastAsia="Microsoft YaHei"/>
          </w:rPr>
          <w:t>arXiv</w:t>
        </w:r>
      </w:hyperlink>
    </w:p>
    <w:p>
      <w:pPr>
        <w:numPr>
          <w:ilvl w:val="0"/>
          <w:numId w:val="12"/>
        </w:numPr>
        <w:spacing w:after="100" w:line="276" w:lineRule="auto"/>
      </w:pPr>
      <w:r>
        <w:rPr>
          <w:rFonts w:ascii="Calibri" w:hAnsi="Calibri" w:eastAsia="Microsoft YaHei"/>
          <w:sz w:val="19"/>
        </w:rPr>
        <w:t xml:space="preserve">Michael Noukhovitch et al. Asynchronous RLHF: Faster and More Efficient Off-Policy RL for Language Models. ICLR 2025; arXiv:2410.18252. </w:t>
      </w:r>
      <w:hyperlink r:id="rId16">
        <w:r>
          <w:rPr>
            <w:color w:val="0563C1"/>
            <w:u w:val="single"/>
            <w:rFonts w:ascii="Calibri" w:hAnsi="Calibri" w:eastAsia="Microsoft YaHei"/>
          </w:rPr>
          <w:t>arXiv</w:t>
        </w:r>
      </w:hyperlink>
    </w:p>
    <w:p>
      <w:pPr>
        <w:numPr>
          <w:ilvl w:val="0"/>
          <w:numId w:val="12"/>
        </w:numPr>
        <w:spacing w:after="100" w:line="276" w:lineRule="auto"/>
      </w:pPr>
      <w:r>
        <w:rPr>
          <w:rFonts w:ascii="Calibri" w:hAnsi="Calibri" w:eastAsia="Microsoft YaHei"/>
          <w:sz w:val="19"/>
        </w:rPr>
        <w:t xml:space="preserve">Jingwei Song et al. Staleness-Learning Rate Scaling Laws for Asynchronous RLHF. arXiv:2607.01083, 2026. </w:t>
      </w:r>
      <w:hyperlink r:id="rId17">
        <w:r>
          <w:rPr>
            <w:color w:val="0563C1"/>
            <w:u w:val="single"/>
            <w:rFonts w:ascii="Calibri" w:hAnsi="Calibri" w:eastAsia="Microsoft YaHei"/>
          </w:rPr>
          <w:t>arXiv</w:t>
        </w:r>
      </w:hyperlink>
    </w:p>
    <w:p>
      <w:pPr>
        <w:numPr>
          <w:ilvl w:val="0"/>
          <w:numId w:val="12"/>
        </w:numPr>
        <w:spacing w:after="100" w:line="276" w:lineRule="auto"/>
      </w:pPr>
      <w:r>
        <w:rPr>
          <w:rFonts w:ascii="Calibri" w:hAnsi="Calibri" w:eastAsia="Microsoft YaHei"/>
          <w:sz w:val="19"/>
        </w:rPr>
        <w:t xml:space="preserve">Rongjian Chen, Jianmin Hu, Kejiang Ye, and Minxian Xu. RolloutPipe: Overlapping Pipelined Rollout and Training in Disaggregated On-Policy LLM Reinforcement Learning. arXiv:2606.26997, 2026. </w:t>
      </w:r>
      <w:hyperlink r:id="rId18">
        <w:r>
          <w:rPr>
            <w:color w:val="0563C1"/>
            <w:u w:val="single"/>
            <w:rFonts w:ascii="Calibri" w:hAnsi="Calibri" w:eastAsia="Microsoft YaHei"/>
          </w:rPr>
          <w:t>arXiv</w:t>
        </w:r>
      </w:hyperlink>
    </w:p>
    <w:p>
      <w:pPr>
        <w:numPr>
          <w:ilvl w:val="0"/>
          <w:numId w:val="12"/>
        </w:numPr>
        <w:spacing w:after="100" w:line="276" w:lineRule="auto"/>
      </w:pPr>
      <w:r>
        <w:rPr>
          <w:rFonts w:ascii="Calibri" w:hAnsi="Calibri" w:eastAsia="Microsoft YaHei"/>
          <w:sz w:val="19"/>
        </w:rPr>
        <w:t xml:space="preserve">Zhong Guan et al. Missing Old Logits in Asynchronous Agentic RL: Semantic Mismatch and Repair Methods for Off-Policy Correction. arXiv:2605.12070, 2026. </w:t>
      </w:r>
      <w:hyperlink r:id="rId19">
        <w:r>
          <w:rPr>
            <w:color w:val="0563C1"/>
            <w:u w:val="single"/>
            <w:rFonts w:ascii="Calibri" w:hAnsi="Calibri" w:eastAsia="Microsoft YaHei"/>
          </w:rPr>
          <w:t>arXiv</w:t>
        </w:r>
      </w:hyperlink>
    </w:p>
    <w:p>
      <w:pPr>
        <w:numPr>
          <w:ilvl w:val="0"/>
          <w:numId w:val="12"/>
        </w:numPr>
        <w:spacing w:after="100" w:line="276" w:lineRule="auto"/>
      </w:pPr>
      <w:r>
        <w:rPr>
          <w:rFonts w:ascii="Calibri" w:hAnsi="Calibri" w:eastAsia="Microsoft YaHei"/>
          <w:sz w:val="19"/>
        </w:rPr>
        <w:t xml:space="preserve">Chenliang Li et al. Stabilizing Off-Policy Training for Long-Horizon LLM Agent via Turn-Level Importance Sampling and Clipping-Triggered Normalization. arXiv:2511.20718, 2025/2026 revision. </w:t>
      </w:r>
      <w:hyperlink r:id="rId20">
        <w:r>
          <w:rPr>
            <w:color w:val="0563C1"/>
            <w:u w:val="single"/>
            <w:rFonts w:ascii="Calibri" w:hAnsi="Calibri" w:eastAsia="Microsoft YaHei"/>
          </w:rPr>
          <w:t>arXiv</w:t>
        </w:r>
      </w:hyperlink>
    </w:p>
    <w:p>
      <w:pPr>
        <w:numPr>
          <w:ilvl w:val="0"/>
          <w:numId w:val="12"/>
        </w:numPr>
        <w:spacing w:after="100" w:line="276" w:lineRule="auto"/>
      </w:pPr>
      <w:r>
        <w:rPr>
          <w:rFonts w:ascii="Calibri" w:hAnsi="Calibri" w:eastAsia="Microsoft YaHei"/>
          <w:sz w:val="19"/>
        </w:rPr>
        <w:t xml:space="preserve">Xixi Wu et al. Demystifying Reinforcement Learning for Long-Horizon Tool-Using Agents: A Comprehensive Recipe. arXiv:2603.21972, 2026. </w:t>
      </w:r>
      <w:hyperlink r:id="rId21">
        <w:r>
          <w:rPr>
            <w:color w:val="0563C1"/>
            <w:u w:val="single"/>
            <w:rFonts w:ascii="Calibri" w:hAnsi="Calibri" w:eastAsia="Microsoft YaHei"/>
          </w:rPr>
          <w:t>arXiv</w:t>
        </w:r>
      </w:hyperlink>
    </w:p>
    <w:p>
      <w:pPr>
        <w:numPr>
          <w:ilvl w:val="0"/>
          <w:numId w:val="12"/>
        </w:numPr>
        <w:spacing w:after="100" w:line="276" w:lineRule="auto"/>
      </w:pPr>
      <w:r>
        <w:rPr>
          <w:rFonts w:ascii="Calibri" w:hAnsi="Calibri" w:eastAsia="Microsoft YaHei"/>
          <w:sz w:val="19"/>
        </w:rPr>
        <w:t xml:space="preserve">Zhiheng Xi et al. AgentGym-RL: Training LLM Agents for Long-Horizon Decision Making through Multi-Turn Reinforcement Learning. arXiv:2509.08755, 2025. </w:t>
      </w:r>
      <w:hyperlink r:id="rId22">
        <w:r>
          <w:rPr>
            <w:color w:val="0563C1"/>
            <w:u w:val="single"/>
            <w:rFonts w:ascii="Calibri" w:hAnsi="Calibri" w:eastAsia="Microsoft YaHei"/>
          </w:rPr>
          <w:t>arXiv</w:t>
        </w:r>
      </w:hyperlink>
    </w:p>
    <w:p>
      <w:pPr>
        <w:numPr>
          <w:ilvl w:val="0"/>
          <w:numId w:val="12"/>
        </w:numPr>
        <w:spacing w:after="100" w:line="276" w:lineRule="auto"/>
      </w:pPr>
      <w:r>
        <w:rPr>
          <w:rFonts w:ascii="Calibri" w:hAnsi="Calibri" w:eastAsia="Microsoft YaHei"/>
          <w:sz w:val="19"/>
        </w:rPr>
        <w:t xml:space="preserve">Yuxian Gu, Li Dong, Furu Wei, and Minlie Huang. MiniLLM: On-Policy Distillation of Large Language Models. ICLR 2024; arXiv:2306.08543. </w:t>
      </w:r>
      <w:hyperlink r:id="rId23">
        <w:r>
          <w:rPr>
            <w:color w:val="0563C1"/>
            <w:u w:val="single"/>
            <w:rFonts w:ascii="Calibri" w:hAnsi="Calibri" w:eastAsia="Microsoft YaHei"/>
          </w:rPr>
          <w:t>arXiv</w:t>
        </w:r>
      </w:hyperlink>
    </w:p>
    <w:p>
      <w:pPr>
        <w:numPr>
          <w:ilvl w:val="0"/>
          <w:numId w:val="12"/>
        </w:numPr>
        <w:spacing w:after="100" w:line="276" w:lineRule="auto"/>
      </w:pPr>
      <w:r>
        <w:rPr>
          <w:rFonts w:ascii="Calibri" w:hAnsi="Calibri" w:eastAsia="Microsoft YaHei"/>
          <w:sz w:val="19"/>
        </w:rPr>
        <w:t xml:space="preserve">Rishabh Agarwal et al. On-Policy Distillation of Language Models: Learning from Self-Generated Mistakes. ICLR 2024; arXiv:2306.13649. </w:t>
      </w:r>
      <w:hyperlink r:id="rId24">
        <w:r>
          <w:rPr>
            <w:color w:val="0563C1"/>
            <w:u w:val="single"/>
            <w:rFonts w:ascii="Calibri" w:hAnsi="Calibri" w:eastAsia="Microsoft YaHei"/>
          </w:rPr>
          <w:t>arXiv</w:t>
        </w:r>
      </w:hyperlink>
    </w:p>
    <w:p>
      <w:pPr>
        <w:numPr>
          <w:ilvl w:val="0"/>
          <w:numId w:val="12"/>
        </w:numPr>
        <w:spacing w:after="100" w:line="276" w:lineRule="auto"/>
      </w:pPr>
      <w:r>
        <w:rPr>
          <w:rFonts w:ascii="Calibri" w:hAnsi="Calibri" w:eastAsia="Microsoft YaHei"/>
          <w:sz w:val="19"/>
        </w:rPr>
        <w:t xml:space="preserve">Jaehoon Kim and Dongha Lee. OPSD Compresses What RLVR Teaches: A Post-RL Compaction Stage for Reasoning Models. arXiv:2605.06188, 2026. </w:t>
      </w:r>
      <w:hyperlink r:id="rId25">
        <w:r>
          <w:rPr>
            <w:color w:val="0563C1"/>
            <w:u w:val="single"/>
            <w:rFonts w:ascii="Calibri" w:hAnsi="Calibri" w:eastAsia="Microsoft YaHei"/>
          </w:rPr>
          <w:t>arXiv</w:t>
        </w:r>
      </w:hyperlink>
    </w:p>
    <w:p>
      <w:pPr>
        <w:numPr>
          <w:ilvl w:val="0"/>
          <w:numId w:val="12"/>
        </w:numPr>
        <w:spacing w:after="100" w:line="276" w:lineRule="auto"/>
      </w:pPr>
      <w:r>
        <w:rPr>
          <w:rFonts w:ascii="Calibri" w:hAnsi="Calibri" w:eastAsia="Microsoft YaHei"/>
          <w:sz w:val="19"/>
        </w:rPr>
        <w:t xml:space="preserve">Byeongho Heo, Jaehui Hwang, Sangdoo Yun, and Dongyoon Han. On-Policy Delta Distillation. arXiv:2607.15161, 2026. </w:t>
      </w:r>
      <w:hyperlink r:id="rId26">
        <w:r>
          <w:rPr>
            <w:color w:val="0563C1"/>
            <w:u w:val="single"/>
            <w:rFonts w:ascii="Calibri" w:hAnsi="Calibri" w:eastAsia="Microsoft YaHei"/>
          </w:rPr>
          <w:t>arXiv</w:t>
        </w:r>
      </w:hyperlink>
    </w:p>
    <w:p>
      <w:pPr>
        <w:numPr>
          <w:ilvl w:val="0"/>
          <w:numId w:val="12"/>
        </w:numPr>
        <w:spacing w:after="100" w:line="276" w:lineRule="auto"/>
      </w:pPr>
      <w:r>
        <w:rPr>
          <w:rFonts w:ascii="Calibri" w:hAnsi="Calibri" w:eastAsia="Microsoft YaHei"/>
          <w:sz w:val="19"/>
        </w:rPr>
        <w:t xml:space="preserve">Jinyang Wu et al. SEED: Self-Evolving On-Policy Distillation for Agentic Reinforcement Learning. arXiv:2607.14777, 2026. </w:t>
      </w:r>
      <w:hyperlink r:id="rId27">
        <w:r>
          <w:rPr>
            <w:color w:val="0563C1"/>
            <w:u w:val="single"/>
            <w:rFonts w:ascii="Calibri" w:hAnsi="Calibri" w:eastAsia="Microsoft YaHei"/>
          </w:rPr>
          <w:t>arXiv</w:t>
        </w:r>
      </w:hyperlink>
    </w:p>
    <w:p>
      <w:pPr>
        <w:pStyle w:val="Heading1"/>
      </w:pPr>
      <w:r>
        <w:t>附录 A：核心观点-证据对照表</w:t>
      </w:r>
    </w:p>
    <w:p>
      <w:pPr>
        <w:pStyle w:val="Caption"/>
      </w:pPr>
      <w:r>
        <w:rPr>
          <w:rFonts w:ascii="Calibri" w:hAnsi="Calibri" w:eastAsia="Microsoft YaHei"/>
          <w:color w:val="5F6875"/>
          <w:sz w:val="18"/>
        </w:rPr>
        <w:t>表 A1  每个核心观点对应的论文证据及其外推边界。</w:t>
      </w:r>
    </w:p>
    <w:tbl>
      <w:tblPr>
        <w:tblStyle w:val="TableGrid"/>
        <w:tblW w:type="dxa" w:w="9360"/>
        <w:jc w:val="left"/>
        <w:tblLayout w:type="fixed"/>
        <w:tblLook w:firstColumn="1" w:firstRow="1" w:lastColumn="0" w:lastRow="0" w:noHBand="0" w:noVBand="1" w:val="04A0"/>
        <w:tblInd w:type="dxa" w:w="120"/>
      </w:tblPr>
      <w:tblGrid>
        <w:gridCol w:w="3300"/>
        <w:gridCol w:w="3000"/>
        <w:gridCol w:w="3060"/>
      </w:tblGrid>
      <w:tr>
        <w:trPr>
          <w:tblHeader w:val="true"/>
        </w:trPr>
        <w:tc>
          <w:tcPr>
            <w:tcW w:type="dxa" w:w="3300"/>
            <w:shd w:fill="E8EEF5"/>
            <w:vAlign w:val="center"/>
            <w:tcMar>
              <w:top w:w="80" w:type="dxa"/>
              <w:bottom w:w="80" w:type="dxa"/>
              <w:start w:w="120" w:type="dxa"/>
              <w:end w:w="120" w:type="dxa"/>
            </w:tcMar>
          </w:tcPr>
          <w:p>
            <w:pPr>
              <w:spacing w:before="0" w:after="40" w:line="269" w:lineRule="auto"/>
            </w:pPr>
            <w:r>
              <w:rPr>
                <w:rFonts w:ascii="Calibri" w:hAnsi="Calibri" w:eastAsia="Microsoft YaHei"/>
                <w:b/>
                <w:color w:val="0B2545"/>
                <w:sz w:val="18"/>
              </w:rPr>
              <w:t>核心观点</w:t>
            </w:r>
          </w:p>
        </w:tc>
        <w:tc>
          <w:tcPr>
            <w:tcW w:type="dxa" w:w="3000"/>
            <w:shd w:fill="E8EEF5"/>
            <w:vAlign w:val="center"/>
            <w:tcMar>
              <w:top w:w="80" w:type="dxa"/>
              <w:bottom w:w="80" w:type="dxa"/>
              <w:start w:w="120" w:type="dxa"/>
              <w:end w:w="120" w:type="dxa"/>
            </w:tcMar>
          </w:tcPr>
          <w:p>
            <w:pPr>
              <w:spacing w:before="0" w:after="40" w:line="269" w:lineRule="auto"/>
            </w:pPr>
            <w:r>
              <w:rPr>
                <w:rFonts w:ascii="Calibri" w:hAnsi="Calibri" w:eastAsia="Microsoft YaHei"/>
                <w:b/>
                <w:color w:val="0B2545"/>
                <w:sz w:val="18"/>
              </w:rPr>
              <w:t>主要证据</w:t>
            </w:r>
          </w:p>
        </w:tc>
        <w:tc>
          <w:tcPr>
            <w:tcW w:type="dxa" w:w="3060"/>
            <w:shd w:fill="E8EEF5"/>
            <w:vAlign w:val="center"/>
            <w:tcMar>
              <w:top w:w="80" w:type="dxa"/>
              <w:bottom w:w="80" w:type="dxa"/>
              <w:start w:w="120" w:type="dxa"/>
              <w:end w:w="120" w:type="dxa"/>
            </w:tcMar>
          </w:tcPr>
          <w:p>
            <w:pPr>
              <w:spacing w:before="0" w:after="40" w:line="269" w:lineRule="auto"/>
            </w:pPr>
            <w:r>
              <w:rPr>
                <w:rFonts w:ascii="Calibri" w:hAnsi="Calibri" w:eastAsia="Microsoft YaHei"/>
                <w:b/>
                <w:color w:val="0B2545"/>
                <w:sz w:val="18"/>
              </w:rPr>
              <w:t>证据边界</w:t>
            </w:r>
          </w:p>
        </w:tc>
      </w:tr>
      <w:tr>
        <w:trPr/>
        <w:tc>
          <w:tcPr>
            <w:tcW w:type="dxa" w:w="33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同步长轨迹造成资源空泡</w:t>
            </w:r>
          </w:p>
        </w:tc>
        <w:tc>
          <w:tcPr>
            <w:tcW w:type="dxa" w:w="30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AReaL [5]、Async RLHF [6]、RolloutPipe [8]</w:t>
            </w:r>
          </w:p>
        </w:tc>
        <w:tc>
          <w:tcPr>
            <w:tcW w:type="dxa" w:w="306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模型、任务和调度架构不同；吞吐提升不等于样本效率提升</w:t>
            </w:r>
          </w:p>
        </w:tc>
      </w:tr>
      <w:tr>
        <w:trPr/>
        <w:tc>
          <w:tcPr>
            <w:tcW w:type="dxa" w:w="33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异步更新引入 policy lag 与行为策略歧义</w:t>
            </w:r>
          </w:p>
        </w:tc>
        <w:tc>
          <w:tcPr>
            <w:tcW w:type="dxa" w:w="30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GLM-5 [1]、SAO [3]、Staleness Law [7]、Missing Old Logits [9]</w:t>
            </w:r>
          </w:p>
        </w:tc>
        <w:tc>
          <w:tcPr>
            <w:tcW w:type="dxa" w:w="306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近似 ratio 的语义仍有争议；理论主要来自数学 RLHF</w:t>
            </w:r>
          </w:p>
        </w:tc>
      </w:tr>
      <w:tr>
        <w:trPr/>
        <w:tc>
          <w:tcPr>
            <w:tcW w:type="dxa" w:w="33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环境故障与恢复方式会改变轨迹分布</w:t>
            </w:r>
          </w:p>
        </w:tc>
        <w:tc>
          <w:tcPr>
            <w:tcW w:type="dxa" w:w="30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DeepSeek-V4 [2]、GLM-5 [1]、Demystifying [11]</w:t>
            </w:r>
          </w:p>
        </w:tc>
        <w:tc>
          <w:tcPr>
            <w:tcW w:type="dxa" w:w="306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故障率与错误类型依赖环境，缺少跨环境统一阈值</w:t>
            </w:r>
          </w:p>
        </w:tc>
      </w:tr>
      <w:tr>
        <w:trPr/>
        <w:tc>
          <w:tcPr>
            <w:tcW w:type="dxa" w:w="33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token/turn/segment 粒度不存在统一最优</w:t>
            </w:r>
          </w:p>
        </w:tc>
        <w:tc>
          <w:tcPr>
            <w:tcW w:type="dxa" w:w="30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SAO [3]、CompactionRL [4]、SORL [10]</w:t>
            </w:r>
          </w:p>
        </w:tc>
        <w:tc>
          <w:tcPr>
            <w:tcW w:type="dxa" w:w="306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实验没有在同一管线中只改变粒度</w:t>
            </w:r>
          </w:p>
        </w:tc>
      </w:tr>
      <w:tr>
        <w:trPr/>
        <w:tc>
          <w:tcPr>
            <w:tcW w:type="dxa" w:w="33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OPD 可缓解 student/teacher 分布错位</w:t>
            </w:r>
          </w:p>
        </w:tc>
        <w:tc>
          <w:tcPr>
            <w:tcW w:type="dxa" w:w="30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MiniLLM [13]、GKD [14]</w:t>
            </w:r>
          </w:p>
        </w:tc>
        <w:tc>
          <w:tcPr>
            <w:tcW w:type="dxa" w:w="306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主要是单教师和较小模型，不等同于多专家合并</w:t>
            </w:r>
          </w:p>
        </w:tc>
      </w:tr>
      <w:tr>
        <w:trPr/>
        <w:tc>
          <w:tcPr>
            <w:tcW w:type="dxa" w:w="33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大模型管线采用 OPD 合并阶段/专家能力</w:t>
            </w:r>
          </w:p>
        </w:tc>
        <w:tc>
          <w:tcPr>
            <w:tcW w:type="dxa" w:w="30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GLM-5 [1]、DeepSeek-V4 [2]</w:t>
            </w:r>
          </w:p>
        </w:tc>
        <w:tc>
          <w:tcPr>
            <w:tcW w:type="dxa" w:w="306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缺少统一的 mixed RL/OPD 独立消融</w:t>
            </w:r>
          </w:p>
        </w:tc>
      </w:tr>
      <w:tr>
        <w:trPr/>
        <w:tc>
          <w:tcPr>
            <w:tcW w:type="dxa" w:w="33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OPD 可能只压缩已有能力而不修复失败</w:t>
            </w:r>
          </w:p>
        </w:tc>
        <w:tc>
          <w:tcPr>
            <w:tcW w:type="dxa" w:w="30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OPSD [15]</w:t>
            </w:r>
          </w:p>
        </w:tc>
        <w:tc>
          <w:tcPr>
            <w:tcW w:type="dxa" w:w="306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结论来自 thinking-enabled 数学推理，尚未覆盖 Agent</w:t>
            </w:r>
          </w:p>
        </w:tc>
      </w:tr>
      <w:tr>
        <w:trPr/>
        <w:tc>
          <w:tcPr>
            <w:tcW w:type="dxa" w:w="33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教师增量或 hindsight skill 可改善 OPD 信号</w:t>
            </w:r>
          </w:p>
        </w:tc>
        <w:tc>
          <w:tcPr>
            <w:tcW w:type="dxa" w:w="300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OPD² [16]、SEED [17]</w:t>
            </w:r>
          </w:p>
        </w:tc>
        <w:tc>
          <w:tcPr>
            <w:tcW w:type="dxa" w:w="3060"/>
            <w:vAlign w:val="center"/>
            <w:tcMar>
              <w:top w:w="80" w:type="dxa"/>
              <w:bottom w:w="80" w:type="dxa"/>
              <w:start w:w="120" w:type="dxa"/>
              <w:end w:w="120" w:type="dxa"/>
            </w:tcMar>
          </w:tcPr>
          <w:p>
            <w:pPr>
              <w:spacing w:before="0" w:after="40" w:line="269" w:lineRule="auto"/>
            </w:pPr>
            <w:r>
              <w:rPr>
                <w:rFonts w:ascii="Calibri" w:hAnsi="Calibri" w:eastAsia="Microsoft YaHei"/>
                <w:b w:val="0"/>
                <w:color w:val="20252B"/>
                <w:sz w:val="18"/>
              </w:rPr>
              <w:t>分别缺少多专家 Agent 验证与高可信 analyzer 保证</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Microsoft YaHei"/>
        <w:color w:val="5F6875"/>
        <w:sz w:val="18"/>
      </w:rPr>
      <w:t xml:space="preserve">第 </w:t>
    </w:r>
    <w:r>
      <w:rPr>
        <w:rFonts w:ascii="Calibri" w:hAnsi="Calibri" w:eastAsia="Microsoft YaHei"/>
        <w:color w:val="5F6875"/>
        <w:sz w:val="18"/>
      </w:rPr>
      <w:fldChar w:fldCharType="begin"/>
      <w:instrText xml:space="preserve">PAGE</w:instrText>
      <w:fldChar w:fldCharType="separate"/>
      <w:t>1</w:t>
      <w:fldChar w:fldCharType="end"/>
    </w:r>
    <w:r>
      <w:rPr>
        <w:rFonts w:ascii="Calibri" w:hAnsi="Calibri" w:eastAsia="Microsoft YaHei"/>
        <w:color w:val="5F687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color w:val="5F6875"/>
        <w:sz w:val="18"/>
      </w:rPr>
      <w:t>研究指导 | 长程 Agentic RL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A0000009"/>
    <w:multiLevelType w:val="singleLevel"/>
    <w:tmpl w:val="B0000009"/>
    <w:lvl w:ilvl="0">
      <w:start w:val="1"/>
      <w:numFmt w:val="bullet"/>
      <w:lvlText w:val=""/>
      <w:lvlJc w:val="left"/>
      <w:pPr>
        <w:tabs>
          <w:tab w:val="num" w:pos="540"/>
        </w:tabs>
        <w:ind w:left="540" w:hanging="270"/>
        <w:spacing w:after="80" w:line="300" w:lineRule="auto"/>
      </w:pPr>
      <w:rPr>
        <w:rFonts w:ascii="Symbol" w:hAnsi="Symbol" w:hint="default"/>
      </w:rPr>
    </w:lvl>
  </w:abstractNum>
  <w:num w:numId="10">
    <w:abstractNumId w:val="9"/>
    <w:lvlOverride w:ilvl="0">
      <w:startOverride w:val="1"/>
    </w:lvlOverride>
  </w:num>
  <w:abstractNum w:abstractNumId="10">
    <w:nsid w:val="A000000A"/>
    <w:multiLevelType w:val="singleLevel"/>
    <w:tmpl w:val="B000000A"/>
    <w:lvl w:ilvl="0">
      <w:start w:val="1"/>
      <w:numFmt w:val="decimal"/>
      <w:lvlText w:val="%1."/>
      <w:lvlJc w:val="left"/>
      <w:pPr>
        <w:tabs>
          <w:tab w:val="num" w:pos="540"/>
        </w:tabs>
        <w:ind w:left="540" w:hanging="270"/>
        <w:spacing w:after="80" w:line="300" w:lineRule="auto"/>
      </w:pPr>
    </w:lvl>
  </w:abstractNum>
  <w:num w:numId="11">
    <w:abstractNumId w:val="10"/>
    <w:lvlOverride w:ilvl="0">
      <w:startOverride w:val="1"/>
    </w:lvlOverride>
  </w:num>
  <w:abstractNum w:abstractNumId="11">
    <w:nsid w:val="A000000B"/>
    <w:multiLevelType w:val="singleLevel"/>
    <w:tmpl w:val="B000000B"/>
    <w:lvl w:ilvl="0">
      <w:start w:val="1"/>
      <w:numFmt w:val="decimal"/>
      <w:lvlText w:val="%1."/>
      <w:lvlJc w:val="left"/>
      <w:pPr>
        <w:tabs>
          <w:tab w:val="num" w:pos="540"/>
        </w:tabs>
        <w:ind w:left="540" w:hanging="270"/>
        <w:spacing w:after="80" w:line="300" w:lineRule="auto"/>
      </w:pPr>
    </w:lvl>
  </w:abstractNum>
  <w:num w:numId="12">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eastAsia="Microsoft YaHei"/>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80" w:after="80"/>
    </w:pPr>
    <w:rPr>
      <w:rFonts w:ascii="Calibri" w:hAnsi="Calibri" w:eastAsia="Microsoft YaHei"/>
      <w:b/>
      <w:bCs/>
      <w:color w:val="5F68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602.15763" TargetMode="External"/><Relationship Id="rId12" Type="http://schemas.openxmlformats.org/officeDocument/2006/relationships/hyperlink" Target="https://arxiv.org/abs/2606.19348" TargetMode="External"/><Relationship Id="rId13" Type="http://schemas.openxmlformats.org/officeDocument/2006/relationships/hyperlink" Target="https://arxiv.org/abs/2607.07508" TargetMode="External"/><Relationship Id="rId14" Type="http://schemas.openxmlformats.org/officeDocument/2006/relationships/hyperlink" Target="https://arxiv.org/abs/2607.05378" TargetMode="External"/><Relationship Id="rId15" Type="http://schemas.openxmlformats.org/officeDocument/2006/relationships/hyperlink" Target="https://arxiv.org/abs/2505.24298" TargetMode="External"/><Relationship Id="rId16" Type="http://schemas.openxmlformats.org/officeDocument/2006/relationships/hyperlink" Target="https://arxiv.org/abs/2410.18252" TargetMode="External"/><Relationship Id="rId17" Type="http://schemas.openxmlformats.org/officeDocument/2006/relationships/hyperlink" Target="https://arxiv.org/abs/2607.01083" TargetMode="External"/><Relationship Id="rId18" Type="http://schemas.openxmlformats.org/officeDocument/2006/relationships/hyperlink" Target="https://arxiv.org/abs/2606.26997" TargetMode="External"/><Relationship Id="rId19" Type="http://schemas.openxmlformats.org/officeDocument/2006/relationships/hyperlink" Target="https://arxiv.org/abs/2605.12070" TargetMode="External"/><Relationship Id="rId20" Type="http://schemas.openxmlformats.org/officeDocument/2006/relationships/hyperlink" Target="https://arxiv.org/abs/2511.20718" TargetMode="External"/><Relationship Id="rId21" Type="http://schemas.openxmlformats.org/officeDocument/2006/relationships/hyperlink" Target="https://arxiv.org/abs/2603.21972" TargetMode="External"/><Relationship Id="rId22" Type="http://schemas.openxmlformats.org/officeDocument/2006/relationships/hyperlink" Target="https://arxiv.org/abs/2509.08755" TargetMode="External"/><Relationship Id="rId23" Type="http://schemas.openxmlformats.org/officeDocument/2006/relationships/hyperlink" Target="https://arxiv.org/abs/2306.08543" TargetMode="External"/><Relationship Id="rId24" Type="http://schemas.openxmlformats.org/officeDocument/2006/relationships/hyperlink" Target="https://arxiv.org/abs/2306.13649" TargetMode="External"/><Relationship Id="rId25" Type="http://schemas.openxmlformats.org/officeDocument/2006/relationships/hyperlink" Target="https://arxiv.org/abs/2605.06188" TargetMode="External"/><Relationship Id="rId26" Type="http://schemas.openxmlformats.org/officeDocument/2006/relationships/hyperlink" Target="https://arxiv.org/abs/2607.15161" TargetMode="External"/><Relationship Id="rId27" Type="http://schemas.openxmlformats.org/officeDocument/2006/relationships/hyperlink" Target="https://arxiv.org/abs/2607.147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长程 Agentic RL 的两类训练偏差：异步轨迹一致性与跨阶段能力合并</dc:title>
  <dc:subject>Agentic RL 研究问题与实验指导</dc:subject>
  <dc:creator>Research Guide</dc:creator>
  <cp:keywords/>
  <dc:description>generated by python-docx</dc:description>
  <cp:lastModifiedBy/>
  <cp:revision>1</cp:revision>
  <dcterms:created xsi:type="dcterms:W3CDTF">2013-12-23T23:15:00Z</dcterms:created>
  <dcterms:modified xsi:type="dcterms:W3CDTF">2013-12-23T23:15:00Z</dcterms:modified>
  <cp:category/>
</cp:coreProperties>
</file>