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51C" w:rsidRPr="00514889" w:rsidRDefault="0051406D" w:rsidP="0051406D">
      <w:pPr>
        <w:pStyle w:val="Akapitzlist"/>
        <w:numPr>
          <w:ilvl w:val="0"/>
          <w:numId w:val="1"/>
        </w:numPr>
        <w:rPr>
          <w:rFonts w:ascii="Times New Roman" w:hAnsi="Times New Roman" w:cs="Times New Roman"/>
          <w:b/>
          <w:sz w:val="28"/>
          <w:szCs w:val="24"/>
        </w:rPr>
      </w:pPr>
      <w:r w:rsidRPr="00514889">
        <w:rPr>
          <w:rFonts w:ascii="Times New Roman" w:hAnsi="Times New Roman" w:cs="Times New Roman"/>
          <w:b/>
          <w:sz w:val="28"/>
          <w:szCs w:val="24"/>
        </w:rPr>
        <w:t>Wstęp</w:t>
      </w:r>
    </w:p>
    <w:p w:rsidR="007F43FA" w:rsidRDefault="00290D37" w:rsidP="00565FFE">
      <w:pPr>
        <w:jc w:val="both"/>
        <w:rPr>
          <w:rFonts w:ascii="Times New Roman" w:hAnsi="Times New Roman" w:cs="Times New Roman"/>
          <w:sz w:val="24"/>
          <w:szCs w:val="24"/>
        </w:rPr>
      </w:pPr>
      <w:r>
        <w:rPr>
          <w:rFonts w:ascii="Times New Roman" w:hAnsi="Times New Roman" w:cs="Times New Roman"/>
          <w:sz w:val="24"/>
          <w:szCs w:val="24"/>
        </w:rPr>
        <w:t>Zadaniem niniejszego modułu jest klasyfikacja zespołów QRS</w:t>
      </w:r>
      <w:r w:rsidR="00AE10D9">
        <w:rPr>
          <w:rFonts w:ascii="Times New Roman" w:hAnsi="Times New Roman" w:cs="Times New Roman"/>
          <w:sz w:val="24"/>
          <w:szCs w:val="24"/>
        </w:rPr>
        <w:t>, polegająca na wyodrębnieniu g</w:t>
      </w:r>
      <w:r w:rsidR="00EF2D3B">
        <w:rPr>
          <w:rFonts w:ascii="Times New Roman" w:hAnsi="Times New Roman" w:cs="Times New Roman"/>
          <w:sz w:val="24"/>
          <w:szCs w:val="24"/>
        </w:rPr>
        <w:t>rup podobnych do siebie zespołów</w:t>
      </w:r>
      <w:r w:rsidR="00565FFE">
        <w:rPr>
          <w:rFonts w:ascii="Times New Roman" w:hAnsi="Times New Roman" w:cs="Times New Roman"/>
          <w:sz w:val="24"/>
          <w:szCs w:val="24"/>
        </w:rPr>
        <w:t xml:space="preserve"> na</w:t>
      </w:r>
      <w:r w:rsidR="00EF2D3B">
        <w:rPr>
          <w:rFonts w:ascii="Times New Roman" w:hAnsi="Times New Roman" w:cs="Times New Roman"/>
          <w:sz w:val="24"/>
          <w:szCs w:val="24"/>
        </w:rPr>
        <w:t xml:space="preserve"> podstawie przebiegu sygnału elektrokardiograficznego</w:t>
      </w:r>
      <w:r w:rsidR="00565FFE">
        <w:rPr>
          <w:rFonts w:ascii="Times New Roman" w:hAnsi="Times New Roman" w:cs="Times New Roman"/>
          <w:sz w:val="24"/>
          <w:szCs w:val="24"/>
        </w:rPr>
        <w:t xml:space="preserve"> wraz z zaznaczonymi punktami charakterystycznymi.</w:t>
      </w:r>
    </w:p>
    <w:p w:rsidR="00EF2D3B" w:rsidRDefault="00AE10D9" w:rsidP="00AE10D9">
      <w:pPr>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4038950" cy="2903472"/>
            <wp:effectExtent l="19050" t="0" r="0" b="0"/>
            <wp:docPr id="2" name="Obraz 1" descr="sig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l.png"/>
                    <pic:cNvPicPr/>
                  </pic:nvPicPr>
                  <pic:blipFill>
                    <a:blip r:embed="rId5" cstate="print"/>
                    <a:stretch>
                      <a:fillRect/>
                    </a:stretch>
                  </pic:blipFill>
                  <pic:spPr>
                    <a:xfrm>
                      <a:off x="0" y="0"/>
                      <a:ext cx="4038950" cy="2903472"/>
                    </a:xfrm>
                    <a:prstGeom prst="rect">
                      <a:avLst/>
                    </a:prstGeom>
                  </pic:spPr>
                </pic:pic>
              </a:graphicData>
            </a:graphic>
          </wp:inline>
        </w:drawing>
      </w:r>
    </w:p>
    <w:p w:rsidR="00AE10D9" w:rsidRDefault="00AE10D9" w:rsidP="00AE10D9">
      <w:pPr>
        <w:jc w:val="center"/>
        <w:rPr>
          <w:rFonts w:ascii="Times New Roman" w:hAnsi="Times New Roman" w:cs="Times New Roman"/>
          <w:i/>
          <w:sz w:val="24"/>
          <w:szCs w:val="24"/>
        </w:rPr>
      </w:pPr>
      <w:r>
        <w:rPr>
          <w:rFonts w:ascii="Times New Roman" w:hAnsi="Times New Roman" w:cs="Times New Roman"/>
          <w:i/>
          <w:sz w:val="24"/>
          <w:szCs w:val="24"/>
        </w:rPr>
        <w:t>Rys. 1.1. Sygnał EKG wraz z zaznaczonym zespołem QRS (kolor czerwony).</w:t>
      </w:r>
    </w:p>
    <w:p w:rsidR="00AE10D9" w:rsidRPr="00AE10D9" w:rsidRDefault="00161E5B" w:rsidP="00AE10D9">
      <w:pPr>
        <w:jc w:val="both"/>
        <w:rPr>
          <w:rFonts w:ascii="Times New Roman" w:hAnsi="Times New Roman" w:cs="Times New Roman"/>
          <w:sz w:val="24"/>
          <w:szCs w:val="24"/>
        </w:rPr>
      </w:pPr>
      <w:r>
        <w:rPr>
          <w:rFonts w:ascii="Times New Roman" w:hAnsi="Times New Roman" w:cs="Times New Roman"/>
          <w:sz w:val="24"/>
          <w:szCs w:val="24"/>
        </w:rPr>
        <w:t xml:space="preserve">Celem klasyfikacji zespołów QRS jest określenie ośrodków bodźcotwórczych w sercu. Odmienny kształt zespołu wynika z pobudzenia o innym przebiegu, którego źródło położone jest poza podstawowym generatorem rytmu. Grupowanie zespołów odbywa się zatem ze względu na ich morfologię (kształt) przy jednoczesnym określeniu typu pobudzenia (komorowe lub nadkomorowe). Koniecznie jest także </w:t>
      </w:r>
      <w:r w:rsidR="00514889">
        <w:rPr>
          <w:rFonts w:ascii="Times New Roman" w:hAnsi="Times New Roman" w:cs="Times New Roman"/>
          <w:sz w:val="24"/>
          <w:szCs w:val="24"/>
        </w:rPr>
        <w:t>wyodrębnienie zespołów, których pobudzenia nie można określić oraz artefaktów – przebiegów omyłkowo rozpoznanych jako zespół QRS.</w:t>
      </w:r>
    </w:p>
    <w:p w:rsidR="0051406D" w:rsidRPr="00514889" w:rsidRDefault="007F43FA" w:rsidP="0051406D">
      <w:pPr>
        <w:pStyle w:val="Akapitzlist"/>
        <w:numPr>
          <w:ilvl w:val="0"/>
          <w:numId w:val="1"/>
        </w:numPr>
        <w:rPr>
          <w:rFonts w:ascii="Times New Roman" w:hAnsi="Times New Roman" w:cs="Times New Roman"/>
          <w:b/>
          <w:sz w:val="28"/>
          <w:szCs w:val="24"/>
        </w:rPr>
      </w:pPr>
      <w:r w:rsidRPr="00514889">
        <w:rPr>
          <w:rFonts w:ascii="Times New Roman" w:hAnsi="Times New Roman" w:cs="Times New Roman"/>
          <w:b/>
          <w:sz w:val="28"/>
          <w:szCs w:val="24"/>
        </w:rPr>
        <w:t>Wykorzystany algorytm</w:t>
      </w:r>
    </w:p>
    <w:p w:rsidR="007F43FA" w:rsidRDefault="00D01662" w:rsidP="00D01662">
      <w:pPr>
        <w:jc w:val="both"/>
        <w:rPr>
          <w:rFonts w:ascii="Times New Roman" w:hAnsi="Times New Roman" w:cs="Times New Roman"/>
          <w:sz w:val="24"/>
          <w:szCs w:val="24"/>
        </w:rPr>
      </w:pPr>
      <w:r>
        <w:rPr>
          <w:rFonts w:ascii="Times New Roman" w:hAnsi="Times New Roman" w:cs="Times New Roman"/>
          <w:sz w:val="24"/>
          <w:szCs w:val="24"/>
        </w:rPr>
        <w:t xml:space="preserve">Klasyfikacja zespołów QRS może być wykonywana na podstawie przebiegu sygnału w analizowanym przedziale lub z wykorzystaniem wektora cech reprezentujących dany zespół. </w:t>
      </w:r>
      <w:r w:rsidR="00433C81">
        <w:rPr>
          <w:rFonts w:ascii="Times New Roman" w:hAnsi="Times New Roman" w:cs="Times New Roman"/>
          <w:sz w:val="24"/>
          <w:szCs w:val="24"/>
        </w:rPr>
        <w:t>Ze względu na szybkość obliczeń w opisywanym module wykorzystano drugą metodę, opisując zespół QRS za pomocą trzech współczynników kształtu:</w:t>
      </w:r>
    </w:p>
    <w:p w:rsidR="00433C81" w:rsidRDefault="008D4446" w:rsidP="008D4446">
      <w:pPr>
        <w:pStyle w:val="Akapitzlist"/>
        <w:numPr>
          <w:ilvl w:val="0"/>
          <w:numId w:val="2"/>
        </w:numPr>
        <w:jc w:val="both"/>
        <w:rPr>
          <w:rFonts w:ascii="Times New Roman" w:hAnsi="Times New Roman" w:cs="Times New Roman"/>
          <w:sz w:val="24"/>
          <w:szCs w:val="24"/>
        </w:rPr>
      </w:pPr>
      <w:r>
        <w:rPr>
          <w:rFonts w:ascii="Times New Roman" w:hAnsi="Times New Roman" w:cs="Times New Roman"/>
          <w:sz w:val="24"/>
          <w:szCs w:val="24"/>
        </w:rPr>
        <w:t>stosunek pola powierzchni do obwodu,</w:t>
      </w:r>
    </w:p>
    <w:p w:rsidR="008D4446" w:rsidRPr="008D4446" w:rsidRDefault="008D4446" w:rsidP="008D4446">
      <w:pPr>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2026047" cy="792000"/>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026047" cy="792000"/>
                    </a:xfrm>
                    <a:prstGeom prst="rect">
                      <a:avLst/>
                    </a:prstGeom>
                    <a:noFill/>
                    <a:ln w="9525">
                      <a:noFill/>
                      <a:miter lim="800000"/>
                      <a:headEnd/>
                      <a:tailEnd/>
                    </a:ln>
                  </pic:spPr>
                </pic:pic>
              </a:graphicData>
            </a:graphic>
          </wp:inline>
        </w:drawing>
      </w:r>
    </w:p>
    <w:p w:rsidR="008D4446" w:rsidRDefault="008D4446" w:rsidP="008D4446">
      <w:pPr>
        <w:pStyle w:val="Akapitzlist"/>
        <w:numPr>
          <w:ilvl w:val="0"/>
          <w:numId w:val="2"/>
        </w:numPr>
        <w:jc w:val="both"/>
        <w:rPr>
          <w:rFonts w:ascii="Times New Roman" w:hAnsi="Times New Roman" w:cs="Times New Roman"/>
          <w:sz w:val="24"/>
          <w:szCs w:val="24"/>
        </w:rPr>
      </w:pPr>
      <w:r>
        <w:rPr>
          <w:rFonts w:ascii="Times New Roman" w:hAnsi="Times New Roman" w:cs="Times New Roman"/>
          <w:sz w:val="24"/>
          <w:szCs w:val="24"/>
        </w:rPr>
        <w:t>stosunek maksymalnej prędkości do maksymalnej amplitudy,</w:t>
      </w:r>
    </w:p>
    <w:p w:rsidR="008D4446" w:rsidRPr="008D4446" w:rsidRDefault="008D4446" w:rsidP="008D4446">
      <w:pPr>
        <w:jc w:val="center"/>
        <w:rPr>
          <w:rFonts w:ascii="Times New Roman" w:hAnsi="Times New Roman" w:cs="Times New Roman"/>
          <w:sz w:val="24"/>
          <w:szCs w:val="24"/>
        </w:rPr>
      </w:pPr>
      <w:r>
        <w:rPr>
          <w:rFonts w:ascii="Times New Roman" w:hAnsi="Times New Roman" w:cs="Times New Roman"/>
          <w:noProof/>
          <w:sz w:val="24"/>
          <w:szCs w:val="24"/>
          <w:lang w:eastAsia="pl-PL"/>
        </w:rPr>
        <w:lastRenderedPageBreak/>
        <w:drawing>
          <wp:inline distT="0" distB="0" distL="0" distR="0">
            <wp:extent cx="4116047" cy="792000"/>
            <wp:effectExtent l="19050" t="0" r="0"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116047" cy="792000"/>
                    </a:xfrm>
                    <a:prstGeom prst="rect">
                      <a:avLst/>
                    </a:prstGeom>
                    <a:noFill/>
                    <a:ln w="9525">
                      <a:noFill/>
                      <a:miter lim="800000"/>
                      <a:headEnd/>
                      <a:tailEnd/>
                    </a:ln>
                  </pic:spPr>
                </pic:pic>
              </a:graphicData>
            </a:graphic>
          </wp:inline>
        </w:drawing>
      </w:r>
    </w:p>
    <w:p w:rsidR="008D4446" w:rsidRDefault="008D4446" w:rsidP="008D4446">
      <w:pPr>
        <w:pStyle w:val="Akapitzlist"/>
        <w:numPr>
          <w:ilvl w:val="0"/>
          <w:numId w:val="2"/>
        </w:numPr>
        <w:jc w:val="both"/>
        <w:rPr>
          <w:rFonts w:ascii="Times New Roman" w:hAnsi="Times New Roman" w:cs="Times New Roman"/>
          <w:sz w:val="24"/>
          <w:szCs w:val="24"/>
        </w:rPr>
      </w:pPr>
      <w:r>
        <w:rPr>
          <w:rFonts w:ascii="Times New Roman" w:hAnsi="Times New Roman" w:cs="Times New Roman"/>
          <w:sz w:val="24"/>
          <w:szCs w:val="24"/>
        </w:rPr>
        <w:t>procentowy udział próbek, w których prędkość przekracza 40% prędkości maksymalnej do długości zespołu QRS.</w:t>
      </w:r>
    </w:p>
    <w:p w:rsidR="008D4446" w:rsidRDefault="008D4446" w:rsidP="008D4446">
      <w:pPr>
        <w:ind w:left="360"/>
        <w:jc w:val="both"/>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5698629" cy="792000"/>
            <wp:effectExtent l="19050" t="0" r="0" b="0"/>
            <wp:docPr id="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698629" cy="792000"/>
                    </a:xfrm>
                    <a:prstGeom prst="rect">
                      <a:avLst/>
                    </a:prstGeom>
                    <a:noFill/>
                    <a:ln w="9525">
                      <a:noFill/>
                      <a:miter lim="800000"/>
                      <a:headEnd/>
                      <a:tailEnd/>
                    </a:ln>
                  </pic:spPr>
                </pic:pic>
              </a:graphicData>
            </a:graphic>
          </wp:inline>
        </w:drawing>
      </w:r>
    </w:p>
    <w:p w:rsidR="008D4446" w:rsidRDefault="00AC67EA" w:rsidP="008D4446">
      <w:pPr>
        <w:jc w:val="both"/>
        <w:rPr>
          <w:rFonts w:ascii="Times New Roman" w:hAnsi="Times New Roman" w:cs="Times New Roman"/>
          <w:sz w:val="24"/>
          <w:szCs w:val="24"/>
        </w:rPr>
      </w:pPr>
      <w:r>
        <w:rPr>
          <w:rFonts w:ascii="Times New Roman" w:hAnsi="Times New Roman" w:cs="Times New Roman"/>
          <w:sz w:val="24"/>
          <w:szCs w:val="24"/>
        </w:rPr>
        <w:t xml:space="preserve">**opis </w:t>
      </w:r>
      <w:proofErr w:type="spellStart"/>
      <w:r>
        <w:rPr>
          <w:rFonts w:ascii="Times New Roman" w:hAnsi="Times New Roman" w:cs="Times New Roman"/>
          <w:sz w:val="24"/>
          <w:szCs w:val="24"/>
        </w:rPr>
        <w:t>G-means</w:t>
      </w:r>
      <w:proofErr w:type="spellEnd"/>
      <w:r>
        <w:rPr>
          <w:rFonts w:ascii="Times New Roman" w:hAnsi="Times New Roman" w:cs="Times New Roman"/>
          <w:sz w:val="24"/>
          <w:szCs w:val="24"/>
        </w:rPr>
        <w:t>**</w:t>
      </w:r>
    </w:p>
    <w:p w:rsidR="008D4446" w:rsidRPr="008D4446" w:rsidRDefault="008D4446" w:rsidP="008D4446">
      <w:pPr>
        <w:ind w:left="360"/>
        <w:jc w:val="both"/>
        <w:rPr>
          <w:rFonts w:ascii="Times New Roman" w:hAnsi="Times New Roman" w:cs="Times New Roman"/>
          <w:sz w:val="24"/>
          <w:szCs w:val="24"/>
        </w:rPr>
      </w:pPr>
    </w:p>
    <w:p w:rsidR="007F43FA" w:rsidRPr="00514889" w:rsidRDefault="007F43FA" w:rsidP="0051406D">
      <w:pPr>
        <w:pStyle w:val="Akapitzlist"/>
        <w:numPr>
          <w:ilvl w:val="0"/>
          <w:numId w:val="1"/>
        </w:numPr>
        <w:rPr>
          <w:rFonts w:ascii="Times New Roman" w:hAnsi="Times New Roman" w:cs="Times New Roman"/>
          <w:b/>
          <w:sz w:val="24"/>
          <w:szCs w:val="24"/>
        </w:rPr>
      </w:pPr>
      <w:r w:rsidRPr="00514889">
        <w:rPr>
          <w:rFonts w:ascii="Times New Roman" w:hAnsi="Times New Roman" w:cs="Times New Roman"/>
          <w:b/>
          <w:sz w:val="28"/>
          <w:szCs w:val="24"/>
        </w:rPr>
        <w:t>Implementacja modułu</w:t>
      </w:r>
    </w:p>
    <w:p w:rsidR="007F43FA" w:rsidRDefault="00AC67EA" w:rsidP="00AC67EA">
      <w:pPr>
        <w:jc w:val="both"/>
        <w:rPr>
          <w:rFonts w:ascii="Times New Roman" w:hAnsi="Times New Roman" w:cs="Times New Roman"/>
          <w:sz w:val="24"/>
          <w:szCs w:val="24"/>
        </w:rPr>
      </w:pPr>
      <w:r>
        <w:rPr>
          <w:rFonts w:ascii="Times New Roman" w:hAnsi="Times New Roman" w:cs="Times New Roman"/>
          <w:sz w:val="24"/>
          <w:szCs w:val="24"/>
        </w:rPr>
        <w:t xml:space="preserve">Algorytm opisany w punkcie 2 zrealizowano w języku C++ z wykorzystaniem edytora </w:t>
      </w:r>
      <w:proofErr w:type="spellStart"/>
      <w:r>
        <w:rPr>
          <w:rFonts w:ascii="Times New Roman" w:hAnsi="Times New Roman" w:cs="Times New Roman"/>
          <w:sz w:val="24"/>
          <w:szCs w:val="24"/>
        </w:rPr>
        <w:t>Qt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Creator</w:t>
      </w:r>
      <w:proofErr w:type="spellEnd"/>
      <w:r>
        <w:rPr>
          <w:rFonts w:ascii="Times New Roman" w:hAnsi="Times New Roman" w:cs="Times New Roman"/>
          <w:sz w:val="24"/>
          <w:szCs w:val="24"/>
        </w:rPr>
        <w:t>.</w:t>
      </w:r>
    </w:p>
    <w:p w:rsidR="00AC67EA" w:rsidRPr="00290D37" w:rsidRDefault="00AC67EA" w:rsidP="00AC67EA">
      <w:pPr>
        <w:jc w:val="both"/>
        <w:rPr>
          <w:rFonts w:ascii="Times New Roman" w:hAnsi="Times New Roman" w:cs="Times New Roman"/>
          <w:sz w:val="24"/>
          <w:szCs w:val="24"/>
        </w:rPr>
      </w:pPr>
      <w:r>
        <w:rPr>
          <w:rFonts w:ascii="Times New Roman" w:hAnsi="Times New Roman" w:cs="Times New Roman"/>
          <w:sz w:val="24"/>
          <w:szCs w:val="24"/>
        </w:rPr>
        <w:t>**opis działania programu – diagramy klas i przypadków użycia**</w:t>
      </w:r>
    </w:p>
    <w:p w:rsidR="007F43FA" w:rsidRPr="00514889" w:rsidRDefault="007F43FA" w:rsidP="0051406D">
      <w:pPr>
        <w:pStyle w:val="Akapitzlist"/>
        <w:numPr>
          <w:ilvl w:val="0"/>
          <w:numId w:val="1"/>
        </w:numPr>
        <w:rPr>
          <w:rFonts w:ascii="Times New Roman" w:hAnsi="Times New Roman" w:cs="Times New Roman"/>
          <w:b/>
          <w:sz w:val="28"/>
          <w:szCs w:val="24"/>
        </w:rPr>
      </w:pPr>
      <w:r w:rsidRPr="00514889">
        <w:rPr>
          <w:rFonts w:ascii="Times New Roman" w:hAnsi="Times New Roman" w:cs="Times New Roman"/>
          <w:b/>
          <w:sz w:val="28"/>
          <w:szCs w:val="24"/>
        </w:rPr>
        <w:t>Możliwości rozszerzenia</w:t>
      </w:r>
    </w:p>
    <w:p w:rsidR="007F43FA" w:rsidRPr="00290D37" w:rsidRDefault="00AC67EA" w:rsidP="007F43FA">
      <w:pPr>
        <w:rPr>
          <w:rFonts w:ascii="Times New Roman" w:hAnsi="Times New Roman" w:cs="Times New Roman"/>
          <w:sz w:val="24"/>
          <w:szCs w:val="24"/>
        </w:rPr>
      </w:pPr>
      <w:r>
        <w:rPr>
          <w:rFonts w:ascii="Times New Roman" w:hAnsi="Times New Roman" w:cs="Times New Roman"/>
          <w:sz w:val="24"/>
          <w:szCs w:val="24"/>
        </w:rPr>
        <w:t>**Dodanie klasyfikatora. Charakteryzacja pobudzeń komorowych i nadkomorowych. Poprawa wyświetlania.**</w:t>
      </w:r>
    </w:p>
    <w:p w:rsidR="007F43FA" w:rsidRPr="00514889" w:rsidRDefault="007F43FA" w:rsidP="0051406D">
      <w:pPr>
        <w:pStyle w:val="Akapitzlist"/>
        <w:numPr>
          <w:ilvl w:val="0"/>
          <w:numId w:val="1"/>
        </w:numPr>
        <w:rPr>
          <w:rFonts w:ascii="Times New Roman" w:hAnsi="Times New Roman" w:cs="Times New Roman"/>
          <w:b/>
          <w:sz w:val="28"/>
          <w:szCs w:val="24"/>
        </w:rPr>
      </w:pPr>
      <w:r w:rsidRPr="00514889">
        <w:rPr>
          <w:rFonts w:ascii="Times New Roman" w:hAnsi="Times New Roman" w:cs="Times New Roman"/>
          <w:b/>
          <w:sz w:val="28"/>
          <w:szCs w:val="24"/>
        </w:rPr>
        <w:t>Wnioski</w:t>
      </w:r>
    </w:p>
    <w:p w:rsidR="007F43FA" w:rsidRPr="00290D37" w:rsidRDefault="00AC67EA" w:rsidP="007F43FA">
      <w:pPr>
        <w:rPr>
          <w:rFonts w:ascii="Times New Roman" w:hAnsi="Times New Roman" w:cs="Times New Roman"/>
          <w:sz w:val="24"/>
          <w:szCs w:val="24"/>
        </w:rPr>
      </w:pPr>
      <w:r>
        <w:rPr>
          <w:rFonts w:ascii="Times New Roman" w:hAnsi="Times New Roman" w:cs="Times New Roman"/>
          <w:sz w:val="24"/>
          <w:szCs w:val="24"/>
        </w:rPr>
        <w:t>**ważny element detekcji i przetwarzania sygnału EKG, większość czasu poświęcona na synchronizację z pozostałymi modułami**</w:t>
      </w:r>
    </w:p>
    <w:p w:rsidR="008D0EF9" w:rsidRPr="00514889" w:rsidRDefault="008D0EF9" w:rsidP="008D0EF9">
      <w:pPr>
        <w:pStyle w:val="Akapitzlist"/>
        <w:numPr>
          <w:ilvl w:val="0"/>
          <w:numId w:val="1"/>
        </w:numPr>
        <w:rPr>
          <w:rFonts w:ascii="Times New Roman" w:hAnsi="Times New Roman" w:cs="Times New Roman"/>
          <w:b/>
          <w:sz w:val="28"/>
          <w:szCs w:val="24"/>
        </w:rPr>
      </w:pPr>
      <w:r w:rsidRPr="00514889">
        <w:rPr>
          <w:rFonts w:ascii="Times New Roman" w:hAnsi="Times New Roman" w:cs="Times New Roman"/>
          <w:b/>
          <w:sz w:val="28"/>
          <w:szCs w:val="24"/>
        </w:rPr>
        <w:t>Literatura</w:t>
      </w:r>
    </w:p>
    <w:p w:rsidR="00514889" w:rsidRDefault="00514889" w:rsidP="008D0EF9">
      <w:pPr>
        <w:rPr>
          <w:rFonts w:ascii="Times New Roman" w:hAnsi="Times New Roman" w:cs="Times New Roman"/>
          <w:sz w:val="24"/>
          <w:szCs w:val="24"/>
        </w:rPr>
      </w:pPr>
      <w:r>
        <w:rPr>
          <w:rFonts w:ascii="Times New Roman" w:hAnsi="Times New Roman" w:cs="Times New Roman"/>
          <w:sz w:val="24"/>
          <w:szCs w:val="24"/>
        </w:rPr>
        <w:t xml:space="preserve">[1] Augustyniak P. </w:t>
      </w:r>
      <w:r>
        <w:rPr>
          <w:rFonts w:ascii="Times New Roman" w:hAnsi="Times New Roman" w:cs="Times New Roman"/>
          <w:i/>
          <w:sz w:val="24"/>
          <w:szCs w:val="24"/>
        </w:rPr>
        <w:t>Przetwarzanie sygnałów elektrodiagnostycznych.</w:t>
      </w:r>
      <w:r>
        <w:rPr>
          <w:rFonts w:ascii="Times New Roman" w:hAnsi="Times New Roman" w:cs="Times New Roman"/>
          <w:sz w:val="24"/>
          <w:szCs w:val="24"/>
        </w:rPr>
        <w:t xml:space="preserve"> Wydawnictwa AGH. Kraków, 2001.</w:t>
      </w:r>
    </w:p>
    <w:p w:rsidR="00514889" w:rsidRDefault="00514889" w:rsidP="008D0EF9">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Pr="00514889">
        <w:rPr>
          <w:rFonts w:ascii="Times New Roman" w:hAnsi="Times New Roman" w:cs="Times New Roman"/>
          <w:i/>
          <w:sz w:val="24"/>
          <w:szCs w:val="24"/>
        </w:rPr>
        <w:t>Medical</w:t>
      </w:r>
      <w:proofErr w:type="spellEnd"/>
      <w:r w:rsidRPr="00514889">
        <w:rPr>
          <w:rFonts w:ascii="Times New Roman" w:hAnsi="Times New Roman" w:cs="Times New Roman"/>
          <w:i/>
          <w:sz w:val="24"/>
          <w:szCs w:val="24"/>
        </w:rPr>
        <w:t xml:space="preserve"> </w:t>
      </w:r>
      <w:proofErr w:type="spellStart"/>
      <w:r w:rsidRPr="00514889">
        <w:rPr>
          <w:rFonts w:ascii="Times New Roman" w:hAnsi="Times New Roman" w:cs="Times New Roman"/>
          <w:i/>
          <w:sz w:val="24"/>
          <w:szCs w:val="24"/>
        </w:rPr>
        <w:t>dicionnary</w:t>
      </w:r>
      <w:proofErr w:type="spellEnd"/>
      <w:r>
        <w:rPr>
          <w:rFonts w:ascii="Times New Roman" w:hAnsi="Times New Roman" w:cs="Times New Roman"/>
          <w:sz w:val="24"/>
          <w:szCs w:val="24"/>
        </w:rPr>
        <w:t xml:space="preserve">. Dostępny w Internecie: </w:t>
      </w:r>
      <w:hyperlink r:id="rId9" w:history="1">
        <w:r w:rsidRPr="00354FD8">
          <w:rPr>
            <w:rStyle w:val="Hipercze"/>
            <w:rFonts w:ascii="Times New Roman" w:hAnsi="Times New Roman" w:cs="Times New Roman"/>
            <w:sz w:val="24"/>
            <w:szCs w:val="24"/>
          </w:rPr>
          <w:t>http://medical-dictionnary.thefreedictionnary.com</w:t>
        </w:r>
      </w:hyperlink>
      <w:r>
        <w:rPr>
          <w:rFonts w:ascii="Times New Roman" w:hAnsi="Times New Roman" w:cs="Times New Roman"/>
          <w:sz w:val="24"/>
          <w:szCs w:val="24"/>
        </w:rPr>
        <w:t>.</w:t>
      </w:r>
    </w:p>
    <w:p w:rsidR="00514889" w:rsidRDefault="00514889" w:rsidP="008D0EF9">
      <w:pPr>
        <w:rPr>
          <w:rFonts w:ascii="Times New Roman" w:hAnsi="Times New Roman" w:cs="Times New Roman"/>
          <w:sz w:val="24"/>
          <w:szCs w:val="24"/>
          <w:lang w:val="en-US"/>
        </w:rPr>
      </w:pPr>
      <w:r w:rsidRPr="00514889">
        <w:rPr>
          <w:rFonts w:ascii="Times New Roman" w:hAnsi="Times New Roman" w:cs="Times New Roman"/>
          <w:sz w:val="24"/>
          <w:szCs w:val="24"/>
          <w:lang w:val="en-US"/>
        </w:rPr>
        <w:t xml:space="preserve">[3] </w:t>
      </w:r>
      <w:proofErr w:type="spellStart"/>
      <w:r w:rsidRPr="00514889">
        <w:rPr>
          <w:rFonts w:ascii="Times New Roman" w:hAnsi="Times New Roman" w:cs="Times New Roman"/>
          <w:sz w:val="24"/>
          <w:szCs w:val="24"/>
          <w:lang w:val="en-US"/>
        </w:rPr>
        <w:t>Adebisi</w:t>
      </w:r>
      <w:proofErr w:type="spellEnd"/>
      <w:r w:rsidRPr="00514889">
        <w:rPr>
          <w:rFonts w:ascii="Times New Roman" w:hAnsi="Times New Roman" w:cs="Times New Roman"/>
          <w:sz w:val="24"/>
          <w:szCs w:val="24"/>
          <w:lang w:val="en-US"/>
        </w:rPr>
        <w:t xml:space="preserve"> A., </w:t>
      </w:r>
      <w:proofErr w:type="spellStart"/>
      <w:r w:rsidRPr="00514889">
        <w:rPr>
          <w:rFonts w:ascii="Times New Roman" w:hAnsi="Times New Roman" w:cs="Times New Roman"/>
          <w:sz w:val="24"/>
          <w:szCs w:val="24"/>
          <w:lang w:val="en-US"/>
        </w:rPr>
        <w:t>Olusayo</w:t>
      </w:r>
      <w:proofErr w:type="spellEnd"/>
      <w:r w:rsidRPr="00514889">
        <w:rPr>
          <w:rFonts w:ascii="Times New Roman" w:hAnsi="Times New Roman" w:cs="Times New Roman"/>
          <w:sz w:val="24"/>
          <w:szCs w:val="24"/>
          <w:lang w:val="en-US"/>
        </w:rPr>
        <w:t xml:space="preserve"> O., </w:t>
      </w:r>
      <w:proofErr w:type="spellStart"/>
      <w:r w:rsidRPr="00514889">
        <w:rPr>
          <w:rFonts w:ascii="Times New Roman" w:hAnsi="Times New Roman" w:cs="Times New Roman"/>
          <w:sz w:val="24"/>
          <w:szCs w:val="24"/>
          <w:lang w:val="en-US"/>
        </w:rPr>
        <w:t>Olatunde</w:t>
      </w:r>
      <w:proofErr w:type="spellEnd"/>
      <w:r w:rsidRPr="00514889">
        <w:rPr>
          <w:rFonts w:ascii="Times New Roman" w:hAnsi="Times New Roman" w:cs="Times New Roman"/>
          <w:sz w:val="24"/>
          <w:szCs w:val="24"/>
          <w:lang w:val="en-US"/>
        </w:rPr>
        <w:t xml:space="preserve"> O. </w:t>
      </w:r>
      <w:r>
        <w:rPr>
          <w:rFonts w:ascii="Times New Roman" w:hAnsi="Times New Roman" w:cs="Times New Roman"/>
          <w:sz w:val="24"/>
          <w:szCs w:val="24"/>
          <w:lang w:val="en-US"/>
        </w:rPr>
        <w:t xml:space="preserve">An Exploratory Study of K-Means and Expectation Maximization Algorithms. </w:t>
      </w:r>
      <w:r>
        <w:rPr>
          <w:rFonts w:ascii="Times New Roman" w:hAnsi="Times New Roman" w:cs="Times New Roman"/>
          <w:i/>
          <w:sz w:val="24"/>
          <w:szCs w:val="24"/>
          <w:lang w:val="en-US"/>
        </w:rPr>
        <w:t xml:space="preserve">British Journal of Mathematics and </w:t>
      </w:r>
      <w:proofErr w:type="spellStart"/>
      <w:r>
        <w:rPr>
          <w:rFonts w:ascii="Times New Roman" w:hAnsi="Times New Roman" w:cs="Times New Roman"/>
          <w:i/>
          <w:sz w:val="24"/>
          <w:szCs w:val="24"/>
          <w:lang w:val="en-US"/>
        </w:rPr>
        <w:t>Compupter</w:t>
      </w:r>
      <w:proofErr w:type="spellEnd"/>
      <w:r>
        <w:rPr>
          <w:rFonts w:ascii="Times New Roman" w:hAnsi="Times New Roman" w:cs="Times New Roman"/>
          <w:i/>
          <w:sz w:val="24"/>
          <w:szCs w:val="24"/>
          <w:lang w:val="en-US"/>
        </w:rPr>
        <w:t xml:space="preserve"> Science</w:t>
      </w:r>
      <w:r>
        <w:rPr>
          <w:rFonts w:ascii="Times New Roman" w:hAnsi="Times New Roman" w:cs="Times New Roman"/>
          <w:sz w:val="24"/>
          <w:szCs w:val="24"/>
          <w:lang w:val="en-US"/>
        </w:rPr>
        <w:t xml:space="preserve"> 2012, nr 2, s. 62 – 71.</w:t>
      </w:r>
    </w:p>
    <w:p w:rsidR="00514889" w:rsidRDefault="00514889" w:rsidP="008D0EF9">
      <w:pPr>
        <w:rPr>
          <w:rFonts w:ascii="Times New Roman" w:hAnsi="Times New Roman" w:cs="Times New Roman"/>
          <w:sz w:val="24"/>
          <w:szCs w:val="24"/>
          <w:lang w:val="en-US"/>
        </w:rPr>
      </w:pPr>
      <w:r>
        <w:rPr>
          <w:rFonts w:ascii="Times New Roman" w:hAnsi="Times New Roman" w:cs="Times New Roman"/>
          <w:sz w:val="24"/>
          <w:szCs w:val="24"/>
          <w:lang w:val="en-US"/>
        </w:rPr>
        <w:t xml:space="preserve">[4] Maier C., </w:t>
      </w:r>
      <w:proofErr w:type="spellStart"/>
      <w:r>
        <w:rPr>
          <w:rFonts w:ascii="Times New Roman" w:hAnsi="Times New Roman" w:cs="Times New Roman"/>
          <w:sz w:val="24"/>
          <w:szCs w:val="24"/>
          <w:lang w:val="en-US"/>
        </w:rPr>
        <w:t>Dickhaus</w:t>
      </w:r>
      <w:proofErr w:type="spellEnd"/>
      <w:r>
        <w:rPr>
          <w:rFonts w:ascii="Times New Roman" w:hAnsi="Times New Roman" w:cs="Times New Roman"/>
          <w:sz w:val="24"/>
          <w:szCs w:val="24"/>
          <w:lang w:val="en-US"/>
        </w:rPr>
        <w:t xml:space="preserve"> H., </w:t>
      </w:r>
      <w:proofErr w:type="spellStart"/>
      <w:r>
        <w:rPr>
          <w:rFonts w:ascii="Times New Roman" w:hAnsi="Times New Roman" w:cs="Times New Roman"/>
          <w:sz w:val="24"/>
          <w:szCs w:val="24"/>
          <w:lang w:val="en-US"/>
        </w:rPr>
        <w:t>Gittinger</w:t>
      </w:r>
      <w:proofErr w:type="spellEnd"/>
      <w:r>
        <w:rPr>
          <w:rFonts w:ascii="Times New Roman" w:hAnsi="Times New Roman" w:cs="Times New Roman"/>
          <w:sz w:val="24"/>
          <w:szCs w:val="24"/>
          <w:lang w:val="en-US"/>
        </w:rPr>
        <w:t xml:space="preserve"> J. </w:t>
      </w:r>
      <w:r>
        <w:rPr>
          <w:rFonts w:ascii="Times New Roman" w:hAnsi="Times New Roman" w:cs="Times New Roman"/>
          <w:i/>
          <w:sz w:val="24"/>
          <w:szCs w:val="24"/>
          <w:lang w:val="en-US"/>
        </w:rPr>
        <w:t>Unsupervised Morphological Classification of QRS Complexes</w:t>
      </w:r>
      <w:r>
        <w:rPr>
          <w:rFonts w:ascii="Times New Roman" w:hAnsi="Times New Roman" w:cs="Times New Roman"/>
          <w:sz w:val="24"/>
          <w:szCs w:val="24"/>
          <w:lang w:val="en-US"/>
        </w:rPr>
        <w:t>. Computers in Cardiology. Hannover, 1989, s. 683-686.</w:t>
      </w:r>
    </w:p>
    <w:p w:rsidR="004B3B87" w:rsidRPr="004B3B87" w:rsidRDefault="004B3B87" w:rsidP="008D0EF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[5] </w:t>
      </w:r>
      <w:proofErr w:type="spellStart"/>
      <w:r>
        <w:rPr>
          <w:rFonts w:ascii="Times New Roman" w:hAnsi="Times New Roman" w:cs="Times New Roman"/>
          <w:sz w:val="24"/>
          <w:szCs w:val="24"/>
          <w:lang w:val="en-US"/>
        </w:rPr>
        <w:t>Awal</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Mostafa</w:t>
      </w:r>
      <w:proofErr w:type="spellEnd"/>
      <w:r>
        <w:rPr>
          <w:rFonts w:ascii="Times New Roman" w:hAnsi="Times New Roman" w:cs="Times New Roman"/>
          <w:sz w:val="24"/>
          <w:szCs w:val="24"/>
          <w:lang w:val="en-US"/>
        </w:rPr>
        <w:t xml:space="preserve"> S., Ahmad M. </w:t>
      </w:r>
      <w:r>
        <w:rPr>
          <w:rFonts w:ascii="Times New Roman" w:hAnsi="Times New Roman" w:cs="Times New Roman"/>
          <w:i/>
          <w:sz w:val="24"/>
          <w:szCs w:val="24"/>
          <w:lang w:val="en-US"/>
        </w:rPr>
        <w:t>Simplified Mathematical Model for Generating ECG Signal and Fitting the Model using Nonlinear Least Square Technique.</w:t>
      </w:r>
      <w:r>
        <w:rPr>
          <w:rFonts w:ascii="Times New Roman" w:hAnsi="Times New Roman" w:cs="Times New Roman"/>
          <w:sz w:val="24"/>
          <w:szCs w:val="24"/>
          <w:lang w:val="en-US"/>
        </w:rPr>
        <w:t xml:space="preserve"> Proceedings of the International Conference on Mechanical Engineering. Dhaka, 2011.</w:t>
      </w:r>
    </w:p>
    <w:sectPr w:rsidR="004B3B87" w:rsidRPr="004B3B87" w:rsidSect="00F7051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B263C2"/>
    <w:multiLevelType w:val="hybridMultilevel"/>
    <w:tmpl w:val="3286CF3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66BA3C0C"/>
    <w:multiLevelType w:val="hybridMultilevel"/>
    <w:tmpl w:val="A45863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51406D"/>
    <w:rsid w:val="00161E5B"/>
    <w:rsid w:val="00290D37"/>
    <w:rsid w:val="00433C81"/>
    <w:rsid w:val="004B3B87"/>
    <w:rsid w:val="0051406D"/>
    <w:rsid w:val="00514889"/>
    <w:rsid w:val="00565FFE"/>
    <w:rsid w:val="005F3A97"/>
    <w:rsid w:val="007F43FA"/>
    <w:rsid w:val="008D0EF9"/>
    <w:rsid w:val="008D4446"/>
    <w:rsid w:val="00AC67EA"/>
    <w:rsid w:val="00AE10D9"/>
    <w:rsid w:val="00C3685E"/>
    <w:rsid w:val="00D01662"/>
    <w:rsid w:val="00EF2D3B"/>
    <w:rsid w:val="00F7051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7051C"/>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1406D"/>
    <w:pPr>
      <w:ind w:left="720"/>
      <w:contextualSpacing/>
    </w:pPr>
  </w:style>
  <w:style w:type="paragraph" w:styleId="Tekstdymka">
    <w:name w:val="Balloon Text"/>
    <w:basedOn w:val="Normalny"/>
    <w:link w:val="TekstdymkaZnak"/>
    <w:uiPriority w:val="99"/>
    <w:semiHidden/>
    <w:unhideWhenUsed/>
    <w:rsid w:val="00EF2D3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F2D3B"/>
    <w:rPr>
      <w:rFonts w:ascii="Tahoma" w:hAnsi="Tahoma" w:cs="Tahoma"/>
      <w:sz w:val="16"/>
      <w:szCs w:val="16"/>
    </w:rPr>
  </w:style>
  <w:style w:type="character" w:styleId="Hipercze">
    <w:name w:val="Hyperlink"/>
    <w:basedOn w:val="Domylnaczcionkaakapitu"/>
    <w:uiPriority w:val="99"/>
    <w:unhideWhenUsed/>
    <w:rsid w:val="0051488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edical-dictionnary.thefreedictionnary.co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861</TotalTime>
  <Pages>3</Pages>
  <Words>379</Words>
  <Characters>2279</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2653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5</cp:revision>
  <dcterms:created xsi:type="dcterms:W3CDTF">2014-01-27T22:39:00Z</dcterms:created>
  <dcterms:modified xsi:type="dcterms:W3CDTF">2014-01-28T13:07:00Z</dcterms:modified>
</cp:coreProperties>
</file>