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7319D">
      <w:pPr>
        <w:spacing w:before="320" w:after="80"/>
      </w:pPr>
      <w:r>
        <w:rPr>
          <w:rFonts w:ascii="Arial Unicode MS" w:hAnsi="Arial Unicode MS" w:eastAsia="Arial Unicode MS"/>
          <w:b/>
          <w:color w:val="1F4D78"/>
          <w:sz w:val="50"/>
        </w:rPr>
        <w:t>数语智能问答工作计划与方案</w:t>
      </w:r>
    </w:p>
    <w:p w14:paraId="43C9080A">
      <w:pPr>
        <w:spacing w:after="320"/>
      </w:pPr>
      <w:r>
        <w:rPr>
          <w:rFonts w:ascii="Arial Unicode MS" w:hAnsi="Arial Unicode MS" w:eastAsia="Arial Unicode MS"/>
          <w:color w:val="64748B"/>
          <w:sz w:val="26"/>
        </w:rPr>
        <w:t>从“能查”走向“查得准、查得稳、可追溯、可审计”</w:t>
      </w:r>
    </w:p>
    <w:p w14:paraId="06ACA95F">
      <w:pPr>
        <w:pBdr>
          <w:left w:val="single" w:color="2E74B5" w:sz="18" w:space="8"/>
        </w:pBdr>
        <w:shd w:val="clear" w:fill="EAF2F8"/>
        <w:spacing w:before="360" w:after="280" w:line="276" w:lineRule="auto"/>
        <w:ind w:left="180" w:right="120"/>
      </w:pPr>
      <w:r>
        <w:rPr>
          <w:rFonts w:ascii="Arial Unicode MS" w:hAnsi="Arial Unicode MS" w:eastAsia="Arial Unicode MS"/>
          <w:b/>
          <w:color w:val="1F4D78"/>
          <w:sz w:val="22"/>
        </w:rPr>
        <w:t xml:space="preserve">核心结论  </w:t>
      </w:r>
      <w:r>
        <w:rPr>
          <w:rFonts w:ascii="Arial Unicode MS" w:hAnsi="Arial Unicode MS" w:eastAsia="Arial Unicode MS"/>
          <w:color w:val="243447"/>
          <w:sz w:val="22"/>
        </w:rPr>
        <w:t>当前智能问数基础主链已经打通。下一阶段重点不是继续堆叠功能，而是围绕准确率、多轮稳定性、复杂查询、安全治理和可观测性完成系统化加固。</w:t>
      </w:r>
    </w:p>
    <w:p w14:paraId="3BB7124F">
      <w:pPr>
        <w:pStyle w:val="3"/>
      </w:pPr>
      <w:r>
        <w:t>一、这块工作要解决什么</w:t>
      </w:r>
    </w:p>
    <w:p w14:paraId="3EE472D8">
      <w:pPr>
        <w:spacing w:after="120" w:line="264" w:lineRule="auto"/>
      </w:pPr>
      <w:r>
        <w:rPr>
          <w:rFonts w:ascii="Arial Unicode MS" w:hAnsi="Arial Unicode MS" w:eastAsia="Arial Unicode MS"/>
          <w:color w:val="243447"/>
          <w:sz w:val="22"/>
        </w:rPr>
        <w:t>智能问答这块的目标，不是只做一个“大模型加数据库”的对话框，而是建设一套面向企业数据的可信智能问数能力。</w:t>
      </w:r>
    </w:p>
    <w:p w14:paraId="5B19A9A0">
      <w:pPr>
        <w:spacing w:after="120" w:line="264" w:lineRule="auto"/>
      </w:pPr>
      <w:r>
        <w:rPr>
          <w:rFonts w:ascii="Arial Unicode MS" w:hAnsi="Arial Unicode MS" w:eastAsia="Arial Unicode MS"/>
          <w:color w:val="243447"/>
          <w:sz w:val="22"/>
        </w:rPr>
        <w:t>业务人员可以直接使用自然语言提问，系统负责理解问题、选择合适的数据集、识别指标口径和筛选条件、生成受控查询计划、执行查询，并以结论、数据表格或图表返回结果。</w:t>
      </w:r>
    </w:p>
    <w:p w14:paraId="2BB79299">
      <w:pPr>
        <w:pStyle w:val="16"/>
        <w:spacing w:after="160" w:line="280" w:lineRule="auto"/>
        <w:ind w:left="720" w:hanging="360"/>
      </w:pPr>
      <w:r>
        <w:rPr>
          <w:rFonts w:ascii="Arial Unicode MS" w:hAnsi="Arial Unicode MS" w:eastAsia="Arial Unicode MS"/>
          <w:color w:val="243447"/>
          <w:sz w:val="22"/>
        </w:rPr>
        <w:t>回答尽可能准确，不猜测业务口径。</w:t>
      </w:r>
    </w:p>
    <w:p w14:paraId="5535D294">
      <w:pPr>
        <w:pStyle w:val="16"/>
        <w:spacing w:after="160" w:line="280" w:lineRule="auto"/>
        <w:ind w:left="720" w:hanging="360"/>
      </w:pPr>
      <w:r>
        <w:rPr>
          <w:rFonts w:ascii="Arial Unicode MS" w:hAnsi="Arial Unicode MS" w:eastAsia="Arial Unicode MS"/>
          <w:color w:val="243447"/>
          <w:sz w:val="22"/>
        </w:rPr>
        <w:t>数据来源和处理过程可追溯、可审计。</w:t>
      </w:r>
    </w:p>
    <w:p w14:paraId="01AE17E8">
      <w:pPr>
        <w:pStyle w:val="16"/>
        <w:spacing w:after="160" w:line="280" w:lineRule="auto"/>
        <w:ind w:left="720" w:hanging="360"/>
      </w:pPr>
      <w:r>
        <w:rPr>
          <w:rFonts w:ascii="Arial Unicode MS" w:hAnsi="Arial Unicode MS" w:eastAsia="Arial Unicode MS"/>
          <w:color w:val="243447"/>
          <w:sz w:val="22"/>
        </w:rPr>
        <w:t>对权限、敏感字段和查询范围进行约束。</w:t>
      </w:r>
    </w:p>
    <w:p w14:paraId="0DB59211">
      <w:pPr>
        <w:pStyle w:val="16"/>
        <w:spacing w:after="160" w:line="280" w:lineRule="auto"/>
        <w:ind w:left="720" w:hanging="360"/>
      </w:pPr>
      <w:r>
        <w:rPr>
          <w:rFonts w:ascii="Arial Unicode MS" w:hAnsi="Arial Unicode MS" w:eastAsia="Arial Unicode MS"/>
          <w:color w:val="243447"/>
          <w:sz w:val="22"/>
        </w:rPr>
        <w:t>问题不明确时先让用户确认，不带着错误假设继续执行。</w:t>
      </w:r>
    </w:p>
    <w:p w14:paraId="61DA0E71">
      <w:pPr>
        <w:pStyle w:val="16"/>
        <w:spacing w:after="160" w:line="280" w:lineRule="auto"/>
        <w:ind w:left="720" w:hanging="360"/>
      </w:pPr>
      <w:r>
        <w:rPr>
          <w:rFonts w:ascii="Arial Unicode MS" w:hAnsi="Arial Unicode MS" w:eastAsia="Arial Unicode MS"/>
          <w:color w:val="243447"/>
          <w:sz w:val="22"/>
        </w:rPr>
        <w:t>支持多轮追问、筛选条件调整、结果解释和报告生成。</w:t>
      </w:r>
    </w:p>
    <w:p w14:paraId="2D249641">
      <w:pPr>
        <w:pStyle w:val="3"/>
      </w:pPr>
      <w:r>
        <w:t>二、整体思路</w:t>
      </w:r>
    </w:p>
    <w:p w14:paraId="0FEDCFF7">
      <w:pPr>
        <w:spacing w:after="120" w:line="264" w:lineRule="auto"/>
      </w:pPr>
      <w:r>
        <w:rPr>
          <w:rFonts w:ascii="Arial Unicode MS" w:hAnsi="Arial Unicode MS" w:eastAsia="Arial Unicode MS"/>
          <w:color w:val="243447"/>
          <w:sz w:val="22"/>
        </w:rPr>
        <w:t>整体采用“语义治理 + 多智能体协作 + 受控查询 + 安全呈现”的建设思路。</w:t>
      </w:r>
    </w:p>
    <w:p w14:paraId="581C2C53">
      <w:pPr>
        <w:spacing w:before="100" w:after="120"/>
        <w:jc w:val="center"/>
      </w:pPr>
      <w:bookmarkStart w:id="0" w:name="_GoBack"/>
      <w:r>
        <w:drawing>
          <wp:inline distT="0" distB="0" distL="114300" distR="114300">
            <wp:extent cx="5806440" cy="2002790"/>
            <wp:effectExtent l="0" t="0" r="10160" b="3810"/>
            <wp:docPr id="1" name="Picture 1" descr="智能问数主链示意图：用户提问经 Leader Agent、BI Worker 和受控执行后安全呈现结果。" title="智能问数主链与失败修复闭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智能问数主链示意图：用户提问经 Leader Agent、BI Worker 和受控执行后安全呈现结果。" title="智能问数主链与失败修复闭环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03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6A12398">
      <w:pPr>
        <w:spacing w:after="200"/>
        <w:jc w:val="center"/>
      </w:pPr>
      <w:r>
        <w:rPr>
          <w:rFonts w:ascii="Arial Unicode MS" w:hAnsi="Arial Unicode MS" w:eastAsia="Arial Unicode MS"/>
          <w:i/>
          <w:color w:val="64748B"/>
          <w:sz w:val="18"/>
        </w:rPr>
        <w:t>图 1  智能问数主链与失败修复闭环</w:t>
      </w:r>
    </w:p>
    <w:p w14:paraId="1195D197">
      <w:pPr>
        <w:spacing w:after="120" w:line="264" w:lineRule="auto"/>
      </w:pPr>
      <w:r>
        <w:rPr>
          <w:rFonts w:ascii="Arial Unicode MS" w:hAnsi="Arial Unicode MS" w:eastAsia="Arial Unicode MS"/>
          <w:color w:val="243447"/>
          <w:sz w:val="22"/>
        </w:rPr>
        <w:t>这套链路的核心点是：大模型负责理解和决策，但不直接无约束地生成 SQL。查询会先形成结构化 QueryPlan，再经过语义资产、表关系、权限和安全校验，最后由受控执行器生成并执行 SQL。</w:t>
      </w:r>
    </w:p>
    <w:p w14:paraId="1E8E8FF2">
      <w:pPr>
        <w:pStyle w:val="3"/>
      </w:pPr>
      <w:r>
        <w:t>三、当前已具备的基础</w:t>
      </w:r>
    </w:p>
    <w:p w14:paraId="0612A8BE">
      <w:pPr>
        <w:numPr>
          <w:ilvl w:val="0"/>
          <w:numId w:val="7"/>
        </w:numPr>
        <w:tabs>
          <w:tab w:val="left" w:pos="360"/>
        </w:tabs>
        <w:spacing w:after="160" w:line="280" w:lineRule="auto"/>
        <w:ind w:left="720" w:hanging="360"/>
      </w:pPr>
      <w:r>
        <w:rPr>
          <w:rFonts w:ascii="Arial Unicode MS" w:hAnsi="Arial Unicode MS" w:eastAsia="Arial Unicode MS"/>
          <w:b/>
          <w:color w:val="243447"/>
          <w:sz w:val="22"/>
        </w:rPr>
        <w:t>主链架构：</w:t>
      </w:r>
      <w:r>
        <w:rPr>
          <w:rFonts w:ascii="Arial Unicode MS" w:hAnsi="Arial Unicode MS" w:eastAsia="Arial Unicode MS"/>
          <w:color w:val="243447"/>
          <w:sz w:val="22"/>
        </w:rPr>
        <w:t>已完成 AgentScope Agent Team 主链，由 Leader Agent 和 BI Worker 协作执行。</w:t>
      </w:r>
    </w:p>
    <w:p w14:paraId="2F91EE40">
      <w:pPr>
        <w:numPr>
          <w:ilvl w:val="0"/>
          <w:numId w:val="7"/>
        </w:numPr>
        <w:tabs>
          <w:tab w:val="left" w:pos="360"/>
        </w:tabs>
        <w:spacing w:after="160" w:line="280" w:lineRule="auto"/>
        <w:ind w:left="720" w:hanging="360"/>
      </w:pPr>
      <w:r>
        <w:rPr>
          <w:rFonts w:ascii="Arial Unicode MS" w:hAnsi="Arial Unicode MS" w:eastAsia="Arial Unicode MS"/>
          <w:b/>
          <w:color w:val="243447"/>
          <w:sz w:val="22"/>
        </w:rPr>
        <w:t>流式交互：</w:t>
      </w:r>
      <w:r>
        <w:rPr>
          <w:rFonts w:ascii="Arial Unicode MS" w:hAnsi="Arial Unicode MS" w:eastAsia="Arial Unicode MS"/>
          <w:color w:val="243447"/>
          <w:sz w:val="22"/>
        </w:rPr>
        <w:t>已统一问数接口和 SSE 流式返回，前端可实时展示处理进度和结果。</w:t>
      </w:r>
    </w:p>
    <w:p w14:paraId="3352D1F7">
      <w:pPr>
        <w:numPr>
          <w:ilvl w:val="0"/>
          <w:numId w:val="7"/>
        </w:numPr>
        <w:tabs>
          <w:tab w:val="left" w:pos="360"/>
        </w:tabs>
        <w:spacing w:after="160" w:line="280" w:lineRule="auto"/>
        <w:ind w:left="720" w:hanging="360"/>
      </w:pPr>
      <w:r>
        <w:rPr>
          <w:rFonts w:ascii="Arial Unicode MS" w:hAnsi="Arial Unicode MS" w:eastAsia="Arial Unicode MS"/>
          <w:b/>
          <w:color w:val="243447"/>
          <w:sz w:val="22"/>
        </w:rPr>
        <w:t>查询闭环：</w:t>
      </w:r>
      <w:r>
        <w:rPr>
          <w:rFonts w:ascii="Arial Unicode MS" w:hAnsi="Arial Unicode MS" w:eastAsia="Arial Unicode MS"/>
          <w:color w:val="243447"/>
          <w:sz w:val="22"/>
        </w:rPr>
        <w:t>已打通 QueryPlan → DSL → SQL 编译 → 数据库执行 → 结果产物。</w:t>
      </w:r>
    </w:p>
    <w:p w14:paraId="54A71EA4">
      <w:pPr>
        <w:numPr>
          <w:ilvl w:val="0"/>
          <w:numId w:val="7"/>
        </w:numPr>
        <w:tabs>
          <w:tab w:val="left" w:pos="360"/>
        </w:tabs>
        <w:spacing w:after="160" w:line="280" w:lineRule="auto"/>
        <w:ind w:left="720" w:hanging="360"/>
      </w:pPr>
      <w:r>
        <w:rPr>
          <w:rFonts w:ascii="Arial Unicode MS" w:hAnsi="Arial Unicode MS" w:eastAsia="Arial Unicode MS"/>
          <w:b/>
          <w:color w:val="243447"/>
          <w:sz w:val="22"/>
        </w:rPr>
        <w:t>语义资产：</w:t>
      </w:r>
      <w:r>
        <w:rPr>
          <w:rFonts w:ascii="Arial Unicode MS" w:hAnsi="Arial Unicode MS" w:eastAsia="Arial Unicode MS"/>
          <w:color w:val="243447"/>
          <w:sz w:val="22"/>
        </w:rPr>
        <w:t>已支持数据集、指标、维度、业务术语和分析蓝图。</w:t>
      </w:r>
    </w:p>
    <w:p w14:paraId="523C5CE6">
      <w:pPr>
        <w:numPr>
          <w:ilvl w:val="0"/>
          <w:numId w:val="7"/>
        </w:numPr>
        <w:tabs>
          <w:tab w:val="left" w:pos="360"/>
        </w:tabs>
        <w:spacing w:after="160" w:line="280" w:lineRule="auto"/>
        <w:ind w:left="720" w:hanging="360"/>
      </w:pPr>
      <w:r>
        <w:rPr>
          <w:rFonts w:ascii="Arial Unicode MS" w:hAnsi="Arial Unicode MS" w:eastAsia="Arial Unicode MS"/>
          <w:b/>
          <w:color w:val="243447"/>
          <w:sz w:val="22"/>
        </w:rPr>
        <w:t>会话恢复：</w:t>
      </w:r>
      <w:r>
        <w:rPr>
          <w:rFonts w:ascii="Arial Unicode MS" w:hAnsi="Arial Unicode MS" w:eastAsia="Arial Unicode MS"/>
          <w:color w:val="243447"/>
          <w:sz w:val="22"/>
        </w:rPr>
        <w:t>已具备多轮会话、历史回放、查询产物、受控重试和基础失败修复能力。</w:t>
      </w:r>
    </w:p>
    <w:p w14:paraId="706A0712">
      <w:pPr>
        <w:numPr>
          <w:ilvl w:val="0"/>
          <w:numId w:val="7"/>
        </w:numPr>
        <w:tabs>
          <w:tab w:val="left" w:pos="360"/>
        </w:tabs>
        <w:spacing w:after="160" w:line="280" w:lineRule="auto"/>
        <w:ind w:left="720" w:hanging="360"/>
      </w:pPr>
      <w:r>
        <w:rPr>
          <w:rFonts w:ascii="Arial Unicode MS" w:hAnsi="Arial Unicode MS" w:eastAsia="Arial Unicode MS"/>
          <w:b/>
          <w:color w:val="243447"/>
          <w:sz w:val="22"/>
        </w:rPr>
        <w:t>安全边界：</w:t>
      </w:r>
      <w:r>
        <w:rPr>
          <w:rFonts w:ascii="Arial Unicode MS" w:hAnsi="Arial Unicode MS" w:eastAsia="Arial Unicode MS"/>
          <w:color w:val="243447"/>
          <w:sz w:val="22"/>
        </w:rPr>
        <w:t>用户可见层默认不暴露 SQL、Schema、原始数据行和内部推理信息。</w:t>
      </w:r>
    </w:p>
    <w:p w14:paraId="584741A1">
      <w:pPr>
        <w:spacing w:after="120" w:line="264" w:lineRule="auto"/>
      </w:pPr>
      <w:r>
        <w:rPr>
          <w:rFonts w:ascii="Arial Unicode MS" w:hAnsi="Arial Unicode MS" w:eastAsia="Arial Unicode MS"/>
          <w:color w:val="243447"/>
          <w:sz w:val="22"/>
        </w:rPr>
        <w:t>下一阶段的重点是提升问数准确率、多轮稳定性、复杂查询能力、安全性和整体使用体验。</w:t>
      </w:r>
    </w:p>
    <w:p w14:paraId="441572ED">
      <w:pPr>
        <w:pStyle w:val="3"/>
      </w:pPr>
      <w:r>
        <w:t>四、主要工作内容</w:t>
      </w:r>
    </w:p>
    <w:p w14:paraId="4D3E97EF">
      <w:pPr>
        <w:pStyle w:val="4"/>
      </w:pPr>
      <w:r>
        <w:t>1. 问题理解与数据路由</w:t>
      </w:r>
    </w:p>
    <w:p w14:paraId="56A652BA">
      <w:pPr>
        <w:pStyle w:val="16"/>
        <w:spacing w:after="160" w:line="280" w:lineRule="auto"/>
        <w:ind w:left="720" w:hanging="360"/>
      </w:pPr>
      <w:r>
        <w:rPr>
          <w:rFonts w:ascii="Arial Unicode MS" w:hAnsi="Arial Unicode MS" w:eastAsia="Arial Unicode MS"/>
          <w:color w:val="243447"/>
          <w:sz w:val="22"/>
        </w:rPr>
        <w:t>根据数据集能力说明、业务术语和问题特征，自动选择合适的数据集。</w:t>
      </w:r>
    </w:p>
    <w:p w14:paraId="4E6CDA9E">
      <w:pPr>
        <w:pStyle w:val="16"/>
        <w:spacing w:after="160" w:line="280" w:lineRule="auto"/>
        <w:ind w:left="720" w:hanging="360"/>
      </w:pPr>
      <w:r>
        <w:rPr>
          <w:rFonts w:ascii="Arial Unicode MS" w:hAnsi="Arial Unicode MS" w:eastAsia="Arial Unicode MS"/>
          <w:color w:val="243447"/>
          <w:sz w:val="22"/>
        </w:rPr>
        <w:t>同时匹配多个数据集或指标口径时，给出候选项并让用户确认。</w:t>
      </w:r>
    </w:p>
    <w:p w14:paraId="18B96AE1">
      <w:pPr>
        <w:pStyle w:val="16"/>
        <w:spacing w:after="160" w:line="280" w:lineRule="auto"/>
        <w:ind w:left="720" w:hanging="360"/>
      </w:pPr>
      <w:r>
        <w:rPr>
          <w:rFonts w:ascii="Arial Unicode MS" w:hAnsi="Arial Unicode MS" w:eastAsia="Arial Unicode MS"/>
          <w:color w:val="243447"/>
          <w:sz w:val="22"/>
        </w:rPr>
        <w:t>通过业务术语和本体映射，处理“销售额”“活跃用户”等多口径概念。</w:t>
      </w:r>
    </w:p>
    <w:p w14:paraId="5DA6F5B4">
      <w:pPr>
        <w:pStyle w:val="4"/>
      </w:pPr>
      <w:r>
        <w:t>2. QueryPlan 与受控执行</w:t>
      </w:r>
    </w:p>
    <w:p w14:paraId="2D999BA4">
      <w:pPr>
        <w:pStyle w:val="16"/>
        <w:spacing w:after="160" w:line="280" w:lineRule="auto"/>
        <w:ind w:left="720" w:hanging="360"/>
      </w:pPr>
      <w:r>
        <w:rPr>
          <w:rFonts w:ascii="Arial Unicode MS" w:hAnsi="Arial Unicode MS" w:eastAsia="Arial Unicode MS"/>
          <w:color w:val="243447"/>
          <w:sz w:val="22"/>
        </w:rPr>
        <w:t>把自然语言问题转换为结构化 QueryPlan，明确指标、维度、筛选、排序、分页和表关系。</w:t>
      </w:r>
    </w:p>
    <w:p w14:paraId="2CB02AF4">
      <w:pPr>
        <w:pStyle w:val="16"/>
        <w:spacing w:after="160" w:line="280" w:lineRule="auto"/>
        <w:ind w:left="720" w:hanging="360"/>
      </w:pPr>
      <w:r>
        <w:rPr>
          <w:rFonts w:ascii="Arial Unicode MS" w:hAnsi="Arial Unicode MS" w:eastAsia="Arial Unicode MS"/>
          <w:color w:val="243447"/>
          <w:sz w:val="22"/>
        </w:rPr>
        <w:t>建立表关系知识图谱，由系统维护 Join Key，减少模型猜测表关系。</w:t>
      </w:r>
    </w:p>
    <w:p w14:paraId="20016822">
      <w:pPr>
        <w:pStyle w:val="16"/>
        <w:spacing w:after="160" w:line="280" w:lineRule="auto"/>
        <w:ind w:left="720" w:hanging="360"/>
      </w:pPr>
      <w:r>
        <w:rPr>
          <w:rFonts w:ascii="Arial Unicode MS" w:hAnsi="Arial Unicode MS" w:eastAsia="Arial Unicode MS"/>
          <w:color w:val="243447"/>
          <w:sz w:val="22"/>
        </w:rPr>
        <w:t>对高频且口径稳定的问题支持预编译 QueryPlan，降低响应时间和模型消耗。</w:t>
      </w:r>
    </w:p>
    <w:p w14:paraId="08B1C725">
      <w:pPr>
        <w:pStyle w:val="16"/>
        <w:spacing w:after="160" w:line="280" w:lineRule="auto"/>
        <w:ind w:left="720" w:hanging="360"/>
      </w:pPr>
      <w:r>
        <w:rPr>
          <w:rFonts w:ascii="Arial Unicode MS" w:hAnsi="Arial Unicode MS" w:eastAsia="Arial Unicode MS"/>
          <w:color w:val="243447"/>
          <w:sz w:val="22"/>
        </w:rPr>
        <w:t>字段缺失、条件不完整或表关系不支持时，统一进入修复链路。</w:t>
      </w:r>
    </w:p>
    <w:p w14:paraId="7435DD5D">
      <w:pPr>
        <w:pStyle w:val="4"/>
      </w:pPr>
      <w:r>
        <w:t>3. 多轮问答与上下文管理</w:t>
      </w:r>
    </w:p>
    <w:p w14:paraId="4F7A6612">
      <w:pPr>
        <w:pStyle w:val="16"/>
        <w:spacing w:after="160" w:line="280" w:lineRule="auto"/>
        <w:ind w:left="720" w:hanging="360"/>
      </w:pPr>
      <w:r>
        <w:rPr>
          <w:rFonts w:ascii="Arial Unicode MS" w:hAnsi="Arial Unicode MS" w:eastAsia="Arial Unicode MS"/>
          <w:color w:val="243447"/>
          <w:sz w:val="22"/>
        </w:rPr>
        <w:t>支持“再看上海”“改成去年”“只看前 20 名”等承接上一轮的快速筛选。</w:t>
      </w:r>
    </w:p>
    <w:p w14:paraId="61773C13">
      <w:pPr>
        <w:pStyle w:val="16"/>
        <w:spacing w:after="160" w:line="280" w:lineRule="auto"/>
        <w:ind w:left="720" w:hanging="360"/>
      </w:pPr>
      <w:r>
        <w:rPr>
          <w:rFonts w:ascii="Arial Unicode MS" w:hAnsi="Arial Unicode MS" w:eastAsia="Arial Unicode MS"/>
          <w:color w:val="243447"/>
          <w:sz w:val="22"/>
        </w:rPr>
        <w:t>同一会话内复用 BI Worker 和已有查询信息，避免每轮从头分析。</w:t>
      </w:r>
    </w:p>
    <w:p w14:paraId="037B779B">
      <w:pPr>
        <w:pStyle w:val="16"/>
        <w:spacing w:after="160" w:line="280" w:lineRule="auto"/>
        <w:ind w:left="720" w:hanging="360"/>
      </w:pPr>
      <w:r>
        <w:rPr>
          <w:rFonts w:ascii="Arial Unicode MS" w:hAnsi="Arial Unicode MS" w:eastAsia="Arial Unicode MS"/>
          <w:color w:val="243447"/>
          <w:sz w:val="22"/>
        </w:rPr>
        <w:t>较长会话自动压缩上下文，保留关键条件、业务口径和查询产物引用。</w:t>
      </w:r>
    </w:p>
    <w:p w14:paraId="2F5CF897">
      <w:pPr>
        <w:pStyle w:val="4"/>
      </w:pPr>
      <w:r>
        <w:t>4. 结果呈现与智能报告</w:t>
      </w:r>
    </w:p>
    <w:p w14:paraId="27603718">
      <w:pPr>
        <w:pStyle w:val="16"/>
        <w:spacing w:after="160" w:line="280" w:lineRule="auto"/>
        <w:ind w:left="720" w:hanging="360"/>
      </w:pPr>
      <w:r>
        <w:rPr>
          <w:rFonts w:ascii="Arial Unicode MS" w:hAnsi="Arial Unicode MS" w:eastAsia="Arial Unicode MS"/>
          <w:color w:val="243447"/>
          <w:sz w:val="22"/>
        </w:rPr>
        <w:t>简单问题直接返回结论和数据表格。</w:t>
      </w:r>
    </w:p>
    <w:p w14:paraId="116529CE">
      <w:pPr>
        <w:pStyle w:val="16"/>
        <w:spacing w:after="160" w:line="280" w:lineRule="auto"/>
        <w:ind w:left="720" w:hanging="360"/>
      </w:pPr>
      <w:r>
        <w:rPr>
          <w:rFonts w:ascii="Arial Unicode MS" w:hAnsi="Arial Unicode MS" w:eastAsia="Arial Unicode MS"/>
          <w:color w:val="243447"/>
          <w:sz w:val="22"/>
        </w:rPr>
        <w:t>复杂分析按需交给 Report Worker，生成结构化中文报告。</w:t>
      </w:r>
    </w:p>
    <w:p w14:paraId="33E1BB75">
      <w:pPr>
        <w:pStyle w:val="16"/>
        <w:spacing w:after="160" w:line="280" w:lineRule="auto"/>
        <w:ind w:left="720" w:hanging="360"/>
      </w:pPr>
      <w:r>
        <w:rPr>
          <w:rFonts w:ascii="Arial Unicode MS" w:hAnsi="Arial Unicode MS" w:eastAsia="Arial Unicode MS"/>
          <w:color w:val="243447"/>
          <w:sz w:val="22"/>
        </w:rPr>
        <w:t>根据结果类型选择表格、趋势图、对比图或流程图，图表失败时降级为表格。</w:t>
      </w:r>
    </w:p>
    <w:p w14:paraId="4C31D628">
      <w:pPr>
        <w:pStyle w:val="16"/>
        <w:spacing w:after="160" w:line="280" w:lineRule="auto"/>
        <w:ind w:left="720" w:hanging="360"/>
      </w:pPr>
      <w:r>
        <w:rPr>
          <w:rFonts w:ascii="Arial Unicode MS" w:hAnsi="Arial Unicode MS" w:eastAsia="Arial Unicode MS"/>
          <w:color w:val="243447"/>
          <w:sz w:val="22"/>
        </w:rPr>
        <w:t>用户可以查看结果产物、业务口径和安全处理摘要。</w:t>
      </w:r>
    </w:p>
    <w:p w14:paraId="4C9E3A10">
      <w:pPr>
        <w:pStyle w:val="4"/>
      </w:pPr>
      <w:r>
        <w:t>5. 安全、权限与可观测</w:t>
      </w:r>
    </w:p>
    <w:p w14:paraId="0F18F734">
      <w:pPr>
        <w:pStyle w:val="16"/>
        <w:spacing w:after="160" w:line="280" w:lineRule="auto"/>
        <w:ind w:left="720" w:hanging="360"/>
      </w:pPr>
      <w:r>
        <w:rPr>
          <w:rFonts w:ascii="Arial Unicode MS" w:hAnsi="Arial Unicode MS" w:eastAsia="Arial Unicode MS"/>
          <w:color w:val="243447"/>
          <w:sz w:val="22"/>
        </w:rPr>
        <w:t>落实字段级脱敏，覆盖对话、查询产物、详情查看和后续导出。</w:t>
      </w:r>
    </w:p>
    <w:p w14:paraId="0AC821DE">
      <w:pPr>
        <w:pStyle w:val="16"/>
        <w:spacing w:after="160" w:line="280" w:lineRule="auto"/>
        <w:ind w:left="720" w:hanging="360"/>
      </w:pPr>
      <w:r>
        <w:rPr>
          <w:rFonts w:ascii="Arial Unicode MS" w:hAnsi="Arial Unicode MS" w:eastAsia="Arial Unicode MS"/>
          <w:color w:val="243447"/>
          <w:sz w:val="22"/>
        </w:rPr>
        <w:t>建立查询权限与审计记录，能够回答“谁在什么时间查了什么”。</w:t>
      </w:r>
    </w:p>
    <w:p w14:paraId="192664FF">
      <w:pPr>
        <w:pStyle w:val="16"/>
        <w:spacing w:after="160" w:line="280" w:lineRule="auto"/>
        <w:ind w:left="720" w:hanging="360"/>
      </w:pPr>
      <w:r>
        <w:rPr>
          <w:rFonts w:ascii="Arial Unicode MS" w:hAnsi="Arial Unicode MS" w:eastAsia="Arial Unicode MS"/>
          <w:color w:val="243447"/>
          <w:sz w:val="22"/>
        </w:rPr>
        <w:t>以 task_id / trace_id 贯通 Leader、Worker、工具、数据库和结果产物。</w:t>
      </w:r>
    </w:p>
    <w:p w14:paraId="3E67CD0D">
      <w:pPr>
        <w:pStyle w:val="16"/>
        <w:spacing w:after="160" w:line="280" w:lineRule="auto"/>
        <w:ind w:left="720" w:hanging="360"/>
      </w:pPr>
      <w:r>
        <w:rPr>
          <w:rFonts w:ascii="Arial Unicode MS" w:hAnsi="Arial Unicode MS" w:eastAsia="Arial Unicode MS"/>
          <w:color w:val="243447"/>
          <w:sz w:val="22"/>
        </w:rPr>
        <w:t>区分用户层、运营工作台层和开发调试层，防止内部诊断信息泄露。</w:t>
      </w:r>
    </w:p>
    <w:p w14:paraId="2CD181F7">
      <w:r>
        <w:br w:type="page"/>
      </w:r>
    </w:p>
    <w:p w14:paraId="05B1B824">
      <w:pPr>
        <w:pStyle w:val="3"/>
      </w:pPr>
      <w:r>
        <w:t>五、阶段工作计划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1650"/>
        <w:gridCol w:w="3550"/>
        <w:gridCol w:w="2560"/>
      </w:tblGrid>
      <w:tr w14:paraId="63C8589A">
        <w:trPr>
          <w:tblHeader/>
        </w:trPr>
        <w:tc>
          <w:tcPr>
            <w:tcW w:w="16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6DC68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阶段</w:t>
            </w:r>
          </w:p>
        </w:tc>
        <w:tc>
          <w:tcPr>
            <w:tcW w:w="165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2E8E3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计划时间</w:t>
            </w:r>
          </w:p>
        </w:tc>
        <w:tc>
          <w:tcPr>
            <w:tcW w:w="355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90451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重点工作</w:t>
            </w:r>
          </w:p>
        </w:tc>
        <w:tc>
          <w:tcPr>
            <w:tcW w:w="256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F7064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主要交付</w:t>
            </w:r>
          </w:p>
        </w:tc>
      </w:tr>
      <w:tr w14:paraId="4CEA5449">
        <w:tc>
          <w:tcPr>
            <w:tcW w:w="1600" w:type="dxa"/>
          </w:tcPr>
          <w:p w14:paraId="67C30199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阶段一</w:t>
            </w:r>
            <w:r>
              <w:rPr>
                <w:rFonts w:ascii="Arial Unicode MS" w:hAnsi="Arial Unicode MS" w:eastAsia="Arial Unicode MS"/>
                <w:color w:val="243447"/>
                <w:sz w:val="18"/>
              </w:rPr>
              <w:br w:type="textWrapping"/>
            </w:r>
            <w:r>
              <w:rPr>
                <w:rFonts w:ascii="Arial Unicode MS" w:hAnsi="Arial Unicode MS" w:eastAsia="Arial Unicode MS"/>
                <w:color w:val="243447"/>
                <w:sz w:val="18"/>
              </w:rPr>
              <w:t>主链打通</w:t>
            </w:r>
          </w:p>
        </w:tc>
        <w:tc>
          <w:tcPr>
            <w:tcW w:w="1650" w:type="dxa"/>
          </w:tcPr>
          <w:p w14:paraId="50EFF5D1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已完成</w:t>
            </w:r>
          </w:p>
        </w:tc>
        <w:tc>
          <w:tcPr>
            <w:tcW w:w="3550" w:type="dxa"/>
          </w:tcPr>
          <w:p w14:paraId="66CF95EC"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AgentScope Agent Team、流式对话、QueryPlan 受控执行、查询产物、基础 Repair。</w:t>
            </w:r>
          </w:p>
        </w:tc>
        <w:tc>
          <w:tcPr>
            <w:tcW w:w="2560" w:type="dxa"/>
          </w:tcPr>
          <w:p w14:paraId="72CF03B7"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用户可以完成从提问到查询结果的完整流程。</w:t>
            </w:r>
          </w:p>
        </w:tc>
      </w:tr>
      <w:tr w14:paraId="0E86068A">
        <w:tc>
          <w:tcPr>
            <w:tcW w:w="1600" w:type="dxa"/>
          </w:tcPr>
          <w:p w14:paraId="6400C399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阶段二</w:t>
            </w:r>
            <w:r>
              <w:rPr>
                <w:rFonts w:ascii="Arial Unicode MS" w:hAnsi="Arial Unicode MS" w:eastAsia="Arial Unicode MS"/>
                <w:color w:val="243447"/>
                <w:sz w:val="18"/>
              </w:rPr>
              <w:br w:type="textWrapping"/>
            </w:r>
            <w:r>
              <w:rPr>
                <w:rFonts w:ascii="Arial Unicode MS" w:hAnsi="Arial Unicode MS" w:eastAsia="Arial Unicode MS"/>
                <w:color w:val="243447"/>
                <w:sz w:val="18"/>
              </w:rPr>
              <w:t>问数链路加固</w:t>
            </w:r>
          </w:p>
        </w:tc>
        <w:tc>
          <w:tcPr>
            <w:tcW w:w="1650" w:type="dxa"/>
          </w:tcPr>
          <w:p w14:paraId="4D7105C1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7 月中旬—</w:t>
            </w:r>
            <w:r>
              <w:rPr>
                <w:rFonts w:ascii="Arial Unicode MS" w:hAnsi="Arial Unicode MS" w:eastAsia="Arial Unicode MS"/>
                <w:color w:val="243447"/>
                <w:sz w:val="18"/>
              </w:rPr>
              <w:br w:type="textWrapping"/>
            </w:r>
            <w:r>
              <w:rPr>
                <w:rFonts w:ascii="Arial Unicode MS" w:hAnsi="Arial Unicode MS" w:eastAsia="Arial Unicode MS"/>
                <w:color w:val="243447"/>
                <w:sz w:val="18"/>
              </w:rPr>
              <w:t>8 月下旬</w:t>
            </w:r>
          </w:p>
        </w:tc>
        <w:tc>
          <w:tcPr>
            <w:tcW w:w="3550" w:type="dxa"/>
          </w:tcPr>
          <w:p w14:paraId="0FF12CDA"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表关系知识图谱、预编译 QueryPlan POC、会话内 Worker 复用、上下文压缩、多轮快速筛选、全链路追踪。</w:t>
            </w:r>
          </w:p>
        </w:tc>
        <w:tc>
          <w:tcPr>
            <w:tcW w:w="2560" w:type="dxa"/>
          </w:tcPr>
          <w:p w14:paraId="2F7AEE65"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复杂 Join 有明确关系依据；长会话可稳定运行；典型问题可追踪、可回归。</w:t>
            </w:r>
          </w:p>
        </w:tc>
      </w:tr>
      <w:tr w14:paraId="1CEA4FA9">
        <w:tc>
          <w:tcPr>
            <w:tcW w:w="1600" w:type="dxa"/>
          </w:tcPr>
          <w:p w14:paraId="3B1E8C52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阶段三</w:t>
            </w:r>
            <w:r>
              <w:rPr>
                <w:rFonts w:ascii="Arial Unicode MS" w:hAnsi="Arial Unicode MS" w:eastAsia="Arial Unicode MS"/>
                <w:color w:val="243447"/>
                <w:sz w:val="18"/>
              </w:rPr>
              <w:br w:type="textWrapping"/>
            </w:r>
            <w:r>
              <w:rPr>
                <w:rFonts w:ascii="Arial Unicode MS" w:hAnsi="Arial Unicode MS" w:eastAsia="Arial Unicode MS"/>
                <w:color w:val="243447"/>
                <w:sz w:val="18"/>
              </w:rPr>
              <w:t>语义、交互与安全</w:t>
            </w:r>
          </w:p>
        </w:tc>
        <w:tc>
          <w:tcPr>
            <w:tcW w:w="1650" w:type="dxa"/>
          </w:tcPr>
          <w:p w14:paraId="1BFF58FE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8 月下旬—</w:t>
            </w:r>
            <w:r>
              <w:rPr>
                <w:rFonts w:ascii="Arial Unicode MS" w:hAnsi="Arial Unicode MS" w:eastAsia="Arial Unicode MS"/>
                <w:color w:val="243447"/>
                <w:sz w:val="18"/>
              </w:rPr>
              <w:br w:type="textWrapping"/>
            </w:r>
            <w:r>
              <w:rPr>
                <w:rFonts w:ascii="Arial Unicode MS" w:hAnsi="Arial Unicode MS" w:eastAsia="Arial Unicode MS"/>
                <w:color w:val="243447"/>
                <w:sz w:val="18"/>
              </w:rPr>
              <w:t>9 月底</w:t>
            </w:r>
          </w:p>
        </w:tc>
        <w:tc>
          <w:tcPr>
            <w:tcW w:w="3550" w:type="dxa"/>
          </w:tcPr>
          <w:p w14:paraId="103D5A70"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业务本体和口径消歧、Tool UI、多智能体过程展示、Report Worker、字段脱敏、权限审计。</w:t>
            </w:r>
          </w:p>
        </w:tc>
        <w:tc>
          <w:tcPr>
            <w:tcW w:w="2560" w:type="dxa"/>
          </w:tcPr>
          <w:p w14:paraId="3C731759"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过程可理解；复杂结果可生成图表或报告；安全边界覆盖主链。</w:t>
            </w:r>
          </w:p>
        </w:tc>
      </w:tr>
      <w:tr w14:paraId="66EE3819">
        <w:tc>
          <w:tcPr>
            <w:tcW w:w="1600" w:type="dxa"/>
          </w:tcPr>
          <w:p w14:paraId="003670AF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阶段四</w:t>
            </w:r>
            <w:r>
              <w:rPr>
                <w:rFonts w:ascii="Arial Unicode MS" w:hAnsi="Arial Unicode MS" w:eastAsia="Arial Unicode MS"/>
                <w:color w:val="243447"/>
                <w:sz w:val="18"/>
              </w:rPr>
              <w:br w:type="textWrapping"/>
            </w:r>
            <w:r>
              <w:rPr>
                <w:rFonts w:ascii="Arial Unicode MS" w:hAnsi="Arial Unicode MS" w:eastAsia="Arial Unicode MS"/>
                <w:color w:val="243447"/>
                <w:sz w:val="18"/>
              </w:rPr>
              <w:t>P0 联调验收</w:t>
            </w:r>
          </w:p>
        </w:tc>
        <w:tc>
          <w:tcPr>
            <w:tcW w:w="1650" w:type="dxa"/>
          </w:tcPr>
          <w:p w14:paraId="40F12241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10 月上半月</w:t>
            </w:r>
          </w:p>
        </w:tc>
        <w:tc>
          <w:tcPr>
            <w:tcW w:w="3550" w:type="dxa"/>
          </w:tcPr>
          <w:p w14:paraId="60F98353"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代表性问题集回归、性能基线、安全扫描、失败恢复、前后端联调。</w:t>
            </w:r>
          </w:p>
        </w:tc>
        <w:tc>
          <w:tcPr>
            <w:tcW w:w="2560" w:type="dxa"/>
          </w:tcPr>
          <w:p w14:paraId="6A6D4328"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形成可重复执行的 P0 验收报告和问题清单。</w:t>
            </w:r>
          </w:p>
        </w:tc>
      </w:tr>
    </w:tbl>
    <w:p w14:paraId="1F652919">
      <w:pPr>
        <w:spacing w:after="40"/>
      </w:pPr>
    </w:p>
    <w:p w14:paraId="677E8584">
      <w:pPr>
        <w:spacing w:after="120" w:line="264" w:lineRule="auto"/>
      </w:pPr>
      <w:r>
        <w:rPr>
          <w:rFonts w:ascii="Arial Unicode MS" w:hAnsi="Arial Unicode MS" w:eastAsia="Arial Unicode MS"/>
          <w:color w:val="243447"/>
          <w:sz w:val="22"/>
        </w:rPr>
        <w:t>时间会根据数据准备、前后端联调和业务口径确认情况做小幅调整，但优先级不变：先确保问得准、查得对、能恢复，再扩展报告和平台化能力。</w:t>
      </w:r>
    </w:p>
    <w:p w14:paraId="4F9E6569">
      <w:pPr>
        <w:pStyle w:val="3"/>
      </w:pPr>
      <w:r>
        <w:t>六、验收口径</w:t>
      </w:r>
    </w:p>
    <w:p w14:paraId="322D0391">
      <w:pPr>
        <w:numPr>
          <w:ilvl w:val="0"/>
          <w:numId w:val="8"/>
        </w:numPr>
        <w:tabs>
          <w:tab w:val="left" w:pos="360"/>
        </w:tabs>
        <w:spacing w:after="160" w:line="280" w:lineRule="auto"/>
        <w:ind w:left="720" w:hanging="360"/>
      </w:pPr>
      <w:r>
        <w:rPr>
          <w:rFonts w:ascii="Arial Unicode MS" w:hAnsi="Arial Unicode MS" w:eastAsia="Arial Unicode MS"/>
          <w:b/>
          <w:color w:val="243447"/>
          <w:sz w:val="22"/>
        </w:rPr>
        <w:t>准确性：</w:t>
      </w:r>
      <w:r>
        <w:rPr>
          <w:rFonts w:ascii="Arial Unicode MS" w:hAnsi="Arial Unicode MS" w:eastAsia="Arial Unicode MS"/>
          <w:color w:val="243447"/>
          <w:sz w:val="22"/>
        </w:rPr>
        <w:t>建立不少于 20 条典型业务问题集，覆盖明细、指标、分组、排序、跨表和多轮追问。</w:t>
      </w:r>
    </w:p>
    <w:p w14:paraId="298F55C3">
      <w:pPr>
        <w:numPr>
          <w:ilvl w:val="0"/>
          <w:numId w:val="8"/>
        </w:numPr>
        <w:tabs>
          <w:tab w:val="left" w:pos="360"/>
        </w:tabs>
        <w:spacing w:after="160" w:line="280" w:lineRule="auto"/>
        <w:ind w:left="720" w:hanging="360"/>
      </w:pPr>
      <w:r>
        <w:rPr>
          <w:rFonts w:ascii="Arial Unicode MS" w:hAnsi="Arial Unicode MS" w:eastAsia="Arial Unicode MS"/>
          <w:b/>
          <w:color w:val="243447"/>
          <w:sz w:val="22"/>
        </w:rPr>
        <w:t>稳定性：</w:t>
      </w:r>
      <w:r>
        <w:rPr>
          <w:rFonts w:ascii="Arial Unicode MS" w:hAnsi="Arial Unicode MS" w:eastAsia="Arial Unicode MS"/>
          <w:color w:val="243447"/>
          <w:sz w:val="22"/>
        </w:rPr>
        <w:t>同一问题重复执行时结果口径一致；失败后有明确原因、安全摘要和恢复建议。</w:t>
      </w:r>
    </w:p>
    <w:p w14:paraId="4B2183A3">
      <w:pPr>
        <w:numPr>
          <w:ilvl w:val="0"/>
          <w:numId w:val="8"/>
        </w:numPr>
        <w:tabs>
          <w:tab w:val="left" w:pos="360"/>
        </w:tabs>
        <w:spacing w:after="160" w:line="280" w:lineRule="auto"/>
        <w:ind w:left="720" w:hanging="360"/>
      </w:pPr>
      <w:r>
        <w:rPr>
          <w:rFonts w:ascii="Arial Unicode MS" w:hAnsi="Arial Unicode MS" w:eastAsia="Arial Unicode MS"/>
          <w:b/>
          <w:color w:val="243447"/>
          <w:sz w:val="22"/>
        </w:rPr>
        <w:t>多轮能力：</w:t>
      </w:r>
      <w:r>
        <w:rPr>
          <w:rFonts w:ascii="Arial Unicode MS" w:hAnsi="Arial Unicode MS" w:eastAsia="Arial Unicode MS"/>
          <w:color w:val="243447"/>
          <w:sz w:val="22"/>
        </w:rPr>
        <w:t>连续追问时能正确继承指标、时间范围、维度和筛选条件。</w:t>
      </w:r>
    </w:p>
    <w:p w14:paraId="2AE5C26D">
      <w:pPr>
        <w:numPr>
          <w:ilvl w:val="0"/>
          <w:numId w:val="8"/>
        </w:numPr>
        <w:tabs>
          <w:tab w:val="left" w:pos="360"/>
        </w:tabs>
        <w:spacing w:after="160" w:line="280" w:lineRule="auto"/>
        <w:ind w:left="720" w:hanging="360"/>
      </w:pPr>
      <w:r>
        <w:rPr>
          <w:rFonts w:ascii="Arial Unicode MS" w:hAnsi="Arial Unicode MS" w:eastAsia="Arial Unicode MS"/>
          <w:b/>
          <w:color w:val="243447"/>
          <w:sz w:val="22"/>
        </w:rPr>
        <w:t>安全性：</w:t>
      </w:r>
      <w:r>
        <w:rPr>
          <w:rFonts w:ascii="Arial Unicode MS" w:hAnsi="Arial Unicode MS" w:eastAsia="Arial Unicode MS"/>
          <w:color w:val="243447"/>
          <w:sz w:val="22"/>
        </w:rPr>
        <w:t>用户层不泄露 SQL、Schema、原始报错、内部推理和无权限数据；敏感字段按规则脱敏。</w:t>
      </w:r>
    </w:p>
    <w:p w14:paraId="361FC420">
      <w:pPr>
        <w:numPr>
          <w:ilvl w:val="0"/>
          <w:numId w:val="8"/>
        </w:numPr>
        <w:tabs>
          <w:tab w:val="left" w:pos="360"/>
        </w:tabs>
        <w:spacing w:after="160" w:line="280" w:lineRule="auto"/>
        <w:ind w:left="720" w:hanging="360"/>
      </w:pPr>
      <w:r>
        <w:rPr>
          <w:rFonts w:ascii="Arial Unicode MS" w:hAnsi="Arial Unicode MS" w:eastAsia="Arial Unicode MS"/>
          <w:b/>
          <w:color w:val="243447"/>
          <w:sz w:val="22"/>
        </w:rPr>
        <w:t>可追溯性：</w:t>
      </w:r>
      <w:r>
        <w:rPr>
          <w:rFonts w:ascii="Arial Unicode MS" w:hAnsi="Arial Unicode MS" w:eastAsia="Arial Unicode MS"/>
          <w:color w:val="243447"/>
          <w:sz w:val="22"/>
        </w:rPr>
        <w:t>每次查询均可通过 task_id / trace_id 定位数据集、计划、工具执行和结果产物。</w:t>
      </w:r>
    </w:p>
    <w:p w14:paraId="4FF234EC">
      <w:pPr>
        <w:numPr>
          <w:ilvl w:val="0"/>
          <w:numId w:val="8"/>
        </w:numPr>
        <w:tabs>
          <w:tab w:val="left" w:pos="360"/>
        </w:tabs>
        <w:spacing w:after="160" w:line="280" w:lineRule="auto"/>
        <w:ind w:left="720" w:hanging="360"/>
      </w:pPr>
      <w:r>
        <w:rPr>
          <w:rFonts w:ascii="Arial Unicode MS" w:hAnsi="Arial Unicode MS" w:eastAsia="Arial Unicode MS"/>
          <w:b/>
          <w:color w:val="243447"/>
          <w:sz w:val="22"/>
        </w:rPr>
        <w:t>用户体验：</w:t>
      </w:r>
      <w:r>
        <w:rPr>
          <w:rFonts w:ascii="Arial Unicode MS" w:hAnsi="Arial Unicode MS" w:eastAsia="Arial Unicode MS"/>
          <w:color w:val="243447"/>
          <w:sz w:val="22"/>
        </w:rPr>
        <w:t>处理状态清晰但不暴露内部细节，结果能够以结论、表格或图表正常呈现。</w:t>
      </w:r>
    </w:p>
    <w:p w14:paraId="25224A82">
      <w:pPr>
        <w:pStyle w:val="3"/>
      </w:pPr>
      <w:r>
        <w:t>七、需要团队协同的事项</w:t>
      </w:r>
    </w:p>
    <w:p w14:paraId="0F9631BC">
      <w:pPr>
        <w:spacing w:after="120" w:line="264" w:lineRule="auto"/>
      </w:pPr>
      <w:r>
        <w:rPr>
          <w:rFonts w:ascii="Arial Unicode MS" w:hAnsi="Arial Unicode MS" w:eastAsia="Arial Unicode MS"/>
          <w:b/>
          <w:color w:val="243447"/>
          <w:sz w:val="22"/>
        </w:rPr>
        <w:t>业务侧：</w:t>
      </w:r>
      <w:r>
        <w:rPr>
          <w:rFonts w:ascii="Arial Unicode MS" w:hAnsi="Arial Unicode MS" w:eastAsia="Arial Unicode MS"/>
          <w:color w:val="243447"/>
          <w:sz w:val="22"/>
        </w:rPr>
        <w:t>提供高频问题、指标定义、特殊口径、口径冲突和预期答案。</w:t>
      </w:r>
    </w:p>
    <w:p w14:paraId="09CA3262">
      <w:pPr>
        <w:spacing w:after="120" w:line="264" w:lineRule="auto"/>
      </w:pPr>
      <w:r>
        <w:rPr>
          <w:rFonts w:ascii="Arial Unicode MS" w:hAnsi="Arial Unicode MS" w:eastAsia="Arial Unicode MS"/>
          <w:b/>
          <w:color w:val="243447"/>
          <w:sz w:val="22"/>
        </w:rPr>
        <w:t>数据侧：</w:t>
      </w:r>
      <w:r>
        <w:rPr>
          <w:rFonts w:ascii="Arial Unicode MS" w:hAnsi="Arial Unicode MS" w:eastAsia="Arial Unicode MS"/>
          <w:color w:val="243447"/>
          <w:sz w:val="22"/>
        </w:rPr>
        <w:t>确认表关系、主外键、字段语义、数据时效性</w:t>
      </w:r>
      <w:r>
        <w:rPr>
          <w:rFonts w:hint="eastAsia"/>
          <w:color w:val="243447"/>
          <w:sz w:val="22"/>
          <w:lang w:eastAsia="zh-CN"/>
        </w:rPr>
        <w:t>、</w:t>
      </w:r>
      <w:r>
        <w:rPr>
          <w:rFonts w:ascii="Arial Unicode MS" w:hAnsi="Arial Unicode MS" w:eastAsia="Arial Unicode MS"/>
          <w:color w:val="243447"/>
          <w:sz w:val="22"/>
        </w:rPr>
        <w:t>敏感字段范围</w:t>
      </w:r>
      <w:r>
        <w:rPr>
          <w:rFonts w:hint="eastAsia"/>
          <w:color w:val="243447"/>
          <w:sz w:val="22"/>
          <w:lang w:val="en-US" w:eastAsia="zh-CN"/>
        </w:rPr>
        <w:t>和安全数据</w:t>
      </w:r>
      <w:r>
        <w:rPr>
          <w:rFonts w:ascii="Arial Unicode MS" w:hAnsi="Arial Unicode MS" w:eastAsia="Arial Unicode MS"/>
          <w:color w:val="243447"/>
          <w:sz w:val="22"/>
        </w:rPr>
        <w:t>。</w:t>
      </w:r>
    </w:p>
    <w:p w14:paraId="6F840FB9">
      <w:pPr>
        <w:spacing w:after="120" w:line="264" w:lineRule="auto"/>
        <w:rPr>
          <w:rFonts w:ascii="Arial Unicode MS" w:hAnsi="Arial Unicode MS" w:eastAsia="Arial Unicode MS"/>
          <w:color w:val="243447"/>
          <w:sz w:val="22"/>
        </w:rPr>
      </w:pPr>
      <w:r>
        <w:rPr>
          <w:rFonts w:ascii="Arial Unicode MS" w:hAnsi="Arial Unicode MS" w:eastAsia="Arial Unicode MS"/>
          <w:b/>
          <w:color w:val="243447"/>
          <w:sz w:val="22"/>
        </w:rPr>
        <w:t>测试侧：</w:t>
      </w:r>
      <w:r>
        <w:rPr>
          <w:rFonts w:ascii="Arial Unicode MS" w:hAnsi="Arial Unicode MS" w:eastAsia="Arial Unicode MS"/>
          <w:color w:val="243447"/>
          <w:sz w:val="22"/>
        </w:rPr>
        <w:t>共建标准问题集，覆盖正常、歧义、越权、敏感数据、长会话和数据库异常。</w:t>
      </w:r>
    </w:p>
    <w:p w14:paraId="27A454F6">
      <w:pPr>
        <w:spacing w:after="120" w:line="264" w:lineRule="auto"/>
        <w:rPr>
          <w:rFonts w:hint="default" w:ascii="Arial Unicode MS" w:hAnsi="Arial Unicode MS" w:eastAsia="Arial Unicode MS"/>
          <w:b/>
          <w:color w:val="243447"/>
          <w:sz w:val="22"/>
          <w:lang w:val="en-US" w:eastAsia="zh-CN"/>
        </w:rPr>
      </w:pPr>
      <w:r>
        <w:rPr>
          <w:rFonts w:hint="eastAsia" w:ascii="Arial Unicode MS" w:hAnsi="Arial Unicode MS" w:eastAsia="Arial Unicode MS"/>
          <w:b/>
          <w:color w:val="243447"/>
          <w:sz w:val="22"/>
          <w:lang w:val="en-US" w:eastAsia="zh-CN"/>
        </w:rPr>
        <w:t>AI侧：提供大模型连接API Key以及模型进行标准化测试。</w:t>
      </w:r>
    </w:p>
    <w:p w14:paraId="429F69C5">
      <w:pPr>
        <w:pStyle w:val="3"/>
      </w:pPr>
      <w:r>
        <w:t>八、主要风险与应对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2700"/>
        <w:gridCol w:w="4860"/>
      </w:tblGrid>
      <w:tr w14:paraId="3C91C51B">
        <w:trPr>
          <w:tblHeader/>
        </w:trPr>
        <w:tc>
          <w:tcPr>
            <w:tcW w:w="18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AD585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风险</w:t>
            </w:r>
          </w:p>
        </w:tc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AB7F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典型表现</w:t>
            </w:r>
          </w:p>
        </w:tc>
        <w:tc>
          <w:tcPr>
            <w:tcW w:w="486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8080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应对方式</w:t>
            </w:r>
          </w:p>
        </w:tc>
      </w:tr>
      <w:tr w14:paraId="48187ABD">
        <w:tc>
          <w:tcPr>
            <w:tcW w:w="1800" w:type="dxa"/>
          </w:tcPr>
          <w:p w14:paraId="191E89ED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业务口径不清</w:t>
            </w:r>
          </w:p>
        </w:tc>
        <w:tc>
          <w:tcPr>
            <w:tcW w:w="2700" w:type="dxa"/>
          </w:tcPr>
          <w:p w14:paraId="32C8B16F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同一问题有多个答案。</w:t>
            </w:r>
          </w:p>
        </w:tc>
        <w:tc>
          <w:tcPr>
            <w:tcW w:w="4860" w:type="dxa"/>
          </w:tcPr>
          <w:p w14:paraId="1CA28F43"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通过指标、术语和本体管理口径；有歧义时要求用户确认。</w:t>
            </w:r>
          </w:p>
        </w:tc>
      </w:tr>
      <w:tr w14:paraId="5B340A34">
        <w:tc>
          <w:tcPr>
            <w:tcW w:w="1800" w:type="dxa"/>
          </w:tcPr>
          <w:p w14:paraId="32BA004A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表关系不完整</w:t>
            </w:r>
          </w:p>
        </w:tc>
        <w:tc>
          <w:tcPr>
            <w:tcW w:w="2700" w:type="dxa"/>
          </w:tcPr>
          <w:p w14:paraId="63A1221F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跨表查询结果错误或重复。</w:t>
            </w:r>
          </w:p>
        </w:tc>
        <w:tc>
          <w:tcPr>
            <w:tcW w:w="4860" w:type="dxa"/>
          </w:tcPr>
          <w:p w14:paraId="38A3ABEB"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建设表关系知识图谱，Join Key 由人员可审核维护。</w:t>
            </w:r>
          </w:p>
        </w:tc>
      </w:tr>
      <w:tr w14:paraId="027AA6BA">
        <w:tc>
          <w:tcPr>
            <w:tcW w:w="1800" w:type="dxa"/>
          </w:tcPr>
          <w:p w14:paraId="6A7BF978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模型输出不稳定</w:t>
            </w:r>
          </w:p>
        </w:tc>
        <w:tc>
          <w:tcPr>
            <w:tcW w:w="2700" w:type="dxa"/>
          </w:tcPr>
          <w:p w14:paraId="58DC17A2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查询计划缺字段或条件。</w:t>
            </w:r>
          </w:p>
        </w:tc>
        <w:tc>
          <w:tcPr>
            <w:tcW w:w="4860" w:type="dxa"/>
          </w:tcPr>
          <w:p w14:paraId="31B382F0"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使用结构化 QueryPlan、契约校验、预编译计划和 Repair 机制。</w:t>
            </w:r>
          </w:p>
        </w:tc>
      </w:tr>
      <w:tr w14:paraId="505214B7">
        <w:tc>
          <w:tcPr>
            <w:tcW w:w="1800" w:type="dxa"/>
          </w:tcPr>
          <w:p w14:paraId="148EADAA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长会话成本上升</w:t>
            </w:r>
          </w:p>
        </w:tc>
        <w:tc>
          <w:tcPr>
            <w:tcW w:w="2700" w:type="dxa"/>
          </w:tcPr>
          <w:p w14:paraId="6830FC8A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响应慢、Token 超限。</w:t>
            </w:r>
          </w:p>
        </w:tc>
        <w:tc>
          <w:tcPr>
            <w:tcW w:w="4860" w:type="dxa"/>
          </w:tcPr>
          <w:p w14:paraId="31CB3816"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上下文压缩、结果外部化、Worker 复用和快速筛选。</w:t>
            </w:r>
          </w:p>
        </w:tc>
      </w:tr>
      <w:tr w14:paraId="4CC758E1">
        <w:tc>
          <w:tcPr>
            <w:tcW w:w="1800" w:type="dxa"/>
          </w:tcPr>
          <w:p w14:paraId="6E91D32B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内部信息泄露</w:t>
            </w:r>
          </w:p>
        </w:tc>
        <w:tc>
          <w:tcPr>
            <w:tcW w:w="2700" w:type="dxa"/>
          </w:tcPr>
          <w:p w14:paraId="4C1C0E83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页面出现 SQL、库表或原始报错。</w:t>
            </w:r>
          </w:p>
        </w:tc>
        <w:tc>
          <w:tcPr>
            <w:tcW w:w="4860" w:type="dxa"/>
          </w:tcPr>
          <w:p w14:paraId="5D330700"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用户层、工作台层、调试层三层分流，默认最小暴露。</w:t>
            </w:r>
          </w:p>
        </w:tc>
      </w:tr>
      <w:tr w14:paraId="404BB18F">
        <w:tc>
          <w:tcPr>
            <w:tcW w:w="1800" w:type="dxa"/>
          </w:tcPr>
          <w:p w14:paraId="70A17AD1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演示与真实数据差异</w:t>
            </w:r>
          </w:p>
        </w:tc>
        <w:tc>
          <w:tcPr>
            <w:tcW w:w="2700" w:type="dxa"/>
          </w:tcPr>
          <w:p w14:paraId="7D1A26E9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测试通过但现场效果不稳。</w:t>
            </w:r>
          </w:p>
        </w:tc>
        <w:tc>
          <w:tcPr>
            <w:tcW w:w="4860" w:type="dxa"/>
          </w:tcPr>
          <w:p w14:paraId="633C1C9F"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尽早建立真实问题集和固定测试数据，每阶段做端到端回归。</w:t>
            </w:r>
          </w:p>
        </w:tc>
      </w:tr>
    </w:tbl>
    <w:p w14:paraId="2E8820F1">
      <w:pPr>
        <w:spacing w:after="40"/>
      </w:pPr>
    </w:p>
    <w:p w14:paraId="61392E30">
      <w:pPr>
        <w:pStyle w:val="3"/>
      </w:pPr>
      <w:r>
        <w:t>九、给团队的简短说明</w:t>
      </w:r>
    </w:p>
    <w:p w14:paraId="4419E038">
      <w:pPr>
        <w:pBdr>
          <w:left w:val="single" w:color="2E74B5" w:sz="18" w:space="8"/>
        </w:pBdr>
        <w:shd w:val="clear" w:fill="EAF2F8"/>
        <w:spacing w:before="40" w:after="200" w:line="288" w:lineRule="auto"/>
        <w:ind w:left="180" w:right="120"/>
      </w:pPr>
      <w:r>
        <w:rPr>
          <w:rFonts w:ascii="Arial Unicode MS" w:hAnsi="Arial Unicode MS" w:eastAsia="Arial Unicode MS"/>
          <w:color w:val="243447"/>
          <w:sz w:val="22"/>
        </w:rPr>
        <w:t>智能问答这块已经完成基础主链，当前重点是把“能查”提升到“查得准、查得稳、能追问、可追溯、可审计”。方案上以 AgentScope Agent Team 为统一主链，由 Leader Agent 负责理解和调度，BI Worker 负责生成并执行受控查询计划，复杂结果按需由 Report Worker 生成报告。近期优先完成表关系、口径消歧、多轮上下文、查询稳定性和全链路追踪，再完成报告、图表、脱敏、审计和统一验收。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iti SC Medium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E6CBA6C"/>
    <w:rsid w:val="4F9D4306"/>
    <w:rsid w:val="BEFF012E"/>
    <w:rsid w:val="E7DE9AE7"/>
    <w:rsid w:val="FD7BB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Arial Unicode MS" w:hAnsi="Arial Unicode MS" w:eastAsia="Arial Unicode MS" w:cstheme="minorBidi"/>
      <w:color w:val="243447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Arial Unicode MS" w:hAnsi="Arial Unicode MS" w:eastAsia="Arial Unicode MS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Arial Unicode MS" w:hAnsi="Arial Unicode MS" w:eastAsia="Arial Unicode MS"/>
      <w:sz w:val="22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Office_12.1.26030.26030_F1E327BC-269C-435d-A152-05C5408002CA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杨凯</dc:creator>
  <dc:description>根据项目当前 AS-R0 架构与 2026 下半年工作计划整理。</dc:description>
  <cp:keywords>数语, Datalogue, 智能问答, 智能问数, AgentScope</cp:keywords>
  <cp:lastModifiedBy>Suave</cp:lastModifiedBy>
  <dcterms:modified xsi:type="dcterms:W3CDTF">2026-07-16T16:29:12Z</dcterms:modified>
  <dc:subject>团队沟通版工作计划与技术方案</dc:subject>
  <dc:title>数语智能问答工作计划与方案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orkspaceId">
    <vt:lpwstr>0ce15506</vt:lpwstr>
  </property>
  <property fmtid="{D5CDD505-2E9C-101B-9397-08002B2CF9AE}" pid="3" name="panelId">
    <vt:i4>1</vt:i4>
  </property>
  <property fmtid="{D5CDD505-2E9C-101B-9397-08002B2CF9AE}" pid="4" name="KSOProductBuildVer">
    <vt:lpwstr>2052-12.1.26030.26030</vt:lpwstr>
  </property>
  <property fmtid="{D5CDD505-2E9C-101B-9397-08002B2CF9AE}" pid="5" name="ICV">
    <vt:lpwstr>732F854537EB5D635896586AAF704C7F_42</vt:lpwstr>
  </property>
</Properties>
</file>