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 w:line="300" w:lineRule="auto"/>
        <w:jc w:val="center"/>
      </w:pPr>
      <w:r>
        <w:rPr>
          <w:rFonts w:ascii="Calibri" w:hAnsi="Calibri" w:eastAsia="Microsoft YaHei"/>
          <w:b/>
          <w:color w:val="2E74B5"/>
          <w:sz w:val="22"/>
        </w:rPr>
        <w:t>操作手册</w:t>
      </w:r>
    </w:p>
    <w:p>
      <w:pPr>
        <w:spacing w:after="160" w:line="300" w:lineRule="auto"/>
        <w:jc w:val="center"/>
      </w:pPr>
      <w:r>
        <w:rPr>
          <w:rFonts w:ascii="Calibri" w:hAnsi="Calibri" w:eastAsia="Microsoft YaHei"/>
          <w:b/>
          <w:color w:val="1F4D78"/>
          <w:sz w:val="56"/>
        </w:rPr>
        <w:t>数语多智能体产品用户手册</w:t>
      </w:r>
    </w:p>
    <w:p>
      <w:pPr>
        <w:spacing w:after="680" w:line="300" w:lineRule="auto"/>
        <w:jc w:val="center"/>
      </w:pPr>
      <w:r>
        <w:rPr>
          <w:rFonts w:ascii="Calibri" w:hAnsi="Calibri" w:eastAsia="Microsoft YaHei"/>
          <w:b w:val="0"/>
          <w:color w:val="566476"/>
          <w:sz w:val="28"/>
        </w:rPr>
        <w:t>基于真实页面截图的功能说明与操作步骤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适用对象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问数用户、数据分析师、数据管理员、交付培训人员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截图来源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本地运行页面 http://localhost:5173，截图时间 2026-06-12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手册目标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帮助用户知道每个页面有哪些功能、从哪里进入、如何操作、如何判断结果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文档格式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Microsoft Word DOCX</w:t>
            </w:r>
          </w:p>
        </w:tc>
      </w:tr>
    </w:tbl>
    <w:p>
      <w:pPr>
        <w:spacing w:after="1000" w:line="300" w:lineRule="auto"/>
      </w:pPr>
    </w:p>
    <w:p>
      <w:pPr>
        <w:spacing w:after="40" w:line="300" w:lineRule="auto"/>
        <w:jc w:val="center"/>
      </w:pPr>
      <w:r>
        <w:rPr>
          <w:rFonts w:ascii="Calibri" w:hAnsi="Calibri" w:eastAsia="Microsoft YaHei"/>
          <w:b w:val="0"/>
          <w:color w:val="566476"/>
          <w:sz w:val="21"/>
        </w:rPr>
        <w:t>维护人：yangkai / KenYang</w:t>
      </w:r>
    </w:p>
    <w:p>
      <w:pPr>
        <w:spacing w:after="0" w:line="300" w:lineRule="auto"/>
        <w:jc w:val="center"/>
      </w:pPr>
      <w:r>
        <w:rPr>
          <w:rFonts w:ascii="Calibri" w:hAnsi="Calibri" w:eastAsia="Microsoft YaHei"/>
          <w:b w:val="0"/>
          <w:color w:val="566476"/>
          <w:sz w:val="21"/>
        </w:rPr>
        <w:t>生成日期：2026-06-12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目录</w:t>
      </w:r>
    </w:p>
    <w:p>
      <w:pPr>
        <w:spacing w:after="80"/>
      </w:pPr>
      <w:r>
        <w:rPr>
          <w:rFonts w:ascii="Calibri" w:hAnsi="Calibri" w:eastAsia="Microsoft YaHei"/>
          <w:color w:val="0F172A"/>
          <w:sz w:val="21"/>
        </w:rPr>
        <w:t>1. 使用前先了解：页面结构与角色分工</w:t>
      </w:r>
    </w:p>
    <w:p>
      <w:pPr>
        <w:spacing w:after="80"/>
      </w:pPr>
      <w:r>
        <w:rPr>
          <w:rFonts w:ascii="Calibri" w:hAnsi="Calibri" w:eastAsia="Microsoft YaHei"/>
          <w:color w:val="0F172A"/>
          <w:sz w:val="21"/>
        </w:rPr>
        <w:t>2. 工作台：进入系统后的总览页</w:t>
      </w:r>
    </w:p>
    <w:p>
      <w:pPr>
        <w:spacing w:after="80"/>
      </w:pPr>
      <w:r>
        <w:rPr>
          <w:rFonts w:ascii="Calibri" w:hAnsi="Calibri" w:eastAsia="Microsoft YaHei"/>
          <w:color w:val="0F172A"/>
          <w:sz w:val="21"/>
        </w:rPr>
        <w:t>3. 对话问数：提出问题并查看 AI 回答</w:t>
      </w:r>
    </w:p>
    <w:p>
      <w:pPr>
        <w:spacing w:after="80"/>
      </w:pPr>
      <w:r>
        <w:rPr>
          <w:rFonts w:ascii="Calibri" w:hAnsi="Calibri" w:eastAsia="Microsoft YaHei"/>
          <w:color w:val="0F172A"/>
          <w:sz w:val="21"/>
        </w:rPr>
        <w:t>4. 数据集 &amp; 指标：维护语义能力和分析蓝图</w:t>
      </w:r>
    </w:p>
    <w:p>
      <w:pPr>
        <w:spacing w:after="80"/>
      </w:pPr>
      <w:r>
        <w:rPr>
          <w:rFonts w:ascii="Calibri" w:hAnsi="Calibri" w:eastAsia="Microsoft YaHei"/>
          <w:color w:val="0F172A"/>
          <w:sz w:val="21"/>
        </w:rPr>
        <w:t>5. 数据源：接入数据库并同步表结构</w:t>
      </w:r>
    </w:p>
    <w:p>
      <w:pPr>
        <w:spacing w:after="80"/>
      </w:pPr>
      <w:r>
        <w:rPr>
          <w:rFonts w:ascii="Calibri" w:hAnsi="Calibri" w:eastAsia="Microsoft YaHei"/>
          <w:color w:val="0F172A"/>
          <w:sz w:val="21"/>
        </w:rPr>
        <w:t>6. 查询审计：回看 Trace、SQL、成本和失败原因</w:t>
      </w:r>
    </w:p>
    <w:p>
      <w:pPr>
        <w:spacing w:after="80"/>
      </w:pPr>
      <w:r>
        <w:rPr>
          <w:rFonts w:ascii="Calibri" w:hAnsi="Calibri" w:eastAsia="Microsoft YaHei"/>
          <w:color w:val="0F172A"/>
          <w:sz w:val="21"/>
        </w:rPr>
        <w:t>7. 查询历史：复用过往会话</w:t>
      </w:r>
    </w:p>
    <w:p>
      <w:pPr>
        <w:spacing w:after="80"/>
      </w:pPr>
      <w:r>
        <w:rPr>
          <w:rFonts w:ascii="Calibri" w:hAnsi="Calibri" w:eastAsia="Microsoft YaHei"/>
          <w:color w:val="0F172A"/>
          <w:sz w:val="21"/>
        </w:rPr>
        <w:t>8. API 接口：把问数能力发布给系统调用</w:t>
      </w:r>
    </w:p>
    <w:p>
      <w:pPr>
        <w:spacing w:after="80"/>
      </w:pPr>
      <w:r>
        <w:rPr>
          <w:rFonts w:ascii="Calibri" w:hAnsi="Calibri" w:eastAsia="Microsoft YaHei"/>
          <w:color w:val="0F172A"/>
          <w:sz w:val="21"/>
        </w:rPr>
        <w:t>9. 系统设置：账号、安全、模型与集成配置</w:t>
      </w:r>
    </w:p>
    <w:p>
      <w:pPr>
        <w:spacing w:after="80"/>
      </w:pPr>
      <w:r>
        <w:rPr>
          <w:rFonts w:ascii="Calibri" w:hAnsi="Calibri" w:eastAsia="Microsoft YaHei"/>
          <w:color w:val="0F172A"/>
          <w:sz w:val="21"/>
        </w:rPr>
        <w:t>10. 常见操作检查清单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使用前先了解：页面结构与角色分工</w:t>
      </w:r>
    </w:p>
    <w:p>
      <w:pPr>
        <w:spacing w:line="300" w:lineRule="auto"/>
      </w:pPr>
      <w:r>
        <w:rPr>
          <w:rFonts w:ascii="Calibri" w:hAnsi="Calibri" w:eastAsia="Microsoft YaHei"/>
          <w:b w:val="0"/>
          <w:color w:val="0F172A"/>
          <w:sz w:val="22"/>
        </w:rPr>
        <w:t>数语的日常操作围绕左侧导航展开。普通用户主要使用“对话问数、查询历史、我的收藏”；数据分析师主要使用“数据集 &amp; 指标、知识库、审核队列”；管理员和运维人员主要使用“数据源、查询审计、系统设置”。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本手册的阅读方式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F172A"/>
                <w:sz w:val="20"/>
              </w:rPr>
              <w:t>每一章都按真实页面截图说明：先看页面上有哪些区域，再按步骤操作，最后用“操作完成后看什么”判断是否成功。截图来自当前本地运行页面，真实数据、数量和 trace 会随环境变化。</w:t>
            </w:r>
          </w:p>
        </w:tc>
      </w:tr>
    </w:tbl>
    <w:p>
      <w:pPr>
        <w:spacing w:after="80" w:line="300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200"/>
        <w:gridCol w:w="42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功能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在哪里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什么时候用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新的问数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左侧顶部按钮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开始一个新的自然语言问数会话。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对话问数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问数中心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输入问题、查看回答、SQL、图表和推理过程。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数据集 &amp; 指标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语义治理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维护数据表、字段、指标、维度、蓝图和 Manifest。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数据源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数据连接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配置数据库连接、测试连接、同步 Schema。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查询审计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系统管理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定位失败、回看 trace、检查 SQL 和成本。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系统设置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系统管理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维护账号、权限、模型、API 密钥和 Webhooks。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工作台：进入系统后的总览页</w:t>
      </w:r>
    </w:p>
    <w:p>
      <w:pPr>
        <w:spacing w:line="300" w:lineRule="auto"/>
      </w:pPr>
      <w:r>
        <w:rPr>
          <w:rFonts w:ascii="Calibri" w:hAnsi="Calibri" w:eastAsia="Microsoft YaHei"/>
          <w:b w:val="0"/>
          <w:color w:val="0F172A"/>
          <w:sz w:val="22"/>
        </w:rPr>
        <w:t>工作台是进入系统后的总览页，用于快速理解当前工作空间、近期指标、待处理事项和常用入口。</w:t>
      </w: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1：工作台首页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93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worksp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怎么用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登录后默认进入“工作台”，先查看左侧导航确认当前账号和工作区。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查看页面中的关键指标、待办提醒和快捷入口，判断今天需要处理的问数、治理或审计事项。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如果要开始问数，点击左侧“新的问数”或“对话问数”。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如果要治理语义资产，点击“数据集 &amp; 指标”；如果要排查链路，点击“查询审计”。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操作完成后看什么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左侧导航高亮当前所在页面。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工作台中的卡片能反映当前系统状态，入口按钮能跳转到对应页面。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右上角通知角标提示还有未处理消息。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注意事项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工作台适合看全局状态，不适合做具体数据治理；具体配置需要进入对应功能页。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对话问数：提出问题并查看 AI 回答</w:t>
      </w:r>
    </w:p>
    <w:p>
      <w:pPr>
        <w:spacing w:line="300" w:lineRule="auto"/>
      </w:pPr>
      <w:r>
        <w:rPr>
          <w:rFonts w:ascii="Calibri" w:hAnsi="Calibri" w:eastAsia="Microsoft YaHei"/>
          <w:b w:val="0"/>
          <w:color w:val="0F172A"/>
          <w:sz w:val="22"/>
        </w:rPr>
        <w:t>对话问数是终端用户的核心页面。用户用自然语言描述业务问题，系统会完成意图识别、数据集路由、SQL 生成、SQL 执行、结果解释和可视化建议。</w:t>
      </w: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2：对话问数首页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931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hat-emp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3.1 页面区域与功能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600"/>
        <w:gridCol w:w="5260"/>
      </w:tblGrid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区域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具体功能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操作说明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左侧最近对话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查看和继续历史会话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点击会话标题可回到原对话；业务主题变化较大时建议点击“新的问数”重新开始。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中间欢迎区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展示可直接点击的示例问题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适合新用户快速体验问数能力，也可作为问题写法参考。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输入框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输入自然语言问题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问题尽量包含对象、时间、指标和拆分维度，例如“近 30 天各部门任务完成趋势”。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输入区控件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限定数据集、时间范围和分析深度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当问题涉及特定业务域时先选择数据集；需要更稳结果时提高分析深度。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推理过程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查看 Agent 执行链路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用于检查系统是否选对数据集、是否正确生成 DSL/SQL、是否有 SQL Guard 或失败回退。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保存到看板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把稳定回答沉淀为看板素材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适合周期性查看的固定问题；保存前应确认 SQL 和结果口径。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发布为接口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把稳定问数发布给外部系统调用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只建议对口径稳定、参数清晰、权限明确的问题使用。</w:t>
            </w:r>
          </w:p>
        </w:tc>
      </w:tr>
    </w:tbl>
    <w:p>
      <w:pPr>
        <w:spacing w:after="4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3.2 标准问数流程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点击左侧“新的问数”或进入“对话问数”。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输入业务问题，避免只写“分析一下”“看下情况”这类缺少对象和指标的问题。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按需选择数据集范围、时间范围或分析深度。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点击发送，等待 AI 返回回答、表格、图表、SQL 或风险提示。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点击“推理过程”核对入口识别、数据集路由、字段召回、SQL 编译和执行结果。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如果回答稳定且需要复用，可先保存到看板。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如果需要给外部系统调用，再发布为接口；如果回答异常，进入查询审计排查 trace。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3.3 结果确认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回答必须引用具体数据结果，而不是只有泛泛建议。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SQL、图表和文字解释的指标口径应一致。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如果系统给出候选数据集、候选字段或风险提示，用户需要先确认后再采纳结论。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数据集 &amp; 指标：维护语义能力和分析蓝图</w:t>
      </w:r>
    </w:p>
    <w:p>
      <w:pPr>
        <w:spacing w:line="300" w:lineRule="auto"/>
      </w:pPr>
      <w:r>
        <w:rPr>
          <w:rFonts w:ascii="Calibri" w:hAnsi="Calibri" w:eastAsia="Microsoft YaHei"/>
          <w:b w:val="0"/>
          <w:color w:val="0F172A"/>
          <w:sz w:val="22"/>
        </w:rPr>
        <w:t>数据集页用于把物理表、字段、指标、维度、业务术语、分析蓝图和数据集路由契约组织成可被 Agent 使用的语义能力。这里不是单一页面，而是一组治理工作台，用户需要通过多个 Tab 分步完成。</w:t>
      </w: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3：数据集语义能力与分析蓝图工作台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931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atasets-bluepri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4.1 进入与全局操作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左侧数据集列表用于切换当前维护对象，当前数据集会在页面标题和列表中高亮。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顶部“导入 YAML / 导出 YAML”用于批量迁移或备份语义配置。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顶部“同步表结构”用于从数据源刷新表和字段；字段变化后应先同步，再继续字段标注、指标、维度维护。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顶部“AI 自动标注”用于让系统生成字段初标，生成后仍需要人工审核。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顶部“新建数据集”用于创建新的语义治理单元。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4.2 数据集主 Tab 功能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50"/>
        <w:gridCol w:w="2850"/>
        <w:gridCol w:w="5360"/>
      </w:tblGrid>
      <w:t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Tab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用途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操作与验收</w:t>
            </w:r>
          </w:p>
        </w:tc>
      </w:tr>
      <w:t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数据表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决定哪些物理表进入当前数据集语义层。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搜索表名并勾选需要纳入问数的表；点击表名查看字段和数据预览。完成后确认已选表数量正确，无关表没有被勾选。</w:t>
            </w:r>
          </w:p>
        </w:tc>
      </w:tr>
      <w:t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字段标注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维护字段中文含义、字段角色和治理状态。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按表、角色、来源筛选字段；点击 AI 自动标注；对候选指标、维度、时间字段、ID 字段逐条确认或忽略。完成后字段状态应变为已确认。</w:t>
            </w:r>
          </w:p>
        </w:tc>
      </w:tr>
      <w:t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指标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沉淀可复用的度量口径。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新建或编辑指标，填写名称、主表、表达式、时间字段和同义词；也可从候选字段快速创建。完成后问数链路应能召回该指标。</w:t>
            </w:r>
          </w:p>
        </w:tc>
      </w:tr>
      <w:t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维度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沉淀可用于分组、筛选和关联的分析维度。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新建或编辑维度，填写字段、表、关联字段、枚举值和同义词。完成后维度字段和关联关系应正确。</w:t>
            </w:r>
          </w:p>
        </w:tc>
      </w:tr>
      <w:t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分析蓝图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沉淀复杂分析能力。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点击新建蓝图，选择 SQL 导入或业务描述生成。发布前检查参数、输出列和测试；发布后确认状态、版本、触发词和最近验证时间。</w:t>
            </w:r>
          </w:p>
        </w:tc>
      </w:tr>
      <w:t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语义验证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用自然语言问题验证路由、字段召回和 SQL 生成。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保存验证问题并运行自检，观察数据集路由、资产命中、SQL 和失败原因。失败用例要回流到字段标注、词典或蓝图。</w:t>
            </w:r>
          </w:p>
        </w:tc>
      </w:tr>
    </w:tbl>
    <w:p>
      <w:pPr>
        <w:spacing w:after="40" w:line="300" w:lineRule="auto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4.2.1 主 Tab 页面截图</w:t>
      </w: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3-1：数据表 Tab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3693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dataset-tables-ta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69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3-2：字段标注 Tab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3693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dataset-field-annotation-ta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69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3-3：指标 Tab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3693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dataset-metrics-ta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69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3-4：维度 Tab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3693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dataset-dimensions-ta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69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3-5：分析蓝图 Tab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3693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dataset-analysis-blueprints-ta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69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3-6：语义验证 Tab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3693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dataset-validation-ta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69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r>
        <w:br w:type="page"/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4.3 高级治理 Tab 功能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50"/>
        <w:gridCol w:w="3350"/>
        <w:gridCol w:w="4560"/>
      </w:tblGrid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Tab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解决什么问题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关键操作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SubAgent Manifest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定义当前数据集作为 SubAgent 能力被 LeadAgent 路由时的契约。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维护业务域、数据集描述、样例问题、负向样例和路由自检；保存草稿后再发布当前版本。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语义词典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维护业务术语、别名、口径说明和冲突检测。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新增术语，绑定指标/维度/字段；使用冲突检测识别一词多义；对 AI 建议的别名进行人工采纳。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分析场景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组织业务场景级别的分析入口。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把一组问题、蓝图和业务说明组合成场景，便于用户按业务主题使用。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权限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控制数据集和语义资产的可见与可用范围。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设置哪些角色或成员可查看、维护、发布或调用当前数据集。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版本历史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追踪语义配置、Manifest 和蓝图的变更。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查看历史版本、发布时间、变更说明；必要时用于回滚或审计。</w:t>
            </w:r>
          </w:p>
        </w:tc>
      </w:tr>
    </w:tbl>
    <w:p>
      <w:pPr>
        <w:spacing w:after="40" w:line="300" w:lineRule="auto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4.3.1 高级治理页面截图</w:t>
      </w: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3-7：SubAgent Manifest Tab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36934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dataset-manifest-tab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69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3-8：语义词典 Tab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36934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dataset-terms-tab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69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3-9：分析场景 Tab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36934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dataset-scenarios-ta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69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3-10：权限 Tab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36934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dataset-permissions-tab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69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3-11：版本历史 Tab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36934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dataset-version-history-tab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69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4.4 分析蓝图详情页 Tab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700"/>
        <w:gridCol w:w="5160"/>
      </w:tblGrid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详情 Tab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用途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用户需要检查的内容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概览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查看蓝图基本信息、状态、来源、触发词和版本。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确认业务描述、适用数据集、发布状态和最近验证时间是否正确。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参数 · L1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定义用户提问时可传入的参数。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检查参数名、类型、必填项、默认值和自然语言映射方式。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输出列 · L1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定义结果表向用户展示哪些列。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确认列名、中文名、格式、排序和是否适合对外展示。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业务逻辑 · L2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描述复杂过滤、分组、计算和业务规则。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检查 SQL 片段、规则说明、风险提示和边界条件。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测试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用样例问题验证蓝图是否能稳定执行。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输入测试问题，运行后检查 SQL、结果、错误提示和耗时。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使用记录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查看蓝图被触发和调用的历史。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关注命中次数、失败记录、最近调用时间和用户反馈。</w:t>
            </w:r>
          </w:p>
        </w:tc>
      </w:tr>
    </w:tbl>
    <w:p>
      <w:pPr>
        <w:spacing w:after="40" w:line="300" w:lineRule="auto"/>
      </w:pP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3-12：分析蓝图详情概览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36934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-blueprint-detail-overview-tab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69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4.5 新建蓝图的两种方式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3800"/>
        <w:gridCol w:w="386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方式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流程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适合场景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SQL 导入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上传 SQL -&gt; AI 审核 -&gt; 精细配置 -&gt; 触发与测试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已有稳定 SQL，希望把它包装成可复用自然语言能力。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业务描述生成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描述场景 -&gt; AI 草稿 -&gt; 高级配置 -&gt; 发布与测试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只有业务分析诉求，需要系统先生成蓝图草稿，再由分析师审核。</w:t>
            </w:r>
          </w:p>
        </w:tc>
      </w:tr>
    </w:tbl>
    <w:p>
      <w:pPr>
        <w:spacing w:after="4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4.6 推荐治理顺序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先在“数据表”选择进入语义层的表。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再到“字段标注”确认字段含义和角色。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把高频度量沉淀到“指标”，把分组和筛选字段沉淀到“维度”。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把业务别名和口径沉淀到“语义词典”。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在“分析蓝图”中沉淀复杂流程。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最后用“SubAgent Manifest”和“语义验证”检查路由、问法和执行稳定性。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使用边界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F172A"/>
                <w:sz w:val="20"/>
              </w:rPr>
              <w:t>不要把所有表和字段一次性暴露给问数链路。语义资产越清晰，Agent 路由、SQL 生成和结果解释越稳定。</w:t>
            </w:r>
          </w:p>
        </w:tc>
      </w:tr>
    </w:tbl>
    <w:p>
      <w:pPr>
        <w:spacing w:after="80" w:line="300" w:lineRule="auto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数据源：接入数据库并同步表结构</w:t>
      </w:r>
    </w:p>
    <w:p>
      <w:pPr>
        <w:spacing w:line="300" w:lineRule="auto"/>
      </w:pPr>
      <w:r>
        <w:rPr>
          <w:rFonts w:ascii="Calibri" w:hAnsi="Calibri" w:eastAsia="Microsoft YaHei"/>
          <w:b w:val="0"/>
          <w:color w:val="0F172A"/>
          <w:sz w:val="22"/>
        </w:rPr>
        <w:t>数据源页用于配置数据库连接、测试连接状态、同步 DDL/Schema，并为后续数据集治理提供物理表结构。数据源接入成功后，还需要到数据集页选择哪些表进入语义层。</w:t>
      </w: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4：数据源管理页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9319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atasourc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5.1 页面区域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3300"/>
        <w:gridCol w:w="4460"/>
      </w:tblGrid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区域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功能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操作说明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顶部统计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展示已连接数量、总表数、数据源数和平均延迟。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先看这里判断连接状态是否整体正常。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左侧数据源列表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切换当前数据源并查看连接状态。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点击某个数据源后，右侧展示该数据源详情。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新建数据源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新增数据库连接。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填写类型、Host、端口、库名、账号、密码，保存前先测试连接。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刷新状态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重新拉取连接状态和统计。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连接异常或同步后点击刷新，确认页面数据已更新。</w:t>
            </w:r>
          </w:p>
        </w:tc>
      </w:tr>
    </w:tbl>
    <w:p>
      <w:pPr>
        <w:spacing w:after="4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5.2 数据源详情 Tab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2500"/>
        <w:gridCol w:w="3560"/>
        <w:gridCol w:w="2100"/>
      </w:tblGrid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Tab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具体功能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怎么用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成功标志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概览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查看数据库类型、连接地址、表数量、驱动状态和基础配置。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进入数据源后默认查看；如果页面提示驱动缺失，需要先补齐驱动或调整连接配置。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状态显示已连接，库名、Host、端口和表数量符合预期。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Schema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查看 schema、表、字段、行数和大小。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选择 schema，搜索表名；展开表查看字段类型、主键、是否为空等信息。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能看到目标业务表和字段，字段类型与数据库一致。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DDL 同步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把数据库结构同步到语义层。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点击同步按钮，等待进度完成；同步后回到数据集页继续数据表和字段治理。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同步结果成功，更新时间刷新，数据集页能看到新表或新字段。</w:t>
            </w:r>
          </w:p>
        </w:tc>
      </w:tr>
    </w:tbl>
    <w:p>
      <w:pPr>
        <w:spacing w:after="40" w:line="300" w:lineRule="auto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5.2.1 数据源详情 Tab 截图</w:t>
      </w: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4-1：数据源概览 Tab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36934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datasource-overview-ta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69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4-2：Schema Tab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36934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datasource-schema-tab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69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4-3：DDL 同步 Tab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36934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datasource-ddl-sync-tab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69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5.3 接入流程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点击“新建数据源”，选择数据库类型。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填写连接参数，使用生产环境时优先使用只读账号。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点击“测试连接”，确认网络、账号和权限都正常。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保存后进入详情页，在 Schema Tab 检查目标表和字段。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进入 DDL 同步 Tab 执行同步。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回到“数据集 &amp; 指标”，选择要进入语义层的表并继续字段标注。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查询审计：回看 Trace、SQL、成本和失败原因</w:t>
      </w:r>
    </w:p>
    <w:p>
      <w:pPr>
        <w:spacing w:line="300" w:lineRule="auto"/>
      </w:pPr>
      <w:r>
        <w:rPr>
          <w:rFonts w:ascii="Calibri" w:hAnsi="Calibri" w:eastAsia="Microsoft YaHei"/>
          <w:b w:val="0"/>
          <w:color w:val="0F172A"/>
          <w:sz w:val="22"/>
        </w:rPr>
        <w:t>查询审计页用于回看每一次问数的完整链路。它面向数据分析师、研发和运维人员，用于定位错误 SQL、错误路由、低置信度回答、成本异常和用户反馈。</w:t>
      </w: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5：查询审计页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9319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udit-quer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6.1 页面区域与功能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900"/>
        <w:gridCol w:w="4960"/>
      </w:tblGrid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区域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功能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怎么用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顶部指标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查看查询总数、成功率、失败数、Token 和成本。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先判断是否存在失败率升高、成本异常或 Token 暴涨。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Trace 列表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按时间查看问数记录。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点击一条记录，右侧会显示该 trace 的问题、状态和执行链路。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详情面板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查看问题、回答预览、SQL、数据集、模型和入口路径。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用于判断是问法问题、路由问题、SQL 问题还是执行问题。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Observation 瀑布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展示 Agent 节点执行顺序。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逐个展开节点，检查输入、输出、耗时、错误和元数据。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反馈与评分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查看用户反馈、置信度和质量评分。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把低分记录回流到语义词典、字段标注或蓝图测试用例。</w:t>
            </w:r>
          </w:p>
        </w:tc>
      </w:tr>
    </w:tbl>
    <w:p>
      <w:pPr>
        <w:spacing w:after="4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6.2 常见排障动作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3760"/>
        <w:gridCol w:w="390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现象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优先检查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处理方向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回答没有数据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SQL 是否执行成功、过滤条件是否过窄、时间范围是否正确。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放宽条件或修正时间字段，必要时补充维度和指标口径。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选错数据集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入口意图、数据集描述、Manifest 样例问题和负向样例。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更新 SubAgent Manifest，增加正反例并重新验证。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SQL 字段错误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字段召回、字段标注、指标表达式、维度关联字段。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回到数据集页修字段标注、指标或维度。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成本异常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模型调用次数、上下文长度、分析深度、重试次数。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降低分析深度，优化 Prompt 或模型角色绑定。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Langfuse 不可用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页面是否展示本地 trace index 或 step_trace。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使用本地回退链路继续排障，恢复 Langfuse 后再补查完整链路。</w:t>
            </w:r>
          </w:p>
        </w:tc>
      </w:tr>
    </w:tbl>
    <w:p>
      <w:pPr>
        <w:spacing w:after="4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6.3 从聊天页跳转审计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在对话问数页找到需要复核的回答。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点击回答下方的 trace 或“查看链路”入口。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系统带 trace_id 打开查询审计页。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核对数据集、SQL、执行结果、风险提示和最终回答是否一致。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查询历史：复用过往会话</w:t>
      </w:r>
    </w:p>
    <w:p>
      <w:pPr>
        <w:spacing w:line="300" w:lineRule="auto"/>
      </w:pPr>
      <w:r>
        <w:rPr>
          <w:rFonts w:ascii="Calibri" w:hAnsi="Calibri" w:eastAsia="Microsoft YaHei"/>
          <w:b w:val="0"/>
          <w:color w:val="0F172A"/>
          <w:sz w:val="22"/>
        </w:rPr>
        <w:t>查询历史用于查找和继续过去的问数会话，适合复盘已完成分析、复用高频问题或继续多轮追问。页面会从后端实时拉取会话列表。</w:t>
      </w: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6：查询历史页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9319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histor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7.1 页面功能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3100"/>
        <w:gridCol w:w="456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功能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在哪里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怎么用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搜索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顶部搜索框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输入问题、答案或 SQL 关键词，快速定位历史会话。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时间筛选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工具栏“近30天”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缩小会话范围，适合排查近期问题或复盘最近分析。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标签筛选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工具栏“标签”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按业务标签或问题类型筛选。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状态 Tab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全部、已发布接口、已收藏、草稿、已归档、我创建的、团队共享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点击 Tab 切换列表范围，数字表示对应会话数量。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继续会话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会话列表行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点击会话标题或整行进入 `/chat/{id}`，继续在原上下文追问。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收藏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行右侧书签按钮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把高频或重要会话固定到已收藏筛选中。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发布为接口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行右侧 API 按钮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把稳定会话转到 API 发布流程。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删除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行右侧删除按钮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确认后删除会话；删除前应确认不再需要审计或复用。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导出 / 新建文件夹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页面右上角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用于整理或外部分发历史分析材料。</w:t>
            </w:r>
          </w:p>
        </w:tc>
      </w:tr>
    </w:tbl>
    <w:p>
      <w:pPr>
        <w:spacing w:after="4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7.2 使用建议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继续追问同一业务主题时使用历史会话，系统能复用上下文。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完全切换业务主题时新建会话，避免旧上下文影响数据集路由。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准备发布为接口前，先从历史会话确认问题、SQL 和结果是否稳定。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API 接口：把问数能力发布给系统调用</w:t>
      </w:r>
    </w:p>
    <w:p>
      <w:pPr>
        <w:spacing w:line="300" w:lineRule="auto"/>
      </w:pPr>
      <w:r>
        <w:rPr>
          <w:rFonts w:ascii="Calibri" w:hAnsi="Calibri" w:eastAsia="Microsoft YaHei"/>
          <w:b w:val="0"/>
          <w:color w:val="0F172A"/>
          <w:sz w:val="22"/>
        </w:rPr>
        <w:t>API 接口页用于把稳定的问数能力发布给外部系统或业务流程调用。它把一次经过验证的问数会话固化为带参数、权限、日志和版本的服务接口。</w:t>
      </w: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7：API 接口页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9319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pi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8.1 列表与状态筛选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3200"/>
        <w:gridCol w:w="4560"/>
      </w:tblGrid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区域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功能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怎么用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顶部 KPI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查看已发布接口数、24h 调用量、P95 延迟和成功率。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先判断接口服务是否稳定，成功率和延迟是否在 SLO 内。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从会话发布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从稳定问数会话创建新接口。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点击后选择来源会话，配置接口名称、路径、参数、返回格式和权限。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API 文档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查看调用规范。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交付给外部系统前，先让调用方按文档确认路径、鉴权和参数。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状态 Tab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全部、已发布、测试中、草稿、已暂停。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按接口生命周期筛选，重点关注测试中和已暂停接口。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接口列表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显示接口名称、路径、状态、版本、数据集和调用状态。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点击某个接口后，右侧打开详情。</w:t>
            </w:r>
          </w:p>
        </w:tc>
      </w:tr>
    </w:tbl>
    <w:p>
      <w:pPr>
        <w:spacing w:after="4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8.2 接口详情 Tab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50"/>
        <w:gridCol w:w="3000"/>
        <w:gridCol w:w="4910"/>
      </w:tblGrid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详情 Tab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功能</w:t>
            </w:r>
          </w:p>
        </w:tc>
        <w:tc>
          <w:tcPr>
            <w:tcW w:type="dxa" w:w="4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用户需要检查什么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概览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查看接口描述、来源问题、数据集、调用趋势、配额、成功率和延迟。</w:t>
            </w:r>
          </w:p>
        </w:tc>
        <w:tc>
          <w:tcPr>
            <w:tcW w:type="dxa" w:w="4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确认接口仍然可用，调用量、失败率和配额没有异常。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参数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维护发布时识别出的变量。</w:t>
            </w:r>
          </w:p>
        </w:tc>
        <w:tc>
          <w:tcPr>
            <w:tcW w:type="dxa" w:w="4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检查参数类型、默认值、枚举、必填项和业务说明是否清楚。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调用示例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展示 HTTP 调用、SDK 或业务系统调用示例。</w:t>
            </w:r>
          </w:p>
        </w:tc>
        <w:tc>
          <w:tcPr>
            <w:tcW w:type="dxa" w:w="4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交给调用方前先复制示例进行联调。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调用日志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查看调用时间、调用方、密钥、状态码、延迟和入参。</w:t>
            </w:r>
          </w:p>
        </w:tc>
        <w:tc>
          <w:tcPr>
            <w:tcW w:type="dxa" w:w="4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排查外部调用失败、慢请求或权限问题。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版本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查看接口版本历史和变更说明。</w:t>
            </w:r>
          </w:p>
        </w:tc>
        <w:tc>
          <w:tcPr>
            <w:tcW w:type="dxa" w:w="4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上线前确认是否有破坏性变更；必要时回滚到历史版本。</w:t>
            </w:r>
          </w:p>
        </w:tc>
      </w:tr>
    </w:tbl>
    <w:p>
      <w:pPr>
        <w:spacing w:after="40" w:line="300" w:lineRule="auto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8.2.1 接口详情 Tab 截图</w:t>
      </w: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7-1：API 概览 Tab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9319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pi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7-2：参数 Tab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9319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api-params-tab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7-3：调用示例 Tab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9319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api-examples-tab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7-4：调用日志 Tab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9319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api-logs-tab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7-5：版本 Tab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9319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api-versions-tab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8.3 发布前检查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来源会话的 SQL 已在查询审计中复核。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参数都有明确类型、默认值和业务含义。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返回字段不包含不应对外暴露的敏感信息。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接口权限、配额、调用方密钥和审计链路已经配置。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系统设置：账号、安全、模型与集成配置</w:t>
      </w:r>
    </w:p>
    <w:p>
      <w:pPr>
        <w:spacing w:line="300" w:lineRule="auto"/>
      </w:pPr>
      <w:r>
        <w:rPr>
          <w:rFonts w:ascii="Calibri" w:hAnsi="Calibri" w:eastAsia="Microsoft YaHei"/>
          <w:b w:val="0"/>
          <w:color w:val="0F172A"/>
          <w:sz w:val="22"/>
        </w:rPr>
        <w:t>系统设置页用于维护个人资料、通知、外观、工作区、成员权限、用量计费、数据源、LLM 模型、业务词典、API 密钥、Webhooks 和审计日志。左侧菜单按个人、工作区、数据与模型、开发者分组。</w:t>
      </w: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8：系统设置页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9319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etting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9.1 个人设置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3600"/>
        <w:gridCol w:w="406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菜单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具体功能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操作说明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账号与个人资料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维护头像、姓名、邮箱、安全设置、密码、两步验证和活跃会话。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个人信息变化后在这里更新；发现异常登录时先检查活跃会话并修改密码。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通知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配置邮件、站内、失败告警、周报等通知方式。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管理员和分析师建议开启失败告警和高成本告警。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外观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配置主题、界面密度或显示偏好。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根据使用习惯调整，不影响问数结果。</w:t>
            </w:r>
          </w:p>
        </w:tc>
      </w:tr>
    </w:tbl>
    <w:p>
      <w:pPr>
        <w:spacing w:after="40" w:line="300" w:lineRule="auto"/>
      </w:pP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8-1：账号与个人资料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36934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settings-profil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69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8-2：通知设置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36934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settings-notification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69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8-3：外观设置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36934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settings-appearanc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69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9.2 工作区设置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3600"/>
        <w:gridCol w:w="406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菜单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具体功能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操作说明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工作区设置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维护工作区名称、默认语言、默认时区和组织信息。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影响团队成员看到的默认工作空间信息。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成员与权限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管理成员、角色、权限边界和数据集访问范围。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新增成员后应分配最小必要权限，不要默认授予管理权限。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用量 &amp; 计费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查看调用量、Token、成本、配额和计费状态。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成本异常时结合查询审计定位高消耗 trace。</w:t>
            </w:r>
          </w:p>
        </w:tc>
      </w:tr>
    </w:tbl>
    <w:p>
      <w:pPr>
        <w:spacing w:after="40" w:line="300" w:lineRule="auto"/>
      </w:pP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8-4：工作区设置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36934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settings-workspac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69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8-5：成员与权限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36934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settings-members-permission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69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8-6：用量与计费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36934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settings-usage-billing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69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9.3 数据与模型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3600"/>
        <w:gridCol w:w="406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菜单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具体功能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操作说明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数据源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查看或跳转数据源配置。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数据库连接、Schema 和 DDL 同步仍建议在“数据源”主页面完成。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LLM 模型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配置 OpenAI-compatible / LiteLLM Proxy 模型。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填写模型名称、Base URL、API Key 和状态；保存后测试连通性。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模型角色绑定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把 default、intent、dsl、sql_audit、report、annotation、blueprint 等任务绑定到具体模型。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模型变更会影响问数质量，生产环境应先在测试环境验证。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业务词典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维护跨数据集通用术语和口径。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与数据集内“语义词典”配合使用，避免同词不同义。</w:t>
            </w:r>
          </w:p>
        </w:tc>
      </w:tr>
    </w:tbl>
    <w:p>
      <w:pPr>
        <w:spacing w:after="40" w:line="300" w:lineRule="auto"/>
      </w:pP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8-7：设置里的数据源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36934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settings-data-source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69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8-8：LLM 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36934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settings-llm-model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69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8-9：业务词典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36934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settings-business-dictionary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69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9.4 开发者设置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3600"/>
        <w:gridCol w:w="406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菜单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具体功能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操作说明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API 密钥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生成、停用和轮换外部调用密钥。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密钥只展示一次，应按调用方分发独立密钥并定期轮换。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Webhooks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配置事件推送地址。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用于把接口调用、失败告警或审计事件推送到外部系统。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审计日志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查看设置变更、密钥操作、权限调整和接口发布记录。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color w:val="0F172A"/>
                <w:sz w:val="19"/>
              </w:rPr>
              <w:t>排查权限或配置问题时先查审计日志。</w:t>
            </w:r>
          </w:p>
        </w:tc>
      </w:tr>
    </w:tbl>
    <w:p>
      <w:pPr>
        <w:spacing w:after="40" w:line="300" w:lineRule="auto"/>
      </w:pP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8-10：API 密钥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36934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-settings-api-key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69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8-11：Webhooks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36934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-settings-webhooks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69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keepNext/>
        <w:spacing w:before="40" w:after="100"/>
      </w:pPr>
      <w:r>
        <w:rPr>
          <w:rFonts w:ascii="Calibri" w:hAnsi="Calibri" w:eastAsia="Microsoft YaHei"/>
          <w:b/>
          <w:color w:val="566476"/>
          <w:sz w:val="19"/>
        </w:rPr>
        <w:t>截图 8-12：审计日志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36934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-settings-audit-log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69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9.5 保存与验证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表单保存后应出现明确的成功或失败反馈。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模型配置保存后要执行连通性测试，并用一条真实问数验证效果。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API 密钥、Webhook、成员权限等敏感变更应能在审计日志中追踪。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编辑模型时 API Key 留空通常表示保留旧密钥，不要把密钥明文复制到文档或聊天中。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10. 常见操作检查清单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10.1 普通问数用户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问题中包含对象、时间、指标和拆分维度。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回答后检查 SQL、图表、结果表和风险提示。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回答不可信时点击“查看链路”或请数据分析师从查询审计排查。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需要继续分析时优先在同一会话追问；切换业务主题时新建对话。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10.2 数据分析师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新数据源接入后先同步表结构，再创建或更新数据集。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字段标注、指标、维度和语义词典需要人工复核。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高频复杂分析应沉淀为分析蓝图，并维护触发词和测试用例。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 xml:space="preserve">定期查看查询审计中的失败 trace，把问题回流到语义治理。 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10.3 管理员/运维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确保数据源账号权限最小化，优先只读。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确保 default、dsl、report 等核心模型角色已绑定可用模型。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关注查询审计里的失败率、token、成本和高延迟记录。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F172A"/>
          <w:sz w:val="21"/>
        </w:rPr>
        <w:t>外部发布接口前确认权限、参数、返回字段和审计链路。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566476"/>
        <w:sz w:val="18"/>
      </w:rPr>
      <w:t>Datalogue / 内部用户手册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color w:val="566476"/>
        <w:sz w:val="18"/>
      </w:rPr>
      <w:t>数语多智能体产品用户手册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数语多智能体产品用户手册</dc:title>
  <dc:subject>带真实页面截图的数语操作手册</dc:subject>
  <dc:creator>yangkai</dc:creator>
  <cp:keywords/>
  <dc:description>由 scripts/export_user_operation_manual_docx.py 生成</dc:description>
  <cp:lastModifiedBy/>
  <cp:revision>1</cp:revision>
  <dcterms:created xsi:type="dcterms:W3CDTF">2026-06-12T18:20:00Z</dcterms:created>
  <dcterms:modified xsi:type="dcterms:W3CDTF">2013-12-23T23:15:00Z</dcterms:modified>
  <cp:category/>
</cp:coreProperties>
</file>