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 w:after="80" w:line="264" w:lineRule="auto"/>
        <w:jc w:val="center"/>
      </w:pPr>
      <w:r>
        <w:rPr>
          <w:rFonts w:ascii="Calibri" w:hAnsi="Calibri" w:eastAsia="Microsoft YaHei"/>
          <w:b/>
          <w:color w:val="000000"/>
          <w:sz w:val="56"/>
        </w:rPr>
        <w:t>项目整体介绍手册</w:t>
      </w:r>
    </w:p>
    <w:p>
      <w:pPr>
        <w:spacing w:before="0" w:after="360" w:line="264" w:lineRule="auto"/>
        <w:jc w:val="center"/>
      </w:pPr>
      <w:r>
        <w:rPr>
          <w:rFonts w:ascii="Calibri" w:hAnsi="Calibri" w:eastAsia="Microsoft YaHei"/>
          <w:b w:val="0"/>
          <w:color w:val="5A5A5A"/>
          <w:sz w:val="30"/>
        </w:rPr>
        <w:t>数语 Datalogue · AI 原生智能问数平台</w:t>
      </w:r>
    </w:p>
    <w:p>
      <w:pPr>
        <w:spacing w:before="0" w:after="40" w:line="264" w:lineRule="auto"/>
        <w:jc w:val="center"/>
      </w:pPr>
      <w:r>
        <w:rPr>
          <w:rFonts w:ascii="Calibri" w:hAnsi="Calibri" w:eastAsia="Microsoft YaHei"/>
          <w:b w:val="0"/>
          <w:color w:val="5A5A5A"/>
          <w:sz w:val="21"/>
        </w:rPr>
        <w:t>当前代码基线：/Users/yangkai/code_place/study/python/Datalogue</w:t>
      </w:r>
    </w:p>
    <w:p>
      <w:pPr>
        <w:spacing w:before="0" w:after="640" w:line="264" w:lineRule="auto"/>
        <w:jc w:val="center"/>
      </w:pPr>
      <w:r>
        <w:rPr>
          <w:rFonts w:ascii="Calibri" w:hAnsi="Calibri" w:eastAsia="Microsoft YaHei"/>
          <w:b w:val="0"/>
          <w:color w:val="5A5A5A"/>
          <w:sz w:val="21"/>
        </w:rPr>
        <w:t>生成日期：2026-06-23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阅读定位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1"/>
              </w:rPr>
              <w:t>本文用于项目交接、架构沟通和后续研发对齐。它覆盖产品定位、系统组成、核心链路、运行方式、治理机制、可观测能力和当前风险，不替代接口全集或代码级设计文档。</w:t>
            </w:r>
          </w:p>
        </w:tc>
      </w:tr>
    </w:tbl>
    <w:p>
      <w:pPr>
        <w:spacing w:before="0" w:after="60" w:line="264" w:lineRule="auto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1. 项目定位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020"/>
          <w:sz w:val="22"/>
        </w:rPr>
        <w:t>数语是面向企业数据的 AI 原生智能问数平台。它把自然语言问题转化为可审计的数据查询过程，通过数据源接入、语义数据集治理、Agent 编排、DSL/SQL 生成、SQL 执行、结果解释和查询审计，帮助业务用户在可复核边界内完成问数。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020"/>
          <w:sz w:val="22"/>
        </w:rPr>
        <w:t>项目当前不是传统报表系统，也不是只暴露数据库聊天入口的 demo。核心设计目标是把“问数”拆成可治理、可追踪、可回放的多层链路，让业务口径、字段语义、SQL 执行和最终回答之间有明确证据。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020"/>
          <w:sz w:val="22"/>
        </w:rPr>
        <w:t>面向对象：业务问数用户、数据治理人员、后端/前端研发、运维和项目管理人员。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020"/>
          <w:sz w:val="22"/>
        </w:rPr>
        <w:t>核心价值：自然语言问数、语义资产治理、LLM 编排、只读 SQL 执行、结果解释、审计回看和反馈迭代。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020"/>
          <w:sz w:val="22"/>
        </w:rPr>
        <w:t>当前重点：LeadAgent/SubAgent 分层、多轮状态、Manifest 门禁、Langfuse trace、assistant-ui 聊天体验和真实链路验证。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2. 总体架构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020"/>
          <w:sz w:val="22"/>
        </w:rPr>
        <w:t>系统采用前后端分离架构，前端负责问数交互和治理工作台，后端负责 API、Agent 编排、数据源访问、状态持久化和可观测。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550"/>
        <w:gridCol w:w="4400"/>
        <w:gridCol w:w="3410"/>
      </w:tblGrid>
      <w:tr>
        <w:tc>
          <w:tcPr>
            <w:tcW w:type="dxa" w:w="155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020"/>
                <w:sz w:val="21"/>
              </w:rPr>
              <w:t>层级</w:t>
            </w:r>
          </w:p>
        </w:tc>
        <w:tc>
          <w:tcPr>
            <w:tcW w:type="dxa" w:w="44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020"/>
                <w:sz w:val="21"/>
              </w:rPr>
              <w:t>核心职责</w:t>
            </w:r>
          </w:p>
        </w:tc>
        <w:tc>
          <w:tcPr>
            <w:tcW w:type="dxa" w:w="341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020"/>
                <w:sz w:val="21"/>
              </w:rPr>
              <w:t>关键模块</w:t>
            </w:r>
          </w:p>
        </w:tc>
      </w:tr>
      <w:tr>
        <w:tc>
          <w:tcPr>
            <w:tcW w:type="dxa" w:w="15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前端交互层</w:t>
            </w:r>
          </w:p>
        </w:tc>
        <w:tc>
          <w:tcPr>
            <w:tcW w:type="dxa" w:w="4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提供聊天、数据源、数据集、审计和系统设置页面；消费 SSE 流式问数结果。</w:t>
            </w:r>
          </w:p>
        </w:tc>
        <w:tc>
          <w:tcPr>
            <w:tcW w:type="dxa" w:w="34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datalogue-web；React + Vite；assistant-ui；/chat、/datasets、/audit-query</w:t>
            </w:r>
          </w:p>
        </w:tc>
      </w:tr>
      <w:tr>
        <w:tc>
          <w:tcPr>
            <w:tcW w:type="dxa" w:w="15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API 服务层</w:t>
            </w:r>
          </w:p>
        </w:tc>
        <w:tc>
          <w:tcPr>
            <w:tcW w:type="dxa" w:w="4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提供数据源、数据集、会话、问数、可观测和 LLM 配置接口。</w:t>
            </w:r>
          </w:p>
        </w:tc>
        <w:tc>
          <w:tcPr>
            <w:tcW w:type="dxa" w:w="34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FastAPI；app/api/chat.py；dataset.py；conversation.py；observability.py；llm.py</w:t>
            </w:r>
          </w:p>
        </w:tc>
      </w:tr>
      <w:tr>
        <w:tc>
          <w:tcPr>
            <w:tcW w:type="dxa" w:w="15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Agent 编排层</w:t>
            </w:r>
          </w:p>
        </w:tc>
        <w:tc>
          <w:tcPr>
            <w:tcW w:type="dxa" w:w="4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LeadAgent 负责控制面路由，DatasetSubAgent 负责数据集内执行。</w:t>
            </w:r>
          </w:p>
        </w:tc>
        <w:tc>
          <w:tcPr>
            <w:tcW w:type="dxa" w:w="34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LeadAgent；DatasetSubAgentRunner；LangGraph QueryGraph；ToolPolicy</w:t>
            </w:r>
          </w:p>
        </w:tc>
      </w:tr>
      <w:tr>
        <w:tc>
          <w:tcPr>
            <w:tcW w:type="dxa" w:w="15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治理资产层</w:t>
            </w:r>
          </w:p>
        </w:tc>
        <w:tc>
          <w:tcPr>
            <w:tcW w:type="dxa" w:w="4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维护数据源、表字段、指标、维度、业务术语、蓝图、验证用例和 Manifest。</w:t>
            </w:r>
          </w:p>
        </w:tc>
        <w:tc>
          <w:tcPr>
            <w:tcW w:type="dxa" w:w="34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SemanticDataset；SemanticMetric；SemanticDimension；BusinessTerm；AnalysisBlueprint；DatasetSubAgentManifest</w:t>
            </w:r>
          </w:p>
        </w:tc>
      </w:tr>
      <w:tr>
        <w:tc>
          <w:tcPr>
            <w:tcW w:type="dxa" w:w="15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数据与可观测层</w:t>
            </w:r>
          </w:p>
        </w:tc>
        <w:tc>
          <w:tcPr>
            <w:tcW w:type="dxa" w:w="4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持久化业务状态、查询记录、trace 索引，并连接企业数据源和 Langfuse。</w:t>
            </w:r>
          </w:p>
        </w:tc>
        <w:tc>
          <w:tcPr>
            <w:tcW w:type="dxa" w:w="34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PostgreSQL + pgvector；SQLAlchemy + Alembic；DatalogueTracer；Langfuse SDK v4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3. 技术栈与运行形态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500"/>
        <w:gridCol w:w="3000"/>
        <w:gridCol w:w="4860"/>
      </w:tblGrid>
      <w:tr>
        <w:tc>
          <w:tcPr>
            <w:tcW w:type="dxa" w:w="15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020"/>
                <w:sz w:val="21"/>
              </w:rPr>
              <w:t>范围</w:t>
            </w:r>
          </w:p>
        </w:tc>
        <w:tc>
          <w:tcPr>
            <w:tcW w:type="dxa" w:w="30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020"/>
                <w:sz w:val="21"/>
              </w:rPr>
              <w:t>当前选型</w:t>
            </w:r>
          </w:p>
        </w:tc>
        <w:tc>
          <w:tcPr>
            <w:tcW w:type="dxa" w:w="486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020"/>
                <w:sz w:val="21"/>
              </w:rPr>
              <w:t>说明</w:t>
            </w:r>
          </w:p>
        </w:tc>
      </w:tr>
      <w:tr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后端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Python 3.11、FastAPI、Uvicorn、SQLAlchemy 2.0、Alembic</w:t>
            </w:r>
          </w:p>
        </w:tc>
        <w:tc>
          <w:tcPr>
            <w:tcW w:type="dxa" w:w="48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负责 API、会话、数据集治理、Agent 调度、SQL 执行和持久化。</w:t>
            </w:r>
          </w:p>
        </w:tc>
      </w:tr>
      <w:tr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Agent/LLM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LangGraph、LangChain OpenAI-compatible、LiteLLM、Langfuse SDK v4</w:t>
            </w:r>
          </w:p>
        </w:tc>
        <w:tc>
          <w:tcPr>
            <w:tcW w:type="dxa" w:w="48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支持模型配置化、Prompt Management、trace 和 generation 观测。</w:t>
            </w:r>
          </w:p>
        </w:tc>
      </w:tr>
      <w:tr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前端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React 19、Vite 8、assistant-ui、React Router</w:t>
            </w:r>
          </w:p>
        </w:tc>
        <w:tc>
          <w:tcPr>
            <w:tcW w:type="dxa" w:w="48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负责聊天域组件、线程列表、治理工作台和审计 UI。</w:t>
            </w:r>
          </w:p>
        </w:tc>
      </w:tr>
      <w:tr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数据库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PostgreSQL 16、pgvector</w:t>
            </w:r>
          </w:p>
        </w:tc>
        <w:tc>
          <w:tcPr>
            <w:tcW w:type="dxa" w:w="48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业务元数据库；本地 compose 中 Langfuse 也复用同一 PG 实例的独立 database。</w:t>
            </w:r>
          </w:p>
        </w:tc>
      </w:tr>
      <w:tr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企业数据源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PostgreSQL、MySQL、Oracle、Hive、Trino、Presto、ClickHouse、BigQuery 等</w:t>
            </w:r>
          </w:p>
        </w:tc>
        <w:tc>
          <w:tcPr>
            <w:tcW w:type="dxa" w:w="48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基础依赖不默认安装全部企业驱动，离线部署使用 requirements-enterprise.txt 和 wheelhouse。</w:t>
            </w:r>
          </w:p>
        </w:tc>
      </w:tr>
    </w:tbl>
    <w:p>
      <w:pPr>
        <w:spacing w:before="0" w:after="80" w:line="264" w:lineRule="auto"/>
      </w:pP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020"/>
          <w:sz w:val="21"/>
        </w:rPr>
        <w:t>常用本地启动方式：后端在 datalogue-api 下运行 `uvicorn app.main:app --reload --port 8000` 或按 README 的入口启动；前端在 datalogue-web 下运行 `npm run dev`；前端默认访问本地 Vite 服务。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4. 核心业务链路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Microsoft YaHei"/>
          <w:color w:val="202020"/>
          <w:sz w:val="22"/>
        </w:rPr>
        <w:t>数据源接入：创建连接，测试可用性，同步 schema / DDL 和数据源能力。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Microsoft YaHei"/>
          <w:color w:val="202020"/>
          <w:sz w:val="22"/>
        </w:rPr>
        <w:t>数据集治理：选择源表，维护字段标注、指标、维度、业务术语、分析蓝图和语义验证用例。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Microsoft YaHei"/>
          <w:color w:val="202020"/>
          <w:sz w:val="22"/>
        </w:rPr>
        <w:t>Manifest 发布：为数据集生成和维护 SubAgent Manifest，绑定 schema 版本、权限范围和质量状态。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Microsoft YaHei"/>
          <w:color w:val="202020"/>
          <w:sz w:val="22"/>
        </w:rPr>
        <w:t>用户提问：前端通过 /api/chat/stream 发起 SSE 问数请求，携带 conversation、session、dataset 等上下文。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Microsoft YaHei"/>
          <w:color w:val="202020"/>
          <w:sz w:val="22"/>
        </w:rPr>
        <w:t>LeadAgent 控制面：处理时间、多轮上下文、数据集路由、Manifest 校验、schema 状态检查、澄清和 SubAgent 调度。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Microsoft YaHei"/>
          <w:color w:val="202020"/>
          <w:sz w:val="22"/>
        </w:rPr>
        <w:t>DatasetSubAgent 数据面：在已确认的数据集内执行入口分类、schema 召回、术语归一化、语义资产解析、DSL 生成、SQL 编译、SQL 执行、SQL 诊断和报告生成。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Microsoft YaHei"/>
          <w:color w:val="202020"/>
          <w:sz w:val="22"/>
        </w:rPr>
        <w:t>结果回写：保存消息、SQL 列表、step trace、response metadata、ConversationState 和可观测 trace 索引。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Microsoft YaHei"/>
          <w:color w:val="202020"/>
          <w:sz w:val="22"/>
        </w:rPr>
        <w:t>审计与迭代：查询审计页回看 waterfall、输入输出、SQL、错误、token 和 trace；反馈结果反向推动治理资产更新。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5. Agent 分层设计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600"/>
        <w:gridCol w:w="4300"/>
        <w:gridCol w:w="3460"/>
      </w:tblGrid>
      <w:tr>
        <w:tc>
          <w:tcPr>
            <w:tcW w:type="dxa" w:w="16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020"/>
                <w:sz w:val="21"/>
              </w:rPr>
              <w:t>角色</w:t>
            </w:r>
          </w:p>
        </w:tc>
        <w:tc>
          <w:tcPr>
            <w:tcW w:type="dxa" w:w="43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020"/>
                <w:sz w:val="21"/>
              </w:rPr>
              <w:t>做什么</w:t>
            </w:r>
          </w:p>
        </w:tc>
        <w:tc>
          <w:tcPr>
            <w:tcW w:type="dxa" w:w="346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020"/>
                <w:sz w:val="21"/>
              </w:rPr>
              <w:t>不做什么</w:t>
            </w:r>
          </w:p>
        </w:tc>
      </w:tr>
      <w:tr>
        <w:tc>
          <w:tcPr>
            <w:tcW w:type="dxa" w:w="1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LeadAgent</w:t>
            </w:r>
          </w:p>
        </w:tc>
        <w:tc>
          <w:tcPr>
            <w:tcW w:type="dxa" w:w="4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控制面编排：Skill 选择、Tool 规划、数据集路由、Manifest 门禁、多轮上下文、澄清恢复和 SubAgent 调度。</w:t>
            </w:r>
          </w:p>
        </w:tc>
        <w:tc>
          <w:tcPr>
            <w:tcW w:type="dxa" w:w="3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不直接读取完整字段级 schema，不直接生成业务 SQL，不替代 DatasetSubAgent 执行数据面任务。</w:t>
            </w:r>
          </w:p>
        </w:tc>
      </w:tr>
      <w:tr>
        <w:tc>
          <w:tcPr>
            <w:tcW w:type="dxa" w:w="1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DatasetSubAgent</w:t>
            </w:r>
          </w:p>
        </w:tc>
        <w:tc>
          <w:tcPr>
            <w:tcW w:type="dxa" w:w="4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数据面执行：在单个数据集范围内处理语义资产、QueryPlan、DSL、SQL、诊断和报告。</w:t>
            </w:r>
          </w:p>
        </w:tc>
        <w:tc>
          <w:tcPr>
            <w:tcW w:type="dxa" w:w="3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不负责跨数据集治理决策，不绕过 LeadAgent 的 Manifest 和 schema 门禁。</w:t>
            </w:r>
          </w:p>
        </w:tc>
      </w:tr>
      <w:tr>
        <w:tc>
          <w:tcPr>
            <w:tcW w:type="dxa" w:w="1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Runner</w:t>
            </w:r>
          </w:p>
        </w:tc>
        <w:tc>
          <w:tcPr>
            <w:tcW w:type="dxa" w:w="4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把 LeadAgent 到 SubAgent 的调用封装为 DatasetSubAgentRequest / Result 协议，当前为进程内运行。</w:t>
            </w:r>
          </w:p>
        </w:tc>
        <w:tc>
          <w:tcPr>
            <w:tcW w:type="dxa" w:w="3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不承载业务推理；后续可演进为远端 RPC 或 A2A runner。</w:t>
            </w:r>
          </w:p>
        </w:tc>
      </w:tr>
    </w:tbl>
    <w:p>
      <w:pPr>
        <w:spacing w:before="0" w:after="80" w:line="264" w:lineRule="auto"/>
      </w:pP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当前关键边界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1"/>
              </w:rPr>
              <w:t>Manifest 是路由契约，不是完整语义资产库；ConversationState 是多轮业务状态的主事实来源；Langfuse observation 成功不等于最终回答成功，仍需以后端 final payload 和前端展示结果为准。</w:t>
            </w:r>
          </w:p>
        </w:tc>
      </w:tr>
    </w:tbl>
    <w:p>
      <w:pPr>
        <w:spacing w:before="0" w:after="60" w:line="264" w:lineRule="auto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6. 多轮状态与查询产物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020"/>
          <w:sz w:val="22"/>
        </w:rPr>
        <w:t>多轮能力围绕 ConversationStore、ConversationState、subagent_capsules、last_success_task 和 query_artifact 展开。它的目标是让追问、澄清恢复、上一轮成功任务、查询结果 artifact 和后续 refine 有结构化承接，而不是依赖前端历史文本硬猜。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020"/>
          <w:sz w:val="22"/>
        </w:rPr>
        <w:t>ConversationState 保存 session 级消息、active_dataset_id、pending_clarification、resolved_time_context、turn_index 和 capsule。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020"/>
          <w:sz w:val="22"/>
        </w:rPr>
        <w:t>last_success_task 被预算保护，避免把过大的上一轮状态直接塞入 prompt。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020"/>
          <w:sz w:val="22"/>
        </w:rPr>
        <w:t>query_artifact 用于承载结果产物和后续引用，热缓存只是性能路径，不是业务状态真相。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020"/>
          <w:sz w:val="22"/>
        </w:rPr>
        <w:t>多轮能力通过 MULTITURN_* 环境变量分阶段开关，便于灰度和回退。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7. Manifest 治理与执行前门禁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020"/>
          <w:sz w:val="22"/>
        </w:rPr>
        <w:t>Manifest 治理把“某数据集能回答什么、不能回答什么、当前 schema 是否匹配、权限是否允许、质量状态是否可用”变成运行时契约。近期代码已从“提示 stale”升级到执行前 fail-closed。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020"/>
                <w:sz w:val="21"/>
              </w:rPr>
              <w:t>门禁项</w:t>
            </w:r>
          </w:p>
        </w:tc>
        <w:tc>
          <w:tcPr>
            <w:tcW w:type="dxa" w:w="676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020"/>
                <w:sz w:val="21"/>
              </w:rPr>
              <w:t>阻断含义</w:t>
            </w:r>
          </w:p>
        </w:tc>
      </w:tr>
      <w:tr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current Manifest 缺失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数据集缺少可执行的 current 路由契约，不能调度 SubAgent。</w:t>
            </w:r>
          </w:p>
        </w:tc>
      </w:tr>
      <w:tr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schema stale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Manifest 绑定的 schema 版本与当前数据集 schema 不一致，需要重新治理或发布。</w:t>
            </w:r>
          </w:p>
        </w:tc>
      </w:tr>
      <w:tr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review 非 current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审核态不是当前可执行版本，避免使用未确认合同。</w:t>
            </w:r>
          </w:p>
        </w:tc>
      </w:tr>
      <w:tr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权限未允许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permission_scope 不允许当前问数或路由场景。</w:t>
            </w:r>
          </w:p>
        </w:tc>
      </w:tr>
      <w:tr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quality failed / 低置信路由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质量或打分不足时拒绝执行，返回澄清或治理提示。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8. 可观测与审计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020"/>
          <w:sz w:val="22"/>
        </w:rPr>
        <w:t>可观测层由 DatalogueTracer 统一封装 Langfuse SDK v4，并写入本地 trace index。Langfuse 不可用时走 no-op fallback，不阻断主流程。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020"/>
          <w:sz w:val="22"/>
        </w:rPr>
        <w:t>Trace 根入口在 /api/chat/stream，记录用户问题、会话、环境、版本、prompt label 和关键 metadata。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020"/>
          <w:sz w:val="22"/>
        </w:rPr>
        <w:t>节点层覆盖 LeadAgent、SubAgent、LangGraph 节点、LLM generation、SQL 诊断和报告生成。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020"/>
          <w:sz w:val="22"/>
        </w:rPr>
        <w:t>Prompt Management 支持本地 fallback 与 Langfuse 远端 prompt，同步时需要回读核对 production label 的版本内容。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020"/>
          <w:sz w:val="22"/>
        </w:rPr>
        <w:t>排障时默认对齐三层事实：Langfuse observation、后端 ConversationState/SSE final payload、前端最终 answer。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9. 目录结构速览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020"/>
                <w:sz w:val="21"/>
              </w:rPr>
              <w:t>路径</w:t>
            </w:r>
          </w:p>
        </w:tc>
        <w:tc>
          <w:tcPr>
            <w:tcW w:type="dxa" w:w="636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020"/>
                <w:sz w:val="21"/>
              </w:rPr>
              <w:t>职责</w:t>
            </w:r>
          </w:p>
        </w:tc>
      </w:tr>
      <w:tr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datalogue-api/app/api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FastAPI 路由，包含 chat、dataset、datasource、conversation、observability、llm 等接口。</w:t>
            </w:r>
          </w:p>
        </w:tc>
      </w:tr>
      <w:tr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datalogue-api/app/services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业务服务层，包含 LeadAgent、DatasetSubAgent、Manifest、ConversationStore、observability、subagent_planning、multiturn 等。</w:t>
            </w:r>
          </w:p>
        </w:tc>
      </w:tr>
      <w:tr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datalogue-api/app/graph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LangGraph QueryGraph 节点、工作流、LLM 调用和 DSL/SQL 执行链路。</w:t>
            </w:r>
          </w:p>
        </w:tc>
      </w:tr>
      <w:tr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datalogue-api/app/models / schemas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SQLAlchemy ORM 与 Pydantic schema。</w:t>
            </w:r>
          </w:p>
        </w:tc>
      </w:tr>
      <w:tr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datalogue-api/app/prompts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本地 prompt 模板与注册表来源。</w:t>
            </w:r>
          </w:p>
        </w:tc>
      </w:tr>
      <w:tr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datalogue-web/src/assistant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assistant-ui adapter、线程、聊天消息和 SSE 适配。</w:t>
            </w:r>
          </w:p>
        </w:tc>
      </w:tr>
      <w:tr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datalogue-web/src/components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页面和业务组件，例如 chat、datasets、datasources、audit-query、settings。</w:t>
            </w:r>
          </w:p>
        </w:tc>
      </w:tr>
      <w:tr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docs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系统设计、Langfuse、链路图、上下文入口和阶段计划文档。</w:t>
            </w:r>
          </w:p>
        </w:tc>
      </w:tr>
      <w:tr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.codex/project-memory.md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中文项目完成记录，只按关键词检索，不作为默认全文启动上下文。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10. 配置与部署要点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020"/>
          <w:sz w:val="22"/>
        </w:rPr>
        <w:t>数据库：DATABASE_URL 指向 Datalogue 元数据库；本地 compose 默认使用 pgvector/pgvector:pg16。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020"/>
          <w:sz w:val="22"/>
        </w:rPr>
        <w:t>LLM：前端 /api/llm 数据库配置优先，未配置时回退 OPENAI_API_KEY、OPENAI_BASE_URL、LLM_MODEL。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020"/>
          <w:sz w:val="22"/>
        </w:rPr>
        <w:t>Langfuse：LANGFUSE_ENABLED 控制开关；LANGFUSE_BASE_URL / HOST 指向本地或私有化地址；LANGFUSE_PROMPT_LABEL 默认 production。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020"/>
          <w:sz w:val="22"/>
        </w:rPr>
        <w:t>SubAgent：SUBAGENT_RUNNER_MODE 当前默认 in_process，远端 runner 配置已预留。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020"/>
          <w:sz w:val="22"/>
        </w:rPr>
        <w:t>上下文预算：DATASET_CONTEXT_TOKEN_BUDGET、SUBAGENT_CANDIDATE_ASSET_CONTEXT_TOKEN_BUDGET、SUBAGENT_PLANNER_* 和 LEAD_AGENT_PROGRESSIVE_* 控制 prompt 注入规模。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020"/>
          <w:sz w:val="22"/>
        </w:rPr>
        <w:t>企业驱动：Oracle、Hive、SQL Server、Trino、Presto、ClickHouse、BigQuery 等通过 requirements-enterprise.txt 和离线 wheelhouse 补装。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11. 验证与交付习惯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020"/>
          <w:sz w:val="22"/>
        </w:rPr>
        <w:t>本项目的验收口径强调真实链路：代码测试通过只是基础，关键问数链路还要看页面表现、Network、后端日志、Langfuse trace、ConversationState 和最终 payload 是否一致。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020"/>
                <w:sz w:val="21"/>
              </w:rPr>
              <w:t>范围</w:t>
            </w:r>
          </w:p>
        </w:tc>
        <w:tc>
          <w:tcPr>
            <w:tcW w:type="dxa" w:w="766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020"/>
                <w:sz w:val="21"/>
              </w:rPr>
              <w:t>常用验证</w:t>
            </w:r>
          </w:p>
        </w:tc>
      </w:tr>
      <w:t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后端</w:t>
            </w:r>
          </w:p>
        </w:tc>
        <w:tc>
          <w:tcPr>
            <w:tcW w:type="dxa" w:w="7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pytest 相关测试；必要时真实调用 /api/chat/stream；检查后端 checkpoint 日志和 final payload。</w:t>
            </w:r>
          </w:p>
        </w:tc>
      </w:tr>
      <w:t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前端</w:t>
            </w:r>
          </w:p>
        </w:tc>
        <w:tc>
          <w:tcPr>
            <w:tcW w:type="dxa" w:w="7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npm run lint、npm run build、Vitest；必要时使用浏览器打开 /chat、/datasets、/audit-query 做页面验收。</w:t>
            </w:r>
          </w:p>
        </w:tc>
      </w:tr>
      <w:t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多轮</w:t>
            </w:r>
          </w:p>
        </w:tc>
        <w:tc>
          <w:tcPr>
            <w:tcW w:type="dxa" w:w="7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核对 ConversationStore、pending_clarification、last_success_task、subagent_capsules 和 query_artifact。</w:t>
            </w:r>
          </w:p>
        </w:tc>
      </w:tr>
      <w:t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可观测</w:t>
            </w:r>
          </w:p>
        </w:tc>
        <w:tc>
          <w:tcPr>
            <w:tcW w:type="dxa" w:w="7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核对 Langfuse trace、Datalogue trace index、SSE step、response metadata 和 prompt 版本。</w:t>
            </w:r>
          </w:p>
        </w:tc>
      </w:tr>
      <w:t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治理</w:t>
            </w:r>
          </w:p>
        </w:tc>
        <w:tc>
          <w:tcPr>
            <w:tcW w:type="dxa" w:w="7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核对 Manifest current 状态、schema_hash、permission_scope、quality_status 和路由置信度。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12. 当前状态与后续风险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020"/>
          <w:sz w:val="22"/>
        </w:rPr>
        <w:t>截至 2026-06-23，项目已经具备智能问数主链路、数据集治理、SubAgent Manifest、LeadAgent 两阶段 planner、多轮状态基础、查询产物、Langfuse prompt/trace 和前端 assistant-ui 工作台。后续风险主要集中在真实问数稳定性、复杂问题拆解、跨数据集聚合、权限脱敏、缓存策略和评估闭环。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020"/>
          <w:sz w:val="22"/>
        </w:rPr>
        <w:t>DeepSeek 或 OpenAI-compatible 模型空响应会触发 planner fallback；需要继续用 Langfuse raw response、后端日志和最终 answer 联合定位。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020"/>
          <w:sz w:val="22"/>
        </w:rPr>
        <w:t>规则兜底要持续补齐业务表达，例如“省了多少钱”等金额聚合语义，避免候选资产足够但规则计划误拒。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020"/>
          <w:sz w:val="22"/>
        </w:rPr>
        <w:t>旧设计文档中的部分实现状态已过期，判断现状时应以当前代码、项目记忆和真实链路验证为准。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020"/>
          <w:sz w:val="22"/>
        </w:rPr>
        <w:t>权限注入、敏感字段脱敏、复杂任务拆解、Python 深度分析、正负反馈评估集仍属于后续加强方向。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附录：主要资料来源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020"/>
          <w:sz w:val="22"/>
        </w:rPr>
        <w:t>datalogue-api/README.md：后端定位、技术栈、快速开始、API 概览。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020"/>
          <w:sz w:val="22"/>
        </w:rPr>
        <w:t>docs/数语系统设计方案.md：项目定位、总体架构、端到端业务链路、问数主链路设计。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020"/>
          <w:sz w:val="22"/>
        </w:rPr>
        <w:t>docs/上下文入口.md：任务路由、CodeGraph 优先策略、验证选择。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020"/>
          <w:sz w:val="22"/>
        </w:rPr>
        <w:t>docs/Langfuse可观测能力开发文档.md：可观测架构、配置和接入点。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020"/>
          <w:sz w:val="22"/>
        </w:rPr>
        <w:t>.codex/project-memory.md：2026-06 近期完成记录、验证方式和残留风险。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A5A5A"/>
        <w:sz w:val="18"/>
      </w:rPr>
      <w:t>2026-06-23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5A5A5A"/>
        <w:sz w:val="18"/>
      </w:rPr>
      <w:t>数语 Datalogue | 项目整体介绍手册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