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0845" w14:textId="63BF85B5" w:rsidR="00356295" w:rsidRPr="00356295" w:rsidRDefault="00797913" w:rsidP="00356295">
      <w:pPr>
        <w:pStyle w:val="AgilentSubhead"/>
        <w:rPr>
          <w:rFonts w:ascii="Roboto Light" w:hAnsi="Roboto Light"/>
          <w:sz w:val="36"/>
        </w:rPr>
      </w:pPr>
      <w:r>
        <w:rPr>
          <w:rFonts w:ascii="Roboto Light" w:hAnsi="Roboto Light"/>
          <w:sz w:val="36"/>
        </w:rPr>
        <w:t>Proposal for a simple API</w:t>
      </w:r>
      <w:r>
        <w:rPr>
          <w:rFonts w:ascii="Roboto Light" w:hAnsi="Roboto Light"/>
          <w:sz w:val="36"/>
        </w:rPr>
        <w:br/>
      </w:r>
      <w:r w:rsidR="00F53FC6">
        <w:t>f</w:t>
      </w:r>
      <w:r w:rsidR="00246B68" w:rsidRPr="00246B68">
        <w:t>or the purposes of University of Arizona INSPIRE</w:t>
      </w:r>
    </w:p>
    <w:p w14:paraId="33F67E5D" w14:textId="29E07C45" w:rsidR="00356295" w:rsidRDefault="00356295" w:rsidP="00C7364F">
      <w:pPr>
        <w:pStyle w:val="AgilentSubhead"/>
      </w:pPr>
    </w:p>
    <w:p w14:paraId="3280EC08" w14:textId="6BA850C4" w:rsidR="00663CA4" w:rsidRDefault="00356295">
      <w:pPr>
        <w:pStyle w:val="TOC1"/>
        <w:tabs>
          <w:tab w:val="right" w:pos="8643"/>
        </w:tabs>
        <w:rPr>
          <w:b w:val="0"/>
          <w:bCs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\n \p " " \h \z \u </w:instrText>
      </w:r>
      <w:r>
        <w:fldChar w:fldCharType="separate"/>
      </w:r>
      <w:hyperlink w:anchor="_Toc82667523" w:history="1">
        <w:r w:rsidR="00663CA4" w:rsidRPr="00CC01F8">
          <w:rPr>
            <w:rStyle w:val="a3"/>
            <w:noProof/>
          </w:rPr>
          <w:t>API endpoints</w:t>
        </w:r>
      </w:hyperlink>
    </w:p>
    <w:p w14:paraId="16EBB591" w14:textId="39E96789" w:rsidR="00663CA4" w:rsidRDefault="000374FA">
      <w:pPr>
        <w:pStyle w:val="TOC2"/>
        <w:tabs>
          <w:tab w:val="right" w:pos="8643"/>
        </w:tabs>
        <w:rPr>
          <w:i w:val="0"/>
          <w:iCs w:val="0"/>
          <w:noProof/>
          <w:sz w:val="24"/>
          <w:szCs w:val="24"/>
          <w:lang w:eastAsia="ja-JP"/>
        </w:rPr>
      </w:pPr>
      <w:hyperlink w:anchor="_Toc82667524" w:history="1">
        <w:r w:rsidR="00663CA4" w:rsidRPr="00CC01F8">
          <w:rPr>
            <w:rStyle w:val="a3"/>
            <w:noProof/>
          </w:rPr>
          <w:t>Turning a component on for a given lab</w:t>
        </w:r>
      </w:hyperlink>
    </w:p>
    <w:p w14:paraId="6BA13A2A" w14:textId="0A650BF7" w:rsidR="00663CA4" w:rsidRDefault="000374FA">
      <w:pPr>
        <w:pStyle w:val="TOC2"/>
        <w:tabs>
          <w:tab w:val="right" w:pos="8643"/>
        </w:tabs>
        <w:rPr>
          <w:i w:val="0"/>
          <w:iCs w:val="0"/>
          <w:noProof/>
          <w:sz w:val="24"/>
          <w:szCs w:val="24"/>
          <w:lang w:eastAsia="ja-JP"/>
        </w:rPr>
      </w:pPr>
      <w:hyperlink w:anchor="_Toc82667525" w:history="1">
        <w:r w:rsidR="00663CA4" w:rsidRPr="00CC01F8">
          <w:rPr>
            <w:rStyle w:val="a3"/>
            <w:noProof/>
          </w:rPr>
          <w:t>Turning a component off for a given lab</w:t>
        </w:r>
      </w:hyperlink>
    </w:p>
    <w:p w14:paraId="234149D5" w14:textId="52645C36" w:rsidR="00663CA4" w:rsidRDefault="000374FA">
      <w:pPr>
        <w:pStyle w:val="TOC2"/>
        <w:tabs>
          <w:tab w:val="right" w:pos="8643"/>
        </w:tabs>
        <w:rPr>
          <w:i w:val="0"/>
          <w:iCs w:val="0"/>
          <w:noProof/>
          <w:sz w:val="24"/>
          <w:szCs w:val="24"/>
          <w:lang w:eastAsia="ja-JP"/>
        </w:rPr>
      </w:pPr>
      <w:hyperlink w:anchor="_Toc82667526" w:history="1">
        <w:r w:rsidR="00663CA4" w:rsidRPr="00CC01F8">
          <w:rPr>
            <w:rStyle w:val="a3"/>
            <w:noProof/>
          </w:rPr>
          <w:t>Querying the status of the component</w:t>
        </w:r>
      </w:hyperlink>
    </w:p>
    <w:p w14:paraId="1ABA2B80" w14:textId="7DFB17D9" w:rsidR="00663CA4" w:rsidRDefault="000374FA">
      <w:pPr>
        <w:pStyle w:val="TOC1"/>
        <w:tabs>
          <w:tab w:val="right" w:pos="8643"/>
        </w:tabs>
        <w:rPr>
          <w:b w:val="0"/>
          <w:bCs w:val="0"/>
          <w:noProof/>
          <w:sz w:val="24"/>
          <w:szCs w:val="24"/>
          <w:lang w:eastAsia="ja-JP"/>
        </w:rPr>
      </w:pPr>
      <w:hyperlink w:anchor="_Toc82667527" w:history="1">
        <w:r w:rsidR="00663CA4" w:rsidRPr="00CC01F8">
          <w:rPr>
            <w:rStyle w:val="a3"/>
            <w:noProof/>
          </w:rPr>
          <w:t>Authentication</w:t>
        </w:r>
      </w:hyperlink>
    </w:p>
    <w:p w14:paraId="73238D09" w14:textId="2F7B4AC2" w:rsidR="00663CA4" w:rsidRDefault="000374FA">
      <w:pPr>
        <w:pStyle w:val="TOC1"/>
        <w:tabs>
          <w:tab w:val="right" w:pos="8643"/>
        </w:tabs>
        <w:rPr>
          <w:b w:val="0"/>
          <w:bCs w:val="0"/>
          <w:noProof/>
          <w:sz w:val="24"/>
          <w:szCs w:val="24"/>
          <w:lang w:eastAsia="ja-JP"/>
        </w:rPr>
      </w:pPr>
      <w:hyperlink w:anchor="_Toc82667528" w:history="1">
        <w:r w:rsidR="00663CA4" w:rsidRPr="00CC01F8">
          <w:rPr>
            <w:rStyle w:val="a3"/>
            <w:noProof/>
          </w:rPr>
          <w:t>Configuration</w:t>
        </w:r>
      </w:hyperlink>
    </w:p>
    <w:p w14:paraId="35E693AC" w14:textId="3588AE13" w:rsidR="00663CA4" w:rsidRDefault="000374FA">
      <w:pPr>
        <w:pStyle w:val="TOC2"/>
        <w:tabs>
          <w:tab w:val="right" w:pos="8643"/>
        </w:tabs>
        <w:rPr>
          <w:i w:val="0"/>
          <w:iCs w:val="0"/>
          <w:noProof/>
          <w:sz w:val="24"/>
          <w:szCs w:val="24"/>
          <w:lang w:eastAsia="ja-JP"/>
        </w:rPr>
      </w:pPr>
      <w:hyperlink w:anchor="_Toc82667529" w:history="1">
        <w:r w:rsidR="00663CA4" w:rsidRPr="00CC01F8">
          <w:rPr>
            <w:rStyle w:val="a3"/>
            <w:noProof/>
          </w:rPr>
          <w:t>Interlock</w:t>
        </w:r>
      </w:hyperlink>
    </w:p>
    <w:p w14:paraId="69BBFBA2" w14:textId="03F35686" w:rsidR="00663CA4" w:rsidRDefault="000374FA">
      <w:pPr>
        <w:pStyle w:val="TOC2"/>
        <w:tabs>
          <w:tab w:val="right" w:pos="8643"/>
        </w:tabs>
        <w:rPr>
          <w:i w:val="0"/>
          <w:iCs w:val="0"/>
          <w:noProof/>
          <w:sz w:val="24"/>
          <w:szCs w:val="24"/>
          <w:lang w:eastAsia="ja-JP"/>
        </w:rPr>
      </w:pPr>
      <w:hyperlink w:anchor="_Toc82667530" w:history="1">
        <w:r w:rsidR="00663CA4" w:rsidRPr="00CC01F8">
          <w:rPr>
            <w:rStyle w:val="a3"/>
            <w:noProof/>
          </w:rPr>
          <w:t>Interlock channels</w:t>
        </w:r>
      </w:hyperlink>
    </w:p>
    <w:p w14:paraId="6BB160FF" w14:textId="3CBF6F25" w:rsidR="00663CA4" w:rsidRDefault="000374FA">
      <w:pPr>
        <w:pStyle w:val="TOC1"/>
        <w:tabs>
          <w:tab w:val="right" w:pos="8643"/>
        </w:tabs>
        <w:rPr>
          <w:b w:val="0"/>
          <w:bCs w:val="0"/>
          <w:noProof/>
          <w:sz w:val="24"/>
          <w:szCs w:val="24"/>
          <w:lang w:eastAsia="ja-JP"/>
        </w:rPr>
      </w:pPr>
      <w:hyperlink w:anchor="_Toc82667531" w:history="1">
        <w:r w:rsidR="00663CA4" w:rsidRPr="00CC01F8">
          <w:rPr>
            <w:rStyle w:val="a3"/>
            <w:noProof/>
          </w:rPr>
          <w:t>Networking</w:t>
        </w:r>
      </w:hyperlink>
    </w:p>
    <w:p w14:paraId="44FDF08B" w14:textId="0EE30D1A" w:rsidR="001E3E28" w:rsidRDefault="00356295" w:rsidP="00C7364F">
      <w:pPr>
        <w:pStyle w:val="AgilentSubhead"/>
      </w:pPr>
      <w:r>
        <w:fldChar w:fldCharType="end"/>
      </w:r>
    </w:p>
    <w:p w14:paraId="54298433" w14:textId="3A7214B7" w:rsidR="00356295" w:rsidRDefault="00F53FC6" w:rsidP="00F31285">
      <w:pPr>
        <w:pStyle w:val="1"/>
      </w:pPr>
      <w:bookmarkStart w:id="1" w:name="_Toc82667523"/>
      <w:r>
        <w:t>API endpoints</w:t>
      </w:r>
      <w:bookmarkEnd w:id="1"/>
    </w:p>
    <w:p w14:paraId="45918A3F" w14:textId="7B715D96" w:rsidR="00527AC5" w:rsidRDefault="00527AC5" w:rsidP="00527AC5"/>
    <w:p w14:paraId="091474B3" w14:textId="7DC61432" w:rsidR="00040BD3" w:rsidRDefault="00527AC5" w:rsidP="00527AC5">
      <w:pPr>
        <w:rPr>
          <w:rStyle w:val="20"/>
        </w:rPr>
      </w:pPr>
      <w:bookmarkStart w:id="2" w:name="_Toc82667524"/>
      <w:r w:rsidRPr="002401FB">
        <w:rPr>
          <w:rStyle w:val="20"/>
        </w:rPr>
        <w:t>Turning a</w:t>
      </w:r>
      <w:r w:rsidR="00DA6123" w:rsidRPr="002401FB">
        <w:rPr>
          <w:rStyle w:val="20"/>
        </w:rPr>
        <w:t xml:space="preserve"> c</w:t>
      </w:r>
      <w:r w:rsidR="001C77CD" w:rsidRPr="002401FB">
        <w:rPr>
          <w:rStyle w:val="20"/>
        </w:rPr>
        <w:t xml:space="preserve">omponent </w:t>
      </w:r>
      <w:r w:rsidR="001C77CD" w:rsidRPr="000F2FC4">
        <w:rPr>
          <w:rStyle w:val="20"/>
          <w:i/>
          <w:iCs/>
        </w:rPr>
        <w:t>on</w:t>
      </w:r>
      <w:r w:rsidR="001C77CD" w:rsidRPr="002401FB">
        <w:rPr>
          <w:rStyle w:val="20"/>
        </w:rPr>
        <w:t xml:space="preserve"> for a </w:t>
      </w:r>
      <w:r w:rsidR="00CB1F5A">
        <w:rPr>
          <w:rStyle w:val="20"/>
        </w:rPr>
        <w:t xml:space="preserve">given </w:t>
      </w:r>
      <w:r w:rsidR="001C77CD" w:rsidRPr="002401FB">
        <w:rPr>
          <w:rStyle w:val="20"/>
        </w:rPr>
        <w:t>lab</w:t>
      </w:r>
      <w:bookmarkEnd w:id="2"/>
    </w:p>
    <w:p w14:paraId="4720475E" w14:textId="7000C928" w:rsidR="00527AC5" w:rsidRPr="00700FC7" w:rsidRDefault="00216C62" w:rsidP="00527AC5">
      <w:r w:rsidRPr="00640CB9">
        <w:t xml:space="preserve">When </w:t>
      </w:r>
      <w:r w:rsidR="00640CB9" w:rsidRPr="00640CB9">
        <w:t xml:space="preserve">a </w:t>
      </w:r>
      <w:r w:rsidR="00640CB9">
        <w:t xml:space="preserve">customer </w:t>
      </w:r>
      <w:r w:rsidR="00700FC7">
        <w:t xml:space="preserve">session is started in iLab, we will record the </w:t>
      </w:r>
      <w:r w:rsidR="00700FC7" w:rsidRPr="003F6CE8">
        <w:rPr>
          <w:b/>
          <w:bCs/>
        </w:rPr>
        <w:t xml:space="preserve">customer’s identity </w:t>
      </w:r>
      <w:r w:rsidR="00700FC7">
        <w:t xml:space="preserve">and the </w:t>
      </w:r>
      <w:r w:rsidR="00700FC7" w:rsidRPr="003F6CE8">
        <w:rPr>
          <w:b/>
          <w:bCs/>
        </w:rPr>
        <w:t>time the session h</w:t>
      </w:r>
      <w:r w:rsidR="00700FC7">
        <w:t xml:space="preserve">as started as part of the reservation. </w:t>
      </w:r>
      <w:r w:rsidR="00F75EA9">
        <w:t>At that point we tell the INSPIRE system to enable the corresponding component for a given</w:t>
      </w:r>
      <w:r w:rsidR="00700FC7">
        <w:t xml:space="preserve"> </w:t>
      </w:r>
      <w:r w:rsidR="00F75EA9">
        <w:t>lab:</w:t>
      </w:r>
      <w:r w:rsidR="00700FC7">
        <w:br/>
      </w:r>
      <w:r w:rsidR="009660EA" w:rsidRPr="00640CB9">
        <w:br/>
      </w:r>
      <w:r w:rsidR="009660EA" w:rsidRPr="00216C62">
        <w:rPr>
          <w:rFonts w:ascii="Courier New" w:hAnsi="Courier New" w:cs="Courier New"/>
          <w:shd w:val="pct15" w:color="auto" w:fill="FFFFFF"/>
        </w:rPr>
        <w:t>https://</w:t>
      </w:r>
      <w:r w:rsidR="0051209C" w:rsidRPr="00216C62">
        <w:rPr>
          <w:rFonts w:ascii="Courier New" w:hAnsi="Courier New" w:cs="Courier New"/>
          <w:shd w:val="pct15" w:color="auto" w:fill="FFFFFF"/>
        </w:rPr>
        <w:t>&lt;hostname&gt;/on?component</w:t>
      </w:r>
      <w:r w:rsidR="00FE42FF">
        <w:rPr>
          <w:rFonts w:ascii="Courier New" w:hAnsi="Courier New" w:cs="Courier New"/>
          <w:shd w:val="pct15" w:color="auto" w:fill="FFFFFF"/>
        </w:rPr>
        <w:t>=</w:t>
      </w:r>
      <w:r w:rsidR="0051209C" w:rsidRPr="00216C62">
        <w:rPr>
          <w:rFonts w:ascii="Courier New" w:hAnsi="Courier New" w:cs="Courier New"/>
          <w:shd w:val="pct15" w:color="auto" w:fill="FFFFFF"/>
        </w:rPr>
        <w:t>&lt;component_id&gt;&amp;lab</w:t>
      </w:r>
      <w:r w:rsidR="00FE42FF">
        <w:rPr>
          <w:rFonts w:ascii="Courier New" w:hAnsi="Courier New" w:cs="Courier New"/>
          <w:shd w:val="pct15" w:color="auto" w:fill="FFFFFF"/>
        </w:rPr>
        <w:t>=</w:t>
      </w:r>
      <w:r w:rsidR="0051209C" w:rsidRPr="00216C62">
        <w:rPr>
          <w:rFonts w:ascii="Courier New" w:hAnsi="Courier New" w:cs="Courier New"/>
          <w:shd w:val="pct15" w:color="auto" w:fill="FFFFFF"/>
        </w:rPr>
        <w:t>&lt;lab_id&gt;</w:t>
      </w:r>
    </w:p>
    <w:p w14:paraId="0A40AE73" w14:textId="7468A6AB" w:rsidR="00640CB9" w:rsidRPr="00694E11" w:rsidRDefault="00700FC7" w:rsidP="00700FC7">
      <w:pPr>
        <w:rPr>
          <w:b/>
          <w:bCs/>
          <w:u w:val="single"/>
        </w:rPr>
      </w:pPr>
      <w:r>
        <w:br/>
      </w:r>
      <w:r w:rsidRPr="00694E11">
        <w:rPr>
          <w:b/>
          <w:bCs/>
          <w:u w:val="single"/>
        </w:rPr>
        <w:t>Parameters:</w:t>
      </w:r>
    </w:p>
    <w:p w14:paraId="01E58FB6" w14:textId="49134A67" w:rsidR="00700FC7" w:rsidRDefault="00BF3C15" w:rsidP="00CB1F5A">
      <w:r w:rsidRPr="00694E11">
        <w:rPr>
          <w:b/>
          <w:bCs/>
        </w:rPr>
        <w:t>component</w:t>
      </w:r>
      <w:r>
        <w:t xml:space="preserve">: </w:t>
      </w:r>
      <w:r w:rsidR="00694E11">
        <w:t>a unique identifier that tells the system which component needs to be turned on</w:t>
      </w:r>
      <w:r w:rsidR="00694E11">
        <w:br/>
      </w:r>
      <w:r w:rsidR="00694E11" w:rsidRPr="00375BA3">
        <w:rPr>
          <w:b/>
          <w:bCs/>
        </w:rPr>
        <w:t>lab:</w:t>
      </w:r>
      <w:r w:rsidR="00694E11">
        <w:t xml:space="preserve"> a unique ident</w:t>
      </w:r>
      <w:r w:rsidR="00375BA3">
        <w:t xml:space="preserve">ifier that tells the system which lab </w:t>
      </w:r>
      <w:r w:rsidR="000E1D1E">
        <w:t>the output photon stream should</w:t>
      </w:r>
      <w:r w:rsidR="00375BA3">
        <w:t xml:space="preserve"> be sent to</w:t>
      </w:r>
    </w:p>
    <w:p w14:paraId="25E320F8" w14:textId="1574951A" w:rsidR="009C1F83" w:rsidRDefault="009C1F83" w:rsidP="00CB1F5A"/>
    <w:p w14:paraId="3488B31B" w14:textId="1C99FD47" w:rsidR="009C1F83" w:rsidRPr="00BF3C15" w:rsidRDefault="009C1F83" w:rsidP="00CB1F5A">
      <w:r>
        <w:t xml:space="preserve">The identifiers can be a </w:t>
      </w:r>
      <w:r w:rsidR="003F435D">
        <w:t xml:space="preserve">number or an alphanumeric string, </w:t>
      </w:r>
      <w:proofErr w:type="gramStart"/>
      <w:r w:rsidR="003F435D">
        <w:t>as long as</w:t>
      </w:r>
      <w:proofErr w:type="gramEnd"/>
      <w:r w:rsidR="003F435D">
        <w:t xml:space="preserve"> they are unique.</w:t>
      </w:r>
    </w:p>
    <w:p w14:paraId="10CB50C2" w14:textId="77777777" w:rsidR="00700FC7" w:rsidRPr="00BF3C15" w:rsidRDefault="00700FC7" w:rsidP="00CB1F5A"/>
    <w:p w14:paraId="79A34E09" w14:textId="105B11A5" w:rsidR="00CB1F5A" w:rsidRDefault="00CB1F5A" w:rsidP="00CB1F5A">
      <w:pPr>
        <w:rPr>
          <w:rStyle w:val="20"/>
        </w:rPr>
      </w:pPr>
      <w:bookmarkStart w:id="3" w:name="_Toc82667525"/>
      <w:r w:rsidRPr="002401FB">
        <w:rPr>
          <w:rStyle w:val="20"/>
        </w:rPr>
        <w:t xml:space="preserve">Turning a component </w:t>
      </w:r>
      <w:r w:rsidRPr="000F2FC4">
        <w:rPr>
          <w:rStyle w:val="20"/>
          <w:i/>
          <w:iCs/>
        </w:rPr>
        <w:t>off</w:t>
      </w:r>
      <w:r w:rsidRPr="002401FB">
        <w:rPr>
          <w:rStyle w:val="20"/>
        </w:rPr>
        <w:t xml:space="preserve"> for a </w:t>
      </w:r>
      <w:r>
        <w:rPr>
          <w:rStyle w:val="20"/>
        </w:rPr>
        <w:t xml:space="preserve">given </w:t>
      </w:r>
      <w:r w:rsidRPr="002401FB">
        <w:rPr>
          <w:rStyle w:val="20"/>
        </w:rPr>
        <w:t>lab</w:t>
      </w:r>
      <w:bookmarkEnd w:id="3"/>
    </w:p>
    <w:p w14:paraId="10C09A58" w14:textId="6D127657" w:rsidR="000F2FC4" w:rsidRPr="00F75EA9" w:rsidRDefault="00F75EA9" w:rsidP="00CB1F5A">
      <w:r w:rsidRPr="00F75EA9">
        <w:t>When</w:t>
      </w:r>
      <w:r>
        <w:t xml:space="preserve"> </w:t>
      </w:r>
      <w:r w:rsidR="00464951">
        <w:t xml:space="preserve">the </w:t>
      </w:r>
      <w:r w:rsidR="009C1F83">
        <w:t xml:space="preserve">researcher is done with their work, they can </w:t>
      </w:r>
      <w:r w:rsidR="00B33377">
        <w:t xml:space="preserve">go to iLab and stop their session which will result in iLab sending a request to the following endpoint to turn off the </w:t>
      </w:r>
      <w:r w:rsidR="000E1D1E">
        <w:t>photon stream:</w:t>
      </w:r>
    </w:p>
    <w:p w14:paraId="59D67672" w14:textId="77777777" w:rsidR="000F2FC4" w:rsidRDefault="000F2FC4" w:rsidP="00CB1F5A">
      <w:pPr>
        <w:rPr>
          <w:rStyle w:val="20"/>
        </w:rPr>
      </w:pPr>
    </w:p>
    <w:p w14:paraId="4E9B4C8A" w14:textId="1E4A874C" w:rsidR="000F2FC4" w:rsidRDefault="000F2FC4" w:rsidP="00CB1F5A">
      <w:pPr>
        <w:rPr>
          <w:rStyle w:val="20"/>
        </w:rPr>
      </w:pPr>
      <w:r w:rsidRPr="00216C62">
        <w:rPr>
          <w:rFonts w:ascii="Courier New" w:hAnsi="Courier New" w:cs="Courier New"/>
          <w:shd w:val="pct15" w:color="auto" w:fill="FFFFFF"/>
        </w:rPr>
        <w:t>https://&lt;hostname&gt;/</w:t>
      </w:r>
      <w:r w:rsidR="00E27C1F">
        <w:rPr>
          <w:rFonts w:ascii="Courier New" w:hAnsi="Courier New" w:cs="Courier New"/>
          <w:shd w:val="pct15" w:color="auto" w:fill="FFFFFF"/>
        </w:rPr>
        <w:t>off</w:t>
      </w:r>
      <w:r w:rsidRPr="00216C62">
        <w:rPr>
          <w:rFonts w:ascii="Courier New" w:hAnsi="Courier New" w:cs="Courier New"/>
          <w:shd w:val="pct15" w:color="auto" w:fill="FFFFFF"/>
        </w:rPr>
        <w:t>?component</w:t>
      </w:r>
      <w:r>
        <w:rPr>
          <w:rFonts w:ascii="Courier New" w:hAnsi="Courier New" w:cs="Courier New"/>
          <w:shd w:val="pct15" w:color="auto" w:fill="FFFFFF"/>
        </w:rPr>
        <w:t>=</w:t>
      </w:r>
      <w:r w:rsidRPr="00216C62">
        <w:rPr>
          <w:rFonts w:ascii="Courier New" w:hAnsi="Courier New" w:cs="Courier New"/>
          <w:shd w:val="pct15" w:color="auto" w:fill="FFFFFF"/>
        </w:rPr>
        <w:t>&lt;component_id&gt;&amp;lab</w:t>
      </w:r>
      <w:r>
        <w:rPr>
          <w:rFonts w:ascii="Courier New" w:hAnsi="Courier New" w:cs="Courier New"/>
          <w:shd w:val="pct15" w:color="auto" w:fill="FFFFFF"/>
        </w:rPr>
        <w:t>=</w:t>
      </w:r>
      <w:r w:rsidRPr="00216C62">
        <w:rPr>
          <w:rFonts w:ascii="Courier New" w:hAnsi="Courier New" w:cs="Courier New"/>
          <w:shd w:val="pct15" w:color="auto" w:fill="FFFFFF"/>
        </w:rPr>
        <w:t>&lt;lab_id&gt;</w:t>
      </w:r>
    </w:p>
    <w:p w14:paraId="4C763E61" w14:textId="3F4E609A" w:rsidR="00216C62" w:rsidRDefault="00216C62" w:rsidP="00527AC5"/>
    <w:p w14:paraId="3CDCC5FE" w14:textId="1B862B8B" w:rsidR="000E1D1E" w:rsidRDefault="000E1D1E" w:rsidP="00527AC5">
      <w:r>
        <w:t>The parameters are the same as above.</w:t>
      </w:r>
    </w:p>
    <w:p w14:paraId="7B17135A" w14:textId="77777777" w:rsidR="000E1D1E" w:rsidRDefault="000E1D1E" w:rsidP="00527AC5"/>
    <w:p w14:paraId="04F0E265" w14:textId="74831C7B" w:rsidR="00216C62" w:rsidRPr="00AF1B84" w:rsidRDefault="00CB1F5A" w:rsidP="00527AC5">
      <w:pPr>
        <w:rPr>
          <w:rStyle w:val="20"/>
        </w:rPr>
      </w:pPr>
      <w:bookmarkStart w:id="4" w:name="_Toc82667526"/>
      <w:r w:rsidRPr="00AF1B84">
        <w:rPr>
          <w:rStyle w:val="20"/>
        </w:rPr>
        <w:t>Querying the status of the component</w:t>
      </w:r>
      <w:bookmarkEnd w:id="4"/>
    </w:p>
    <w:p w14:paraId="56DE176A" w14:textId="77777777" w:rsidR="000F2FC4" w:rsidRDefault="00CB1F5A" w:rsidP="00527AC5">
      <w:r>
        <w:lastRenderedPageBreak/>
        <w:t xml:space="preserve">To ensure that the </w:t>
      </w:r>
      <w:r w:rsidRPr="000F2FC4">
        <w:rPr>
          <w:i/>
          <w:iCs/>
        </w:rPr>
        <w:t>on</w:t>
      </w:r>
      <w:r>
        <w:t xml:space="preserve"> or </w:t>
      </w:r>
      <w:r w:rsidRPr="000F2FC4">
        <w:rPr>
          <w:i/>
          <w:iCs/>
        </w:rPr>
        <w:t>off</w:t>
      </w:r>
      <w:r>
        <w:t xml:space="preserve"> operation has succeeded and to be able to display the </w:t>
      </w:r>
      <w:r w:rsidR="00AF1B84">
        <w:t>correct status in iLab, we need to be able to query whether the INSPIRE system considers a given component</w:t>
      </w:r>
      <w:r w:rsidR="000F2FC4">
        <w:t xml:space="preserve"> </w:t>
      </w:r>
      <w:r w:rsidR="000F2FC4" w:rsidRPr="00375BA3">
        <w:rPr>
          <w:i/>
          <w:iCs/>
        </w:rPr>
        <w:t>on</w:t>
      </w:r>
      <w:r w:rsidR="000F2FC4">
        <w:t xml:space="preserve"> or </w:t>
      </w:r>
      <w:r w:rsidR="000F2FC4" w:rsidRPr="00375BA3">
        <w:rPr>
          <w:i/>
          <w:iCs/>
        </w:rPr>
        <w:t>off</w:t>
      </w:r>
      <w:r w:rsidR="000F2FC4">
        <w:t>:</w:t>
      </w:r>
    </w:p>
    <w:p w14:paraId="64E89710" w14:textId="24B337BA" w:rsidR="00CB1F5A" w:rsidRPr="00527AC5" w:rsidRDefault="000F2FC4" w:rsidP="00527AC5">
      <w:r>
        <w:br/>
      </w:r>
      <w:r w:rsidRPr="00216C62">
        <w:rPr>
          <w:rFonts w:ascii="Courier New" w:hAnsi="Courier New" w:cs="Courier New"/>
          <w:shd w:val="pct15" w:color="auto" w:fill="FFFFFF"/>
        </w:rPr>
        <w:t>https://&lt;hostname&gt;/</w:t>
      </w:r>
      <w:r>
        <w:rPr>
          <w:rFonts w:ascii="Courier New" w:hAnsi="Courier New" w:cs="Courier New"/>
          <w:shd w:val="pct15" w:color="auto" w:fill="FFFFFF"/>
        </w:rPr>
        <w:t>query</w:t>
      </w:r>
      <w:r w:rsidRPr="00216C62">
        <w:rPr>
          <w:rFonts w:ascii="Courier New" w:hAnsi="Courier New" w:cs="Courier New"/>
          <w:shd w:val="pct15" w:color="auto" w:fill="FFFFFF"/>
        </w:rPr>
        <w:t>?component</w:t>
      </w:r>
      <w:r>
        <w:rPr>
          <w:rFonts w:ascii="Courier New" w:hAnsi="Courier New" w:cs="Courier New"/>
          <w:shd w:val="pct15" w:color="auto" w:fill="FFFFFF"/>
        </w:rPr>
        <w:t>=</w:t>
      </w:r>
      <w:r w:rsidRPr="00216C62">
        <w:rPr>
          <w:rFonts w:ascii="Courier New" w:hAnsi="Courier New" w:cs="Courier New"/>
          <w:shd w:val="pct15" w:color="auto" w:fill="FFFFFF"/>
        </w:rPr>
        <w:t>&lt;component_id&gt;&amp;lab</w:t>
      </w:r>
      <w:r>
        <w:rPr>
          <w:rFonts w:ascii="Courier New" w:hAnsi="Courier New" w:cs="Courier New"/>
          <w:shd w:val="pct15" w:color="auto" w:fill="FFFFFF"/>
        </w:rPr>
        <w:t>=</w:t>
      </w:r>
      <w:r w:rsidRPr="00216C62">
        <w:rPr>
          <w:rFonts w:ascii="Courier New" w:hAnsi="Courier New" w:cs="Courier New"/>
          <w:shd w:val="pct15" w:color="auto" w:fill="FFFFFF"/>
        </w:rPr>
        <w:t>&lt;lab_id&gt;</w:t>
      </w:r>
    </w:p>
    <w:p w14:paraId="53331EF8" w14:textId="77777777" w:rsidR="00F53FC6" w:rsidRPr="00F53FC6" w:rsidRDefault="00F53FC6" w:rsidP="00F53FC6"/>
    <w:p w14:paraId="5E7D404F" w14:textId="6DC232E0" w:rsidR="00F53FC6" w:rsidRDefault="00F53FC6" w:rsidP="00F53FC6">
      <w:pPr>
        <w:pStyle w:val="1"/>
      </w:pPr>
      <w:bookmarkStart w:id="5" w:name="_Toc82667527"/>
      <w:r>
        <w:t>Authentication</w:t>
      </w:r>
      <w:bookmarkEnd w:id="5"/>
    </w:p>
    <w:p w14:paraId="4E26A1A7" w14:textId="4986BEFC" w:rsidR="00DA6123" w:rsidRDefault="00DA6123" w:rsidP="00DA6123">
      <w:r>
        <w:t xml:space="preserve">To keep things simple and </w:t>
      </w:r>
      <w:r w:rsidR="00D701D8">
        <w:t>secure</w:t>
      </w:r>
      <w:r w:rsidR="00FE42FF">
        <w:t xml:space="preserve"> we can implement auth</w:t>
      </w:r>
      <w:r w:rsidR="00E611E5">
        <w:t>e</w:t>
      </w:r>
      <w:r w:rsidR="00FE42FF">
        <w:t>n</w:t>
      </w:r>
      <w:r w:rsidR="00E611E5">
        <w:t>tication</w:t>
      </w:r>
      <w:r w:rsidR="00FE42FF">
        <w:t xml:space="preserve"> based on </w:t>
      </w:r>
      <w:r w:rsidR="0042283F">
        <w:t>an API key</w:t>
      </w:r>
      <w:r w:rsidR="00FE42FF">
        <w:t xml:space="preserve">. </w:t>
      </w:r>
      <w:proofErr w:type="gramStart"/>
      <w:r w:rsidR="00E611E5">
        <w:t>As long as</w:t>
      </w:r>
      <w:proofErr w:type="gramEnd"/>
      <w:r w:rsidR="00E611E5">
        <w:t xml:space="preserve"> the communication with the target system is over HTTPS this </w:t>
      </w:r>
      <w:r w:rsidR="0042283F">
        <w:t>key</w:t>
      </w:r>
      <w:r w:rsidR="00E611E5">
        <w:t xml:space="preserve"> should stay secure from interception. It can also be changed periodically to enhance </w:t>
      </w:r>
      <w:r w:rsidR="00042BF7">
        <w:t>security</w:t>
      </w:r>
      <w:r w:rsidR="00E611E5">
        <w:t>. It will be entered in the iLab interface</w:t>
      </w:r>
      <w:r w:rsidR="00042BF7">
        <w:t xml:space="preserve"> and then send as a header with the request:</w:t>
      </w:r>
    </w:p>
    <w:p w14:paraId="72740618" w14:textId="43F0C2B7" w:rsidR="00042BF7" w:rsidRDefault="00042BF7" w:rsidP="00DA6123"/>
    <w:p w14:paraId="066ABFE0" w14:textId="29E49A6B" w:rsidR="00BE54E6" w:rsidRDefault="00832846" w:rsidP="00832846">
      <w:pPr>
        <w:pStyle w:val="code"/>
      </w:pPr>
      <w:r>
        <w:t xml:space="preserve">X-API-Key: </w:t>
      </w:r>
      <w:r w:rsidRPr="00832846">
        <w:t>hOc2wGhPPraHMPxB4UYP6MXIyTgDoFTGxUnF/Wqn8lzVWIN2kljgQg==</w:t>
      </w:r>
      <w:r>
        <w:t xml:space="preserve"> </w:t>
      </w:r>
    </w:p>
    <w:p w14:paraId="650F0BC2" w14:textId="4204BCBC" w:rsidR="00042BF7" w:rsidRDefault="00042BF7" w:rsidP="00DA6123"/>
    <w:p w14:paraId="4AC9452C" w14:textId="440C42CA" w:rsidR="00832846" w:rsidRDefault="00832846" w:rsidP="00DA6123">
      <w:r>
        <w:t>The API key can be generated randomly, for example with this command, in a UNIX-like system:</w:t>
      </w:r>
    </w:p>
    <w:p w14:paraId="764EC6CB" w14:textId="472D48B7" w:rsidR="00832846" w:rsidRDefault="00832846" w:rsidP="00DA6123"/>
    <w:p w14:paraId="2F4B6EC5" w14:textId="218BD6C3" w:rsidR="00832846" w:rsidRPr="00DA6123" w:rsidRDefault="00832846" w:rsidP="00832846">
      <w:pPr>
        <w:pStyle w:val="code"/>
      </w:pPr>
      <w:proofErr w:type="spellStart"/>
      <w:r w:rsidRPr="00832846">
        <w:t>openssl</w:t>
      </w:r>
      <w:proofErr w:type="spellEnd"/>
      <w:r w:rsidRPr="00832846">
        <w:t xml:space="preserve"> rand -base64 40</w:t>
      </w:r>
    </w:p>
    <w:p w14:paraId="6E5DF7B4" w14:textId="3724AABB" w:rsidR="0048140F" w:rsidRDefault="00F53FC6" w:rsidP="00F53FC6">
      <w:pPr>
        <w:pStyle w:val="1"/>
      </w:pPr>
      <w:bookmarkStart w:id="6" w:name="_Toc82667528"/>
      <w:r>
        <w:t>Configuration</w:t>
      </w:r>
      <w:bookmarkEnd w:id="6"/>
    </w:p>
    <w:p w14:paraId="2B80CB83" w14:textId="13B7DD3C" w:rsidR="008500F4" w:rsidRDefault="00B154BD" w:rsidP="008500F4">
      <w:r>
        <w:t>In iLab the</w:t>
      </w:r>
      <w:r w:rsidRPr="00266FCF">
        <w:rPr>
          <w:u w:val="single"/>
        </w:rPr>
        <w:t xml:space="preserve"> needed configuration is stored in an Interlock object</w:t>
      </w:r>
      <w:r>
        <w:t>, which can have multiple channels. Each channel can be associated with a s</w:t>
      </w:r>
      <w:r w:rsidR="00B1403A">
        <w:t xml:space="preserve">pecific calendar, which can have rules related to training, authorization, billing etc. A calendar can also have multiple instances, to indicate that there are several identical resources that can be scheduled </w:t>
      </w:r>
      <w:r w:rsidR="002958FB">
        <w:t xml:space="preserve">in parallel. Instances can be controlled </w:t>
      </w:r>
      <w:proofErr w:type="spellStart"/>
      <w:r w:rsidR="002958FB">
        <w:t>indepdendently</w:t>
      </w:r>
      <w:proofErr w:type="spellEnd"/>
      <w:r w:rsidR="002958FB">
        <w:t xml:space="preserve"> by the interlock system.</w:t>
      </w:r>
    </w:p>
    <w:p w14:paraId="1B4C79D4" w14:textId="77777777" w:rsidR="002958FB" w:rsidRDefault="002958FB" w:rsidP="008500F4"/>
    <w:p w14:paraId="2676C8DE" w14:textId="4D861281" w:rsidR="0022471D" w:rsidRPr="008500F4" w:rsidRDefault="008500F4" w:rsidP="008500F4">
      <w:pPr>
        <w:pStyle w:val="2"/>
      </w:pPr>
      <w:bookmarkStart w:id="7" w:name="_Toc82667529"/>
      <w:r w:rsidRPr="008500F4">
        <w:t>Interlock</w:t>
      </w:r>
      <w:bookmarkEnd w:id="7"/>
    </w:p>
    <w:p w14:paraId="12E7FD9E" w14:textId="7623F722" w:rsidR="00700FC7" w:rsidRDefault="002958FB" w:rsidP="0051209C">
      <w:r>
        <w:t>In the specific case of</w:t>
      </w:r>
      <w:r w:rsidR="009A56B4">
        <w:t xml:space="preserve"> the API endpoints, you will need to cr</w:t>
      </w:r>
      <w:r w:rsidR="00AF1B84">
        <w:t>eate an “interlock” device</w:t>
      </w:r>
      <w:r w:rsidR="00700FC7">
        <w:t xml:space="preserve">, where you will have to enter the </w:t>
      </w:r>
      <w:r w:rsidR="0022471D">
        <w:t>following information</w:t>
      </w:r>
      <w:r w:rsidR="00375BA3">
        <w:t>:</w:t>
      </w:r>
    </w:p>
    <w:p w14:paraId="7F1F7F58" w14:textId="643A0D45" w:rsidR="00375BA3" w:rsidRDefault="00844007" w:rsidP="00375BA3">
      <w:pPr>
        <w:pStyle w:val="ac"/>
        <w:numPr>
          <w:ilvl w:val="0"/>
          <w:numId w:val="27"/>
        </w:numPr>
      </w:pPr>
      <w:r w:rsidRPr="00844007">
        <w:rPr>
          <w:b/>
          <w:bCs/>
        </w:rPr>
        <w:t>hostname:</w:t>
      </w:r>
      <w:r>
        <w:t xml:space="preserve"> the IP address or FQDN of the target machine where the </w:t>
      </w:r>
      <w:r w:rsidR="007A7A47">
        <w:t>API will be running</w:t>
      </w:r>
    </w:p>
    <w:p w14:paraId="2631A3E3" w14:textId="0FAF0EF5" w:rsidR="00844007" w:rsidRDefault="00844007" w:rsidP="00375BA3">
      <w:pPr>
        <w:pStyle w:val="ac"/>
        <w:numPr>
          <w:ilvl w:val="0"/>
          <w:numId w:val="27"/>
        </w:numPr>
      </w:pPr>
      <w:r>
        <w:rPr>
          <w:b/>
          <w:bCs/>
        </w:rPr>
        <w:t>API key:</w:t>
      </w:r>
      <w:r>
        <w:t xml:space="preserve"> The key that will be sent </w:t>
      </w:r>
      <w:r w:rsidR="007A7A47">
        <w:t>to the API endpoint for authentication</w:t>
      </w:r>
    </w:p>
    <w:p w14:paraId="49DD7D68" w14:textId="77777777" w:rsidR="002958FB" w:rsidRDefault="002958FB" w:rsidP="002958FB"/>
    <w:p w14:paraId="372ECD64" w14:textId="555224FA" w:rsidR="00375BA3" w:rsidRDefault="00375BA3" w:rsidP="006B5758">
      <w:pPr>
        <w:pStyle w:val="2"/>
      </w:pPr>
      <w:bookmarkStart w:id="8" w:name="_Toc82667530"/>
      <w:r>
        <w:t>Interlock channels</w:t>
      </w:r>
      <w:bookmarkEnd w:id="8"/>
    </w:p>
    <w:p w14:paraId="4B617E10" w14:textId="05AA5ECE" w:rsidR="00375BA3" w:rsidRDefault="006B5758" w:rsidP="0051209C">
      <w:r>
        <w:t>For each possible combination</w:t>
      </w:r>
      <w:r w:rsidR="00E31794">
        <w:t xml:space="preserve"> of component and lab that will need</w:t>
      </w:r>
      <w:r w:rsidR="00E31794" w:rsidRPr="00266FCF">
        <w:rPr>
          <w:u w:val="single"/>
        </w:rPr>
        <w:t xml:space="preserve"> to be scheduled and ran together</w:t>
      </w:r>
      <w:r w:rsidR="00E31794">
        <w:t xml:space="preserve">, we need to configure </w:t>
      </w:r>
      <w:r w:rsidR="00740CAE">
        <w:t>a channel, which will have the following properties:</w:t>
      </w:r>
    </w:p>
    <w:p w14:paraId="471E33A1" w14:textId="05860247" w:rsidR="0022471D" w:rsidRDefault="002C38FB" w:rsidP="0051209C">
      <w:pPr>
        <w:pStyle w:val="ac"/>
        <w:numPr>
          <w:ilvl w:val="0"/>
          <w:numId w:val="28"/>
        </w:numPr>
      </w:pPr>
      <w:r w:rsidRPr="006928D9">
        <w:rPr>
          <w:b/>
          <w:bCs/>
        </w:rPr>
        <w:t>component:</w:t>
      </w:r>
      <w:r>
        <w:t xml:space="preserve"> The unique component identifier</w:t>
      </w:r>
      <w:r w:rsidR="00882C75">
        <w:t xml:space="preserve"> to be used in the API calls outlined above</w:t>
      </w:r>
    </w:p>
    <w:p w14:paraId="7EF841CC" w14:textId="6C8F06E2" w:rsidR="002C38FB" w:rsidRPr="0051209C" w:rsidRDefault="002C38FB" w:rsidP="0051209C">
      <w:pPr>
        <w:pStyle w:val="ac"/>
        <w:numPr>
          <w:ilvl w:val="0"/>
          <w:numId w:val="28"/>
        </w:numPr>
      </w:pPr>
      <w:r w:rsidRPr="006928D9">
        <w:rPr>
          <w:b/>
          <w:bCs/>
        </w:rPr>
        <w:t>lab:</w:t>
      </w:r>
      <w:r>
        <w:t xml:space="preserve"> </w:t>
      </w:r>
      <w:r w:rsidR="00882C75">
        <w:t>The unique lab identifie</w:t>
      </w:r>
      <w:r w:rsidR="006928D9">
        <w:t>r to use in API calls</w:t>
      </w:r>
    </w:p>
    <w:p w14:paraId="6E19A6F7" w14:textId="789F8261" w:rsidR="001C77CD" w:rsidRDefault="001C77CD" w:rsidP="00D14408">
      <w:pPr>
        <w:pStyle w:val="1"/>
      </w:pPr>
      <w:bookmarkStart w:id="9" w:name="_Toc82667531"/>
      <w:r>
        <w:t>Networking</w:t>
      </w:r>
      <w:bookmarkEnd w:id="9"/>
    </w:p>
    <w:p w14:paraId="1A59C1A5" w14:textId="60F301A8" w:rsidR="0003725F" w:rsidRPr="0003725F" w:rsidRDefault="002F1447" w:rsidP="0003725F">
      <w:r w:rsidRPr="007C3C54">
        <w:rPr>
          <w:u w:val="single"/>
        </w:rPr>
        <w:t xml:space="preserve">The </w:t>
      </w:r>
      <w:proofErr w:type="spellStart"/>
      <w:r w:rsidRPr="007C3C54">
        <w:rPr>
          <w:u w:val="single"/>
        </w:rPr>
        <w:t>iLab</w:t>
      </w:r>
      <w:proofErr w:type="spellEnd"/>
      <w:r w:rsidRPr="007C3C54">
        <w:rPr>
          <w:u w:val="single"/>
        </w:rPr>
        <w:t xml:space="preserve"> Interlock module </w:t>
      </w:r>
      <w:r w:rsidR="00D701D8" w:rsidRPr="007C3C54">
        <w:rPr>
          <w:u w:val="single"/>
        </w:rPr>
        <w:t xml:space="preserve">does not require for the </w:t>
      </w:r>
      <w:r w:rsidR="00E611E5" w:rsidRPr="007C3C54">
        <w:rPr>
          <w:u w:val="single"/>
        </w:rPr>
        <w:t>API endpoints of the interlock devices to be exposed to the Internet</w:t>
      </w:r>
      <w:r w:rsidR="00882C75" w:rsidRPr="007C3C54">
        <w:rPr>
          <w:u w:val="single"/>
        </w:rPr>
        <w:t xml:space="preserve"> a</w:t>
      </w:r>
      <w:r w:rsidR="00AF7386" w:rsidRPr="007C3C54">
        <w:rPr>
          <w:u w:val="single"/>
        </w:rPr>
        <w:t>t large</w:t>
      </w:r>
      <w:r w:rsidR="00AF7386">
        <w:t xml:space="preserve">. This is the purpose of the iLab Bridge, a small device that lives on the customer’s campus and </w:t>
      </w:r>
      <w:r w:rsidR="00A97777">
        <w:t xml:space="preserve">will be the effective originator of the API calls. Therefore, the bridge should be able to reach the target machine where the API is running </w:t>
      </w:r>
      <w:r w:rsidR="00663CA4">
        <w:t>on port 443, or HTTPS.</w:t>
      </w:r>
    </w:p>
    <w:sectPr w:rsidR="0003725F" w:rsidRPr="0003725F" w:rsidSect="002A3EF2">
      <w:headerReference w:type="default" r:id="rId7"/>
      <w:headerReference w:type="first" r:id="rId8"/>
      <w:footerReference w:type="first" r:id="rId9"/>
      <w:pgSz w:w="11900" w:h="16840"/>
      <w:pgMar w:top="2592" w:right="1260" w:bottom="1987" w:left="1987" w:header="1123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A18E8" w14:textId="77777777" w:rsidR="000374FA" w:rsidRDefault="000374FA" w:rsidP="00244867">
      <w:pPr>
        <w:spacing w:line="240" w:lineRule="auto"/>
      </w:pPr>
      <w:r>
        <w:separator/>
      </w:r>
    </w:p>
  </w:endnote>
  <w:endnote w:type="continuationSeparator" w:id="0">
    <w:p w14:paraId="1624C7BF" w14:textId="77777777" w:rsidR="000374FA" w:rsidRDefault="000374FA" w:rsidP="00244867">
      <w:pPr>
        <w:spacing w:line="240" w:lineRule="auto"/>
      </w:pPr>
      <w:r>
        <w:continuationSeparator/>
      </w:r>
    </w:p>
  </w:endnote>
  <w:endnote w:type="continuationNotice" w:id="1">
    <w:p w14:paraId="21723311" w14:textId="77777777" w:rsidR="000374FA" w:rsidRDefault="000374F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  <w:embedRegular r:id="rId1" w:fontKey="{159A2872-11CE-4340-8B98-B8D99733F861}"/>
    <w:embedBold r:id="rId2" w:fontKey="{4E1587E3-9E58-488D-97FE-5575E744AB40}"/>
    <w:embedItalic r:id="rId3" w:fontKey="{B6627668-D011-4944-A05F-A3FE1D366102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  <w:embedRegular r:id="rId4" w:fontKey="{1BE6233D-0487-499A-B849-A31E9C6DFD1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EC47" w14:textId="77777777" w:rsidR="00244867" w:rsidRDefault="00244867" w:rsidP="00A44EF6">
    <w:pPr>
      <w:pStyle w:val="AgilentFooterText"/>
    </w:pPr>
    <w:r w:rsidRPr="00141D7E">
      <w:t xml:space="preserve">Delete this footer text or replace it only with </w:t>
    </w:r>
    <w:proofErr w:type="gramStart"/>
    <w:r w:rsidRPr="00141D7E">
      <w:t>legally-required</w:t>
    </w:r>
    <w:proofErr w:type="gramEnd"/>
    <w:r w:rsidRPr="00141D7E">
      <w:t xml:space="preserve"> country information. No other marks or text should be placed on stationery. Required information and marks, applicable to most European and some Asia countries, can be found in the </w:t>
    </w:r>
    <w:hyperlink r:id="rId1" w:history="1">
      <w:r w:rsidRPr="00141D7E">
        <w:rPr>
          <w:rStyle w:val="a3"/>
        </w:rPr>
        <w:t>Agilent Required Footer Information Matrix</w:t>
      </w:r>
    </w:hyperlink>
    <w:r w:rsidRPr="00141D7E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24450" w14:textId="77777777" w:rsidR="000374FA" w:rsidRDefault="000374FA" w:rsidP="00244867">
      <w:pPr>
        <w:spacing w:line="240" w:lineRule="auto"/>
      </w:pPr>
      <w:bookmarkStart w:id="0" w:name="_Hlk482641483"/>
      <w:bookmarkEnd w:id="0"/>
      <w:r>
        <w:separator/>
      </w:r>
    </w:p>
  </w:footnote>
  <w:footnote w:type="continuationSeparator" w:id="0">
    <w:p w14:paraId="12B4707C" w14:textId="77777777" w:rsidR="000374FA" w:rsidRDefault="000374FA" w:rsidP="00244867">
      <w:pPr>
        <w:spacing w:line="240" w:lineRule="auto"/>
      </w:pPr>
      <w:r>
        <w:continuationSeparator/>
      </w:r>
    </w:p>
  </w:footnote>
  <w:footnote w:type="continuationNotice" w:id="1">
    <w:p w14:paraId="13589E06" w14:textId="77777777" w:rsidR="000374FA" w:rsidRDefault="000374F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3E51C" w14:textId="77777777" w:rsidR="00244867" w:rsidRDefault="00244867" w:rsidP="00313C1F">
    <w:pPr>
      <w:pStyle w:val="AgilentAddressDetail"/>
    </w:pPr>
    <w:r>
      <w:rPr>
        <w:noProof/>
      </w:rPr>
      <w:drawing>
        <wp:anchor distT="0" distB="0" distL="114300" distR="114300" simplePos="0" relativeHeight="251658240" behindDoc="0" locked="1" layoutInCell="1" allowOverlap="1" wp14:anchorId="695FE988" wp14:editId="1F8EF60D">
          <wp:simplePos x="0" y="0"/>
          <wp:positionH relativeFrom="column">
            <wp:posOffset>-484505</wp:posOffset>
          </wp:positionH>
          <wp:positionV relativeFrom="page">
            <wp:posOffset>612775</wp:posOffset>
          </wp:positionV>
          <wp:extent cx="1069848" cy="429768"/>
          <wp:effectExtent l="0" t="0" r="0" b="889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gilent_Letter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848" cy="4297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E0D3" w14:textId="77777777" w:rsidR="00244867" w:rsidRDefault="00244867" w:rsidP="00313C1F">
    <w:pPr>
      <w:pStyle w:val="AgilentAddressDetail"/>
    </w:pPr>
    <w:r>
      <w:rPr>
        <w:noProof/>
      </w:rPr>
      <w:drawing>
        <wp:anchor distT="0" distB="0" distL="114300" distR="114300" simplePos="0" relativeHeight="251658241" behindDoc="0" locked="1" layoutInCell="1" allowOverlap="1" wp14:anchorId="4A821CED" wp14:editId="7C9C7F85">
          <wp:simplePos x="0" y="0"/>
          <wp:positionH relativeFrom="column">
            <wp:posOffset>-488022</wp:posOffset>
          </wp:positionH>
          <wp:positionV relativeFrom="page">
            <wp:posOffset>612949</wp:posOffset>
          </wp:positionV>
          <wp:extent cx="1069848" cy="429768"/>
          <wp:effectExtent l="0" t="0" r="0" b="889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gilent_Letter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848" cy="4297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485E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5CAF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C01B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20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981A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D40E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6CD6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A6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D8A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46FC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07E96"/>
    <w:multiLevelType w:val="hybridMultilevel"/>
    <w:tmpl w:val="EA3C9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65CF"/>
    <w:multiLevelType w:val="hybridMultilevel"/>
    <w:tmpl w:val="41F4838E"/>
    <w:lvl w:ilvl="0" w:tplc="04185F3E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2" w15:restartNumberingAfterBreak="0">
    <w:nsid w:val="0ABD2728"/>
    <w:multiLevelType w:val="multilevel"/>
    <w:tmpl w:val="07F6C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019D9"/>
    <w:multiLevelType w:val="hybridMultilevel"/>
    <w:tmpl w:val="3F063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07626"/>
    <w:multiLevelType w:val="multilevel"/>
    <w:tmpl w:val="E6D40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C1AD8"/>
    <w:multiLevelType w:val="multilevel"/>
    <w:tmpl w:val="3F063CAC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201AC"/>
    <w:multiLevelType w:val="hybridMultilevel"/>
    <w:tmpl w:val="7A36E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8111D"/>
    <w:multiLevelType w:val="multilevel"/>
    <w:tmpl w:val="E6D4027A"/>
    <w:lvl w:ilvl="0">
      <w:start w:val="1"/>
      <w:numFmt w:val="decimal"/>
      <w:lvlText w:val="%1."/>
      <w:lvlJc w:val="left"/>
      <w:pPr>
        <w:ind w:left="648" w:hanging="21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48" w:hanging="21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648" w:hanging="21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8" w:hanging="216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648" w:hanging="216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648" w:hanging="21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" w:hanging="216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648" w:hanging="216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" w:hanging="216"/>
      </w:pPr>
      <w:rPr>
        <w:rFonts w:hint="default"/>
      </w:rPr>
    </w:lvl>
  </w:abstractNum>
  <w:abstractNum w:abstractNumId="18" w15:restartNumberingAfterBreak="0">
    <w:nsid w:val="3ABA20EF"/>
    <w:multiLevelType w:val="hybridMultilevel"/>
    <w:tmpl w:val="9A900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8440E"/>
    <w:multiLevelType w:val="multilevel"/>
    <w:tmpl w:val="E6D40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5616E"/>
    <w:multiLevelType w:val="multilevel"/>
    <w:tmpl w:val="053293AA"/>
    <w:numStyleLink w:val="AgilentNumberedList"/>
  </w:abstractNum>
  <w:abstractNum w:abstractNumId="21" w15:restartNumberingAfterBreak="0">
    <w:nsid w:val="44E433A4"/>
    <w:multiLevelType w:val="hybridMultilevel"/>
    <w:tmpl w:val="533ED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2239F"/>
    <w:multiLevelType w:val="multilevel"/>
    <w:tmpl w:val="E6D40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37EAE"/>
    <w:multiLevelType w:val="hybridMultilevel"/>
    <w:tmpl w:val="34E4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2349E"/>
    <w:multiLevelType w:val="multilevel"/>
    <w:tmpl w:val="053293AA"/>
    <w:styleLink w:val="AgilentNumberedList"/>
    <w:lvl w:ilvl="0">
      <w:start w:val="1"/>
      <w:numFmt w:val="decimal"/>
      <w:pStyle w:val="AgilentBodyNumberedList"/>
      <w:lvlText w:val="%1."/>
      <w:lvlJc w:val="left"/>
      <w:pPr>
        <w:ind w:left="648" w:hanging="21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48" w:hanging="21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648" w:hanging="21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8" w:hanging="216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648" w:hanging="216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648" w:hanging="21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" w:hanging="216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648" w:hanging="216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" w:hanging="216"/>
      </w:pPr>
      <w:rPr>
        <w:rFonts w:hint="default"/>
      </w:rPr>
    </w:lvl>
  </w:abstractNum>
  <w:abstractNum w:abstractNumId="25" w15:restartNumberingAfterBreak="0">
    <w:nsid w:val="69117B62"/>
    <w:multiLevelType w:val="hybridMultilevel"/>
    <w:tmpl w:val="45F8A134"/>
    <w:lvl w:ilvl="0" w:tplc="5B5092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642526"/>
    <w:multiLevelType w:val="hybridMultilevel"/>
    <w:tmpl w:val="B1A0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12"/>
  </w:num>
  <w:num w:numId="4">
    <w:abstractNumId w:val="22"/>
  </w:num>
  <w:num w:numId="5">
    <w:abstractNumId w:val="19"/>
  </w:num>
  <w:num w:numId="6">
    <w:abstractNumId w:val="14"/>
  </w:num>
  <w:num w:numId="7">
    <w:abstractNumId w:val="24"/>
  </w:num>
  <w:num w:numId="8">
    <w:abstractNumId w:val="17"/>
  </w:num>
  <w:num w:numId="9">
    <w:abstractNumId w:val="24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13"/>
  </w:num>
  <w:num w:numId="21">
    <w:abstractNumId w:val="15"/>
  </w:num>
  <w:num w:numId="22">
    <w:abstractNumId w:val="10"/>
  </w:num>
  <w:num w:numId="23">
    <w:abstractNumId w:val="18"/>
  </w:num>
  <w:num w:numId="24">
    <w:abstractNumId w:val="21"/>
  </w:num>
  <w:num w:numId="25">
    <w:abstractNumId w:val="11"/>
  </w:num>
  <w:num w:numId="26">
    <w:abstractNumId w:val="16"/>
  </w:num>
  <w:num w:numId="27">
    <w:abstractNumId w:val="2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removePersonalInformation/>
  <w:removeDateAndTime/>
  <w:embedTrueType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95"/>
    <w:rsid w:val="00003635"/>
    <w:rsid w:val="00015532"/>
    <w:rsid w:val="00023005"/>
    <w:rsid w:val="0003725F"/>
    <w:rsid w:val="000374FA"/>
    <w:rsid w:val="00040BD3"/>
    <w:rsid w:val="00042066"/>
    <w:rsid w:val="00042BF7"/>
    <w:rsid w:val="00093541"/>
    <w:rsid w:val="000D4814"/>
    <w:rsid w:val="000E1D1E"/>
    <w:rsid w:val="000F264F"/>
    <w:rsid w:val="000F2FC4"/>
    <w:rsid w:val="00104633"/>
    <w:rsid w:val="00111896"/>
    <w:rsid w:val="00121F8D"/>
    <w:rsid w:val="001310F8"/>
    <w:rsid w:val="00154286"/>
    <w:rsid w:val="00160859"/>
    <w:rsid w:val="00165CBB"/>
    <w:rsid w:val="00184E96"/>
    <w:rsid w:val="001A02D3"/>
    <w:rsid w:val="001A12B0"/>
    <w:rsid w:val="001A17FC"/>
    <w:rsid w:val="001C2B48"/>
    <w:rsid w:val="001C77CD"/>
    <w:rsid w:val="001D1C32"/>
    <w:rsid w:val="001E3E28"/>
    <w:rsid w:val="001F6B27"/>
    <w:rsid w:val="00204A0C"/>
    <w:rsid w:val="00216C62"/>
    <w:rsid w:val="00217DED"/>
    <w:rsid w:val="0022471D"/>
    <w:rsid w:val="002303DA"/>
    <w:rsid w:val="00230931"/>
    <w:rsid w:val="00231D49"/>
    <w:rsid w:val="002353AD"/>
    <w:rsid w:val="00236E5A"/>
    <w:rsid w:val="002401FB"/>
    <w:rsid w:val="002411B4"/>
    <w:rsid w:val="00242A64"/>
    <w:rsid w:val="00244867"/>
    <w:rsid w:val="00246B68"/>
    <w:rsid w:val="00252E4C"/>
    <w:rsid w:val="00254784"/>
    <w:rsid w:val="00264FF3"/>
    <w:rsid w:val="002652F5"/>
    <w:rsid w:val="00266FCF"/>
    <w:rsid w:val="0027100E"/>
    <w:rsid w:val="00275FAA"/>
    <w:rsid w:val="002830A2"/>
    <w:rsid w:val="002902C2"/>
    <w:rsid w:val="002906E2"/>
    <w:rsid w:val="002958FB"/>
    <w:rsid w:val="00295EE2"/>
    <w:rsid w:val="00297393"/>
    <w:rsid w:val="002A111D"/>
    <w:rsid w:val="002A3EF2"/>
    <w:rsid w:val="002B78CC"/>
    <w:rsid w:val="002C38FB"/>
    <w:rsid w:val="002C640D"/>
    <w:rsid w:val="002D0FAA"/>
    <w:rsid w:val="002E3914"/>
    <w:rsid w:val="002F1447"/>
    <w:rsid w:val="00313C1F"/>
    <w:rsid w:val="003155B9"/>
    <w:rsid w:val="00316655"/>
    <w:rsid w:val="00317B98"/>
    <w:rsid w:val="003207CB"/>
    <w:rsid w:val="00321556"/>
    <w:rsid w:val="00333E56"/>
    <w:rsid w:val="00356295"/>
    <w:rsid w:val="00375BA3"/>
    <w:rsid w:val="00376F66"/>
    <w:rsid w:val="00396383"/>
    <w:rsid w:val="00396893"/>
    <w:rsid w:val="003A18A8"/>
    <w:rsid w:val="003B07BC"/>
    <w:rsid w:val="003D1A5E"/>
    <w:rsid w:val="003D6F70"/>
    <w:rsid w:val="003F435D"/>
    <w:rsid w:val="003F6CE8"/>
    <w:rsid w:val="004116EB"/>
    <w:rsid w:val="00413AA0"/>
    <w:rsid w:val="00415C24"/>
    <w:rsid w:val="0042283F"/>
    <w:rsid w:val="00450913"/>
    <w:rsid w:val="00464951"/>
    <w:rsid w:val="004701AB"/>
    <w:rsid w:val="0048140F"/>
    <w:rsid w:val="004874F7"/>
    <w:rsid w:val="00493568"/>
    <w:rsid w:val="00496252"/>
    <w:rsid w:val="004A004A"/>
    <w:rsid w:val="004B6FB0"/>
    <w:rsid w:val="004D4B0F"/>
    <w:rsid w:val="004D64B2"/>
    <w:rsid w:val="004F1E26"/>
    <w:rsid w:val="00504E36"/>
    <w:rsid w:val="00505C27"/>
    <w:rsid w:val="0051209C"/>
    <w:rsid w:val="00520F6D"/>
    <w:rsid w:val="00522875"/>
    <w:rsid w:val="00527AC5"/>
    <w:rsid w:val="0056022F"/>
    <w:rsid w:val="00564A9D"/>
    <w:rsid w:val="005A5098"/>
    <w:rsid w:val="005A6E75"/>
    <w:rsid w:val="005B52FC"/>
    <w:rsid w:val="005B72A9"/>
    <w:rsid w:val="005C24F6"/>
    <w:rsid w:val="005C5116"/>
    <w:rsid w:val="005E6F81"/>
    <w:rsid w:val="00604719"/>
    <w:rsid w:val="0061710A"/>
    <w:rsid w:val="00622E42"/>
    <w:rsid w:val="006239F7"/>
    <w:rsid w:val="00640CB9"/>
    <w:rsid w:val="006513AE"/>
    <w:rsid w:val="00653458"/>
    <w:rsid w:val="00661725"/>
    <w:rsid w:val="00663CA4"/>
    <w:rsid w:val="00670E59"/>
    <w:rsid w:val="00671A34"/>
    <w:rsid w:val="00672244"/>
    <w:rsid w:val="006749F8"/>
    <w:rsid w:val="00683A4B"/>
    <w:rsid w:val="0068466A"/>
    <w:rsid w:val="00684F8D"/>
    <w:rsid w:val="006928D9"/>
    <w:rsid w:val="00694E11"/>
    <w:rsid w:val="006A37DD"/>
    <w:rsid w:val="006A40F8"/>
    <w:rsid w:val="006B31D9"/>
    <w:rsid w:val="006B5758"/>
    <w:rsid w:val="006D1B20"/>
    <w:rsid w:val="006D3DD0"/>
    <w:rsid w:val="006D64F9"/>
    <w:rsid w:val="006E6CD4"/>
    <w:rsid w:val="006F4A24"/>
    <w:rsid w:val="00700FC7"/>
    <w:rsid w:val="007054F2"/>
    <w:rsid w:val="00711B64"/>
    <w:rsid w:val="00720CA7"/>
    <w:rsid w:val="00734738"/>
    <w:rsid w:val="00735D8A"/>
    <w:rsid w:val="007363B7"/>
    <w:rsid w:val="00740CAE"/>
    <w:rsid w:val="0074356D"/>
    <w:rsid w:val="00745A93"/>
    <w:rsid w:val="00750911"/>
    <w:rsid w:val="00750AA2"/>
    <w:rsid w:val="00756EBB"/>
    <w:rsid w:val="00763657"/>
    <w:rsid w:val="00764AFD"/>
    <w:rsid w:val="007929D6"/>
    <w:rsid w:val="00793EC2"/>
    <w:rsid w:val="00797913"/>
    <w:rsid w:val="007A5EE0"/>
    <w:rsid w:val="007A7A47"/>
    <w:rsid w:val="007C3C54"/>
    <w:rsid w:val="007D0FF1"/>
    <w:rsid w:val="007D1D6F"/>
    <w:rsid w:val="007D4B16"/>
    <w:rsid w:val="007D611E"/>
    <w:rsid w:val="007E0857"/>
    <w:rsid w:val="007E53B7"/>
    <w:rsid w:val="00801FC1"/>
    <w:rsid w:val="00803A3F"/>
    <w:rsid w:val="00813B4A"/>
    <w:rsid w:val="0082026B"/>
    <w:rsid w:val="008249A5"/>
    <w:rsid w:val="00832846"/>
    <w:rsid w:val="00832F04"/>
    <w:rsid w:val="00844007"/>
    <w:rsid w:val="00844C13"/>
    <w:rsid w:val="008500F4"/>
    <w:rsid w:val="008536F6"/>
    <w:rsid w:val="00856D53"/>
    <w:rsid w:val="00861828"/>
    <w:rsid w:val="0086344A"/>
    <w:rsid w:val="00863877"/>
    <w:rsid w:val="00880F36"/>
    <w:rsid w:val="00882C75"/>
    <w:rsid w:val="00886414"/>
    <w:rsid w:val="00896043"/>
    <w:rsid w:val="008A4457"/>
    <w:rsid w:val="008C6E1E"/>
    <w:rsid w:val="008E3DFD"/>
    <w:rsid w:val="008E6699"/>
    <w:rsid w:val="00911E6B"/>
    <w:rsid w:val="00915097"/>
    <w:rsid w:val="00922CF3"/>
    <w:rsid w:val="00925B18"/>
    <w:rsid w:val="00925FB8"/>
    <w:rsid w:val="0093328E"/>
    <w:rsid w:val="00933936"/>
    <w:rsid w:val="009364FF"/>
    <w:rsid w:val="009416FB"/>
    <w:rsid w:val="0094583B"/>
    <w:rsid w:val="009465C3"/>
    <w:rsid w:val="00947987"/>
    <w:rsid w:val="00947B33"/>
    <w:rsid w:val="00963319"/>
    <w:rsid w:val="009660EA"/>
    <w:rsid w:val="0097105B"/>
    <w:rsid w:val="009811F0"/>
    <w:rsid w:val="00984550"/>
    <w:rsid w:val="0099368C"/>
    <w:rsid w:val="009A2A41"/>
    <w:rsid w:val="009A56B4"/>
    <w:rsid w:val="009A7CCF"/>
    <w:rsid w:val="009B6C4F"/>
    <w:rsid w:val="009C1F83"/>
    <w:rsid w:val="009C4045"/>
    <w:rsid w:val="009D1F27"/>
    <w:rsid w:val="009D3E29"/>
    <w:rsid w:val="009E04D8"/>
    <w:rsid w:val="009E391B"/>
    <w:rsid w:val="009E50CB"/>
    <w:rsid w:val="009F4BD5"/>
    <w:rsid w:val="00A0362F"/>
    <w:rsid w:val="00A15C12"/>
    <w:rsid w:val="00A207F1"/>
    <w:rsid w:val="00A36C36"/>
    <w:rsid w:val="00A407A3"/>
    <w:rsid w:val="00A4192E"/>
    <w:rsid w:val="00A44EF6"/>
    <w:rsid w:val="00A533BC"/>
    <w:rsid w:val="00A620AB"/>
    <w:rsid w:val="00A63197"/>
    <w:rsid w:val="00A97777"/>
    <w:rsid w:val="00AA5066"/>
    <w:rsid w:val="00AB08F1"/>
    <w:rsid w:val="00AB09DF"/>
    <w:rsid w:val="00AD1744"/>
    <w:rsid w:val="00AF1B84"/>
    <w:rsid w:val="00AF669F"/>
    <w:rsid w:val="00AF7386"/>
    <w:rsid w:val="00B04475"/>
    <w:rsid w:val="00B05982"/>
    <w:rsid w:val="00B1403A"/>
    <w:rsid w:val="00B14704"/>
    <w:rsid w:val="00B154BD"/>
    <w:rsid w:val="00B33377"/>
    <w:rsid w:val="00B34465"/>
    <w:rsid w:val="00B35F3A"/>
    <w:rsid w:val="00B56CFD"/>
    <w:rsid w:val="00B63AB4"/>
    <w:rsid w:val="00B641C3"/>
    <w:rsid w:val="00B65923"/>
    <w:rsid w:val="00B6789D"/>
    <w:rsid w:val="00B70A7C"/>
    <w:rsid w:val="00B806EE"/>
    <w:rsid w:val="00B849D1"/>
    <w:rsid w:val="00B872DF"/>
    <w:rsid w:val="00B8777C"/>
    <w:rsid w:val="00B9503F"/>
    <w:rsid w:val="00BB4D68"/>
    <w:rsid w:val="00BD0442"/>
    <w:rsid w:val="00BE54E6"/>
    <w:rsid w:val="00BE5607"/>
    <w:rsid w:val="00BE75EB"/>
    <w:rsid w:val="00BF12A7"/>
    <w:rsid w:val="00BF3C15"/>
    <w:rsid w:val="00BF684D"/>
    <w:rsid w:val="00C03A54"/>
    <w:rsid w:val="00C0441B"/>
    <w:rsid w:val="00C04876"/>
    <w:rsid w:val="00C04C2C"/>
    <w:rsid w:val="00C06F7F"/>
    <w:rsid w:val="00C122C6"/>
    <w:rsid w:val="00C2499C"/>
    <w:rsid w:val="00C2603F"/>
    <w:rsid w:val="00C37D5C"/>
    <w:rsid w:val="00C534F1"/>
    <w:rsid w:val="00C63AC4"/>
    <w:rsid w:val="00C65B31"/>
    <w:rsid w:val="00C7364F"/>
    <w:rsid w:val="00C747BA"/>
    <w:rsid w:val="00C75613"/>
    <w:rsid w:val="00CB1F5A"/>
    <w:rsid w:val="00CC4A8A"/>
    <w:rsid w:val="00CC5E8E"/>
    <w:rsid w:val="00CE1050"/>
    <w:rsid w:val="00CF02B6"/>
    <w:rsid w:val="00D10C10"/>
    <w:rsid w:val="00D14408"/>
    <w:rsid w:val="00D1630B"/>
    <w:rsid w:val="00D17F38"/>
    <w:rsid w:val="00D23ABE"/>
    <w:rsid w:val="00D268C7"/>
    <w:rsid w:val="00D3128F"/>
    <w:rsid w:val="00D41B6C"/>
    <w:rsid w:val="00D442E4"/>
    <w:rsid w:val="00D651A1"/>
    <w:rsid w:val="00D701D8"/>
    <w:rsid w:val="00D7676F"/>
    <w:rsid w:val="00D81A9B"/>
    <w:rsid w:val="00D83948"/>
    <w:rsid w:val="00DA6123"/>
    <w:rsid w:val="00DC2C86"/>
    <w:rsid w:val="00DC4E0B"/>
    <w:rsid w:val="00DC6995"/>
    <w:rsid w:val="00DD5DB3"/>
    <w:rsid w:val="00DE68D8"/>
    <w:rsid w:val="00E02E55"/>
    <w:rsid w:val="00E03BF7"/>
    <w:rsid w:val="00E11D84"/>
    <w:rsid w:val="00E1429F"/>
    <w:rsid w:val="00E1492D"/>
    <w:rsid w:val="00E178F5"/>
    <w:rsid w:val="00E17B87"/>
    <w:rsid w:val="00E20BEA"/>
    <w:rsid w:val="00E27C1F"/>
    <w:rsid w:val="00E31794"/>
    <w:rsid w:val="00E3528D"/>
    <w:rsid w:val="00E50476"/>
    <w:rsid w:val="00E578A1"/>
    <w:rsid w:val="00E611E5"/>
    <w:rsid w:val="00E64125"/>
    <w:rsid w:val="00E64272"/>
    <w:rsid w:val="00E83AE5"/>
    <w:rsid w:val="00E87395"/>
    <w:rsid w:val="00EC4667"/>
    <w:rsid w:val="00F13538"/>
    <w:rsid w:val="00F15D0A"/>
    <w:rsid w:val="00F22720"/>
    <w:rsid w:val="00F23C0B"/>
    <w:rsid w:val="00F2444B"/>
    <w:rsid w:val="00F31285"/>
    <w:rsid w:val="00F32516"/>
    <w:rsid w:val="00F33D6F"/>
    <w:rsid w:val="00F35761"/>
    <w:rsid w:val="00F412A2"/>
    <w:rsid w:val="00F470EB"/>
    <w:rsid w:val="00F47922"/>
    <w:rsid w:val="00F50144"/>
    <w:rsid w:val="00F52E78"/>
    <w:rsid w:val="00F53FC6"/>
    <w:rsid w:val="00F564A1"/>
    <w:rsid w:val="00F57FCC"/>
    <w:rsid w:val="00F75EA9"/>
    <w:rsid w:val="00F764DB"/>
    <w:rsid w:val="00F803B3"/>
    <w:rsid w:val="00F81C46"/>
    <w:rsid w:val="00F90CBF"/>
    <w:rsid w:val="00F91564"/>
    <w:rsid w:val="00F93BEE"/>
    <w:rsid w:val="00FB6F40"/>
    <w:rsid w:val="00FD004D"/>
    <w:rsid w:val="00FD1173"/>
    <w:rsid w:val="00FD424D"/>
    <w:rsid w:val="00FD7403"/>
    <w:rsid w:val="00FD7E98"/>
    <w:rsid w:val="00FE06B6"/>
    <w:rsid w:val="00FE2CAF"/>
    <w:rsid w:val="00FE42FF"/>
    <w:rsid w:val="00FE5A24"/>
    <w:rsid w:val="00FF4704"/>
    <w:rsid w:val="3EF302AA"/>
    <w:rsid w:val="58FBB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78B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17"/>
        <w:szCs w:val="17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semiHidden/>
    <w:rsid w:val="005E6F81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semiHidden/>
    <w:qFormat/>
    <w:rsid w:val="003562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639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57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639F" w:themeColor="accent1" w:themeShade="BF"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64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26A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19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39F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7D5C"/>
    <w:rPr>
      <w:color w:val="0085D5"/>
      <w:u w:val="single"/>
    </w:rPr>
  </w:style>
  <w:style w:type="character" w:styleId="a4">
    <w:name w:val="Mention"/>
    <w:basedOn w:val="a0"/>
    <w:uiPriority w:val="99"/>
    <w:semiHidden/>
    <w:unhideWhenUsed/>
    <w:rsid w:val="00244867"/>
    <w:rPr>
      <w:color w:val="2B579A"/>
      <w:shd w:val="clear" w:color="auto" w:fill="E6E6E6"/>
    </w:rPr>
  </w:style>
  <w:style w:type="paragraph" w:styleId="a5">
    <w:name w:val="header"/>
    <w:basedOn w:val="a"/>
    <w:link w:val="a6"/>
    <w:uiPriority w:val="99"/>
    <w:semiHidden/>
    <w:rsid w:val="008E6699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页眉 字符"/>
    <w:basedOn w:val="a0"/>
    <w:link w:val="a5"/>
    <w:uiPriority w:val="99"/>
    <w:semiHidden/>
    <w:rsid w:val="008E6699"/>
  </w:style>
  <w:style w:type="paragraph" w:styleId="a7">
    <w:name w:val="footer"/>
    <w:basedOn w:val="a"/>
    <w:link w:val="a8"/>
    <w:uiPriority w:val="99"/>
    <w:semiHidden/>
    <w:rsid w:val="008E6699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页脚 字符"/>
    <w:basedOn w:val="a0"/>
    <w:link w:val="a7"/>
    <w:uiPriority w:val="99"/>
    <w:semiHidden/>
    <w:rsid w:val="008E6699"/>
  </w:style>
  <w:style w:type="table" w:styleId="a9">
    <w:name w:val="Table Grid"/>
    <w:basedOn w:val="a1"/>
    <w:uiPriority w:val="39"/>
    <w:rsid w:val="002448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gilentCommuniqueBody">
    <w:name w:val="Agilent Communique Body"/>
    <w:qFormat/>
    <w:rsid w:val="0099368C"/>
    <w:rPr>
      <w:rFonts w:ascii="Roboto Light" w:hAnsi="Roboto Light"/>
      <w:sz w:val="20"/>
    </w:rPr>
  </w:style>
  <w:style w:type="paragraph" w:customStyle="1" w:styleId="AgilentAddressDetail">
    <w:name w:val="Agilent Address Detail"/>
    <w:qFormat/>
    <w:rsid w:val="004701AB"/>
    <w:pPr>
      <w:spacing w:line="190" w:lineRule="exact"/>
    </w:pPr>
    <w:rPr>
      <w:rFonts w:ascii="Roboto Light" w:hAnsi="Roboto Light"/>
      <w:sz w:val="14"/>
    </w:rPr>
  </w:style>
  <w:style w:type="paragraph" w:customStyle="1" w:styleId="AgilentFooterText">
    <w:name w:val="Agilent Footer Text"/>
    <w:qFormat/>
    <w:rsid w:val="004701AB"/>
    <w:pPr>
      <w:spacing w:line="140" w:lineRule="exact"/>
    </w:pPr>
    <w:rPr>
      <w:rFonts w:ascii="Roboto Light" w:hAnsi="Roboto Light"/>
      <w:sz w:val="12"/>
    </w:rPr>
  </w:style>
  <w:style w:type="character" w:styleId="aa">
    <w:name w:val="FollowedHyperlink"/>
    <w:basedOn w:val="a0"/>
    <w:uiPriority w:val="99"/>
    <w:semiHidden/>
    <w:unhideWhenUsed/>
    <w:rsid w:val="0068466A"/>
    <w:rPr>
      <w:color w:val="80276C"/>
      <w:u w:val="single"/>
    </w:rPr>
  </w:style>
  <w:style w:type="paragraph" w:customStyle="1" w:styleId="AgilentDocTitle">
    <w:name w:val="Agilent Doc Title"/>
    <w:autoRedefine/>
    <w:qFormat/>
    <w:rsid w:val="0099368C"/>
    <w:pPr>
      <w:spacing w:line="240" w:lineRule="auto"/>
    </w:pPr>
    <w:rPr>
      <w:rFonts w:ascii="Roboto Light" w:hAnsi="Roboto Light"/>
      <w:sz w:val="36"/>
    </w:rPr>
  </w:style>
  <w:style w:type="paragraph" w:customStyle="1" w:styleId="AgilentSubhead">
    <w:name w:val="Agilent Subhead"/>
    <w:autoRedefine/>
    <w:qFormat/>
    <w:rsid w:val="0099368C"/>
    <w:pPr>
      <w:spacing w:line="240" w:lineRule="auto"/>
    </w:pPr>
    <w:rPr>
      <w:rFonts w:ascii="Roboto" w:hAnsi="Roboto"/>
      <w:sz w:val="24"/>
    </w:rPr>
  </w:style>
  <w:style w:type="paragraph" w:customStyle="1" w:styleId="AgilentBodyText">
    <w:name w:val="Agilent Body Text"/>
    <w:autoRedefine/>
    <w:qFormat/>
    <w:rsid w:val="004116EB"/>
    <w:pPr>
      <w:spacing w:line="240" w:lineRule="auto"/>
    </w:pPr>
    <w:rPr>
      <w:rFonts w:ascii="Roboto Light" w:hAnsi="Roboto Light"/>
      <w:sz w:val="20"/>
    </w:rPr>
  </w:style>
  <w:style w:type="paragraph" w:customStyle="1" w:styleId="AgilentBodyNumberedList">
    <w:name w:val="Agilent Body Numbered List"/>
    <w:basedOn w:val="AgilentBodyText"/>
    <w:qFormat/>
    <w:rsid w:val="004701AB"/>
    <w:pPr>
      <w:numPr>
        <w:numId w:val="1"/>
      </w:numPr>
    </w:pPr>
  </w:style>
  <w:style w:type="numbering" w:customStyle="1" w:styleId="AgilentNumberedList">
    <w:name w:val="Agilent Numbered List"/>
    <w:uiPriority w:val="99"/>
    <w:rsid w:val="001D1C32"/>
    <w:pPr>
      <w:numPr>
        <w:numId w:val="7"/>
      </w:numPr>
    </w:pPr>
  </w:style>
  <w:style w:type="character" w:customStyle="1" w:styleId="10">
    <w:name w:val="标题 1 字符"/>
    <w:basedOn w:val="a0"/>
    <w:link w:val="1"/>
    <w:uiPriority w:val="9"/>
    <w:semiHidden/>
    <w:rsid w:val="00356295"/>
    <w:rPr>
      <w:rFonts w:asciiTheme="majorHAnsi" w:eastAsiaTheme="majorEastAsia" w:hAnsiTheme="majorHAnsi" w:cstheme="majorBidi"/>
      <w:color w:val="00639F" w:themeColor="accent1" w:themeShade="BF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56295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356295"/>
    <w:pPr>
      <w:spacing w:before="120"/>
      <w:ind w:left="170"/>
    </w:pPr>
    <w:rPr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356295"/>
    <w:pPr>
      <w:ind w:left="34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356295"/>
    <w:pPr>
      <w:ind w:left="51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356295"/>
    <w:pPr>
      <w:ind w:left="68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356295"/>
    <w:pPr>
      <w:ind w:left="85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356295"/>
    <w:pPr>
      <w:ind w:left="102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356295"/>
    <w:pPr>
      <w:ind w:left="119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356295"/>
    <w:pPr>
      <w:ind w:left="1360"/>
    </w:pPr>
    <w:rPr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6B5758"/>
    <w:rPr>
      <w:rFonts w:asciiTheme="majorHAnsi" w:eastAsiaTheme="majorEastAsia" w:hAnsiTheme="majorHAnsi" w:cstheme="majorBidi"/>
      <w:color w:val="00639F" w:themeColor="accent1" w:themeShade="BF"/>
      <w:sz w:val="22"/>
      <w:szCs w:val="26"/>
    </w:rPr>
  </w:style>
  <w:style w:type="character" w:customStyle="1" w:styleId="30">
    <w:name w:val="标题 3 字符"/>
    <w:basedOn w:val="a0"/>
    <w:link w:val="3"/>
    <w:uiPriority w:val="9"/>
    <w:rsid w:val="00F764DB"/>
    <w:rPr>
      <w:rFonts w:asciiTheme="majorHAnsi" w:eastAsiaTheme="majorEastAsia" w:hAnsiTheme="majorHAnsi" w:cstheme="majorBidi"/>
      <w:color w:val="00426A" w:themeColor="accent1" w:themeShade="7F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236E5A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A4192E"/>
    <w:rPr>
      <w:rFonts w:asciiTheme="majorHAnsi" w:eastAsiaTheme="majorEastAsia" w:hAnsiTheme="majorHAnsi" w:cstheme="majorBidi"/>
      <w:i/>
      <w:iCs/>
      <w:color w:val="00639F" w:themeColor="accent1" w:themeShade="BF"/>
    </w:rPr>
  </w:style>
  <w:style w:type="paragraph" w:styleId="ac">
    <w:name w:val="List Paragraph"/>
    <w:basedOn w:val="a"/>
    <w:uiPriority w:val="34"/>
    <w:semiHidden/>
    <w:qFormat/>
    <w:rsid w:val="00D7676F"/>
    <w:pPr>
      <w:ind w:left="720"/>
      <w:contextualSpacing/>
    </w:p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Pr>
      <w:rFonts w:eastAsiaTheme="minorEastAsia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numbering" w:customStyle="1" w:styleId="CurrentList1">
    <w:name w:val="Current List1"/>
    <w:uiPriority w:val="99"/>
    <w:rsid w:val="007D0FF1"/>
    <w:pPr>
      <w:numPr>
        <w:numId w:val="21"/>
      </w:numPr>
    </w:pPr>
  </w:style>
  <w:style w:type="paragraph" w:customStyle="1" w:styleId="code">
    <w:name w:val="code"/>
    <w:basedOn w:val="a"/>
    <w:rsid w:val="00640CB9"/>
    <w:rPr>
      <w:rFonts w:ascii="Courier New" w:hAnsi="Courier New" w:cs="Courier New"/>
      <w:shd w:val="pct15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marketing.agilent.com/brand/office_footer.s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gilent 2017">
      <a:dk1>
        <a:srgbClr val="53565A"/>
      </a:dk1>
      <a:lt1>
        <a:srgbClr val="FFFFFF"/>
      </a:lt1>
      <a:dk2>
        <a:srgbClr val="000000"/>
      </a:dk2>
      <a:lt2>
        <a:srgbClr val="FFFFFF"/>
      </a:lt2>
      <a:accent1>
        <a:srgbClr val="0085D5"/>
      </a:accent1>
      <a:accent2>
        <a:srgbClr val="F2A900"/>
      </a:accent2>
      <a:accent3>
        <a:srgbClr val="84BD00"/>
      </a:accent3>
      <a:accent4>
        <a:srgbClr val="00A9E0"/>
      </a:accent4>
      <a:accent5>
        <a:srgbClr val="00426A"/>
      </a:accent5>
      <a:accent6>
        <a:srgbClr val="D6001C"/>
      </a:accent6>
      <a:hlink>
        <a:srgbClr val="0085D5"/>
      </a:hlink>
      <a:folHlink>
        <a:srgbClr val="80276C"/>
      </a:folHlink>
    </a:clrScheme>
    <a:fontScheme name="Agilent 2017 - Roboto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Links>
    <vt:vector size="42" baseType="variant"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_Toc82003685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_Toc82003684</vt:lpwstr>
      </vt:variant>
      <vt:variant>
        <vt:i4>1048627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_Toc82003683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_Toc82003682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_Toc82003681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_Toc82003680</vt:lpwstr>
      </vt:variant>
      <vt:variant>
        <vt:i4>1572898</vt:i4>
      </vt:variant>
      <vt:variant>
        <vt:i4>0</vt:i4>
      </vt:variant>
      <vt:variant>
        <vt:i4>0</vt:i4>
      </vt:variant>
      <vt:variant>
        <vt:i4>5</vt:i4>
      </vt:variant>
      <vt:variant>
        <vt:lpwstr>http://marketing.agilent.com/brand/office_footer.shtml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2021-09-10T20:29:00Z</dcterms:created>
  <dcterms:modified xsi:type="dcterms:W3CDTF">2021-12-18T04:48:00Z</dcterms:modified>
</cp:coreProperties>
</file>