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400"/>
        <w:jc w:val="center"/>
      </w:pPr>
      <w:r>
        <w:rPr>
          <w:rFonts w:ascii="Calibri" w:hAnsi="Calibri" w:eastAsia="微软雅黑"/>
          <w:b/>
          <w:color w:val="1F4E78"/>
          <w:sz w:val="48"/>
        </w:rPr>
        <w:t>ZYNQ-7020 FPGA第一版开发方案</w:t>
      </w:r>
    </w:p>
    <w:p>
      <w:pPr>
        <w:spacing w:after="600"/>
        <w:jc w:val="center"/>
      </w:pPr>
      <w:r>
        <w:rPr>
          <w:rFonts w:ascii="Calibri" w:hAnsi="Calibri" w:eastAsia="微软雅黑"/>
          <w:color w:val="17365D"/>
          <w:sz w:val="28"/>
        </w:rPr>
        <w:t>四路nRF SPI接入、同步脉冲、BRAM缓存与STM32 FMC接口</w:t>
      </w:r>
    </w:p>
    <w:tbl>
      <w:tblPr>
        <w:tblStyle w:val="TableGrid"/>
        <w:tblW w:type="dxa" w:w="6803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648"/>
      </w:tblGrid>
      <w:tr>
        <w:tc>
          <w:tcPr>
            <w:tcW w:type="dxa" w:w="215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215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2026年7月</w:t>
            </w:r>
          </w:p>
        </w:tc>
      </w:tr>
      <w:tr>
        <w:tc>
          <w:tcPr>
            <w:tcW w:type="dxa" w:w="215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适用阶段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第一版架构设计与单模块联调</w:t>
            </w:r>
          </w:p>
        </w:tc>
      </w:tr>
      <w:tr>
        <w:tc>
          <w:tcPr>
            <w:tcW w:type="dxa" w:w="215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边界说明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20"/>
              </w:rPr>
              <w:t>第一版PL独立跑通；开发板型号、系统时钟、Bank电压和FMC引脚待ZYNQ板卡资料确认。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color w:val="6B7280"/>
          <w:sz w:val="18"/>
        </w:rPr>
        <w:t>本文件用于冻结接口、职责与验证路径；后续依据实际原理图、引脚表和硬件测试结果迭代。</w:t>
      </w:r>
    </w:p>
    <w:p>
      <w:r>
        <w:br w:type="page"/>
      </w:r>
    </w:p>
    <w:p>
      <w:pPr>
        <w:pStyle w:val="Heading1"/>
      </w:pPr>
      <w:r>
        <w:t>1 设计目标与总体方案</w:t>
      </w:r>
    </w:p>
    <w:tbl>
      <w:tblPr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9297"/>
      </w:tblGrid>
      <w:tr>
        <w:tc>
          <w:tcPr>
            <w:tcW w:type="dxa" w:w="9298"/>
            <w:shd w:fill="EEF5F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1F4E78"/>
                <w:sz w:val="21"/>
              </w:rPr>
              <w:t>第一版架构选择</w:t>
            </w:r>
          </w:p>
          <w:p>
            <w:pPr>
              <w:spacing w:after="0"/>
            </w:pPr>
            <w:r>
              <w:rPr>
                <w:rFonts w:ascii="Calibri" w:hAnsi="Calibri" w:eastAsia="宋体"/>
                <w:sz w:val="20"/>
              </w:rPr>
              <w:t>ZYNQ-7020先作为“带ARM但第一版不依赖ARM的软件可编程逻辑平台”。四路SPI、SYNC脉冲、帧校验、独立FIFO、调度、BRAM双缓冲和FMC从接口全部在PL中完成。PS/Linux与DDR不是跑通主链路的前置条件，第二阶段需要算法或大容量缓存时再增加AXI DMA。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19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nq_pl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宋体"/>
          <w:color w:val="4B5563"/>
          <w:sz w:val="18"/>
        </w:rPr>
        <w:t>图1  ZYNQ-7020 PL第一版模块架构</w:t>
      </w:r>
    </w:p>
    <w:p>
      <w:pPr>
        <w:pStyle w:val="Heading1"/>
      </w:pPr>
      <w:r>
        <w:t>2 功能边界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288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功能</w:t>
            </w:r>
          </w:p>
        </w:tc>
        <w:tc>
          <w:tcPr>
            <w:tcW w:type="dxa" w:w="419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ZYNQ职责</w:t>
            </w:r>
          </w:p>
        </w:tc>
        <w:tc>
          <w:tcPr>
            <w:tcW w:type="dxa" w:w="32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不在ZYNQ中做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四路同步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生成公共SYNC脉冲、汇总四路SYNC_READY并记录epoch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第一版不替代nRF内部的延迟估计和样本对齐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SPI接收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作为主机按DRDY读取记录并校验外层CRC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不解释MEMS物理量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多路汇聚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保持node_id、序号、时间戳和有效标志，公平调度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不把四路样本强行拼成无缺失标记的数组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缓存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每路FIFO+输出BRAM ping-pong，显式所有权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不假设STM32永远及时读取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MCU接口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实现STM32F730要求的16位复用FMC从接口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不依赖SPI/I2C作为主控制面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PS扩展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预留AXI-Stream/AXI-Lite边界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第一版不启动Linux、不引入DDR DMA</w:t>
            </w:r>
          </w:p>
        </w:tc>
      </w:tr>
    </w:tbl>
    <w:p>
      <w:pPr>
        <w:spacing w:after="0"/>
      </w:pPr>
    </w:p>
    <w:p>
      <w:pPr>
        <w:pStyle w:val="Heading1"/>
      </w:pPr>
      <w:r>
        <w:t>3 带宽与资源预算</w:t>
      </w:r>
    </w:p>
    <w:p>
      <w:pPr>
        <w:spacing w:before="80" w:after="100"/>
        <w:jc w:val="center"/>
      </w:pPr>
      <m:oMathPara>
        <m:oMath>
          <m:r>
            <m:t>R_4ch ≈ 822 kbit/s ≈ 103 kB/s    (1)</m:t>
          </m:r>
        </m:oMath>
      </m:oMathPara>
    </w:p>
    <w:p>
      <w:pPr>
        <w:widowControl/>
      </w:pPr>
      <w:r>
        <w:rPr>
          <w:rFonts w:ascii="Calibri" w:hAnsi="Calibri" w:eastAsia="宋体"/>
        </w:rPr>
        <w:t>若SPI记录约224～240字节，8 MHz SPI读取单条记录耗时约224～240 μs；四路各读一条约0.9～1.0 ms，远小于当前8 ms左右产生一个96-scalar RF帧的时间尺度。</w:t>
      </w:r>
    </w:p>
    <w:p>
      <w:pPr>
        <w:spacing w:before="80" w:after="100"/>
        <w:jc w:val="center"/>
      </w:pPr>
      <m:oMathPara>
        <m:oMath>
          <m:r>
            <m:t>t_SPI = 8·N_bytes / f_SPI    (2)</m:t>
          </m:r>
        </m:oMath>
      </m:oMathPara>
    </w:p>
    <w:p>
      <w:pPr>
        <w:spacing w:before="80" w:after="100"/>
        <w:jc w:val="center"/>
      </w:pPr>
      <m:oMathPara>
        <m:oMath>
          <m:r>
            <m:t>t_service,max ≈ 4·t_SPI + t_gap    (3)</m:t>
          </m:r>
        </m:oMath>
      </m:oMathPara>
    </w:p>
    <w:p>
      <w:pPr>
        <w:widowControl/>
      </w:pPr>
      <w:r>
        <w:rPr>
          <w:rFonts w:ascii="Calibri" w:hAnsi="Calibri" w:eastAsia="宋体"/>
        </w:rPr>
        <w:t>XC7Z020具有约4.9 Mbit片上Block RAM，约等于612 KiB原始容量。第一版使用每路16 KiB FIFO（共64 KiB）加2×32 KiB输出块，再加描述符和调试存储，BRAM余量充足。</w:t>
      </w:r>
    </w:p>
    <w:p>
      <w:pPr>
        <w:spacing w:before="80" w:after="100"/>
        <w:jc w:val="center"/>
      </w:pPr>
      <m:oMathPara>
        <m:oMath>
          <m:r>
            <m:t>D_i ≥ R_i·T_block + B_burst + B_margin    (4)</m:t>
          </m:r>
        </m:oMath>
      </m:oMathPara>
    </w:p>
    <w:p>
      <w:pPr>
        <w:widowControl/>
      </w:pPr>
      <w:r>
        <w:rPr>
          <w:rFonts w:ascii="Calibri" w:hAnsi="Calibri" w:eastAsia="宋体"/>
        </w:rPr>
        <w:t>当前每路一批43个204字节RF帧，纯RF载荷突发约8.8 KiB；为每路分配16 KiB可以吸收一个完整批突发并留出SPI封装余量。</w:t>
      </w:r>
    </w:p>
    <w:p>
      <w:pPr>
        <w:pStyle w:val="Heading1"/>
      </w:pPr>
      <w:r>
        <w:t>4 PL模块划分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097"/>
        <w:gridCol w:w="4535"/>
        <w:gridCol w:w="2664"/>
      </w:tblGrid>
      <w:tr>
        <w:trPr>
          <w:tblHeader w:val="true"/>
        </w:trPr>
        <w:tc>
          <w:tcPr>
            <w:tcW w:type="dxa" w:w="209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RTL模块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功能</w:t>
            </w:r>
          </w:p>
        </w:tc>
        <w:tc>
          <w:tcPr>
            <w:tcW w:type="dxa" w:w="26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关键接口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reset_clock_mgr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同步复位、时钟使能、复位原因锁存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pl_clk、ext_reset、soft_reset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sync_pulse_gen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ARM/脉宽/周期配置，输出四路公共SYNC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sync_out[3:0]、epoch、ready_mask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spi_master_ch[0..3]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命令式SPI读取、超时、CS和DRDY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sclk/mosi/miso/cs/drdy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spi_record_parser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magic、版本、长度、header CRC、payload CRC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AXI-Stream风格valid/ready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channel_fifo[0..3]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独立缓存记录和错误状态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almost_full、level、drop_count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scheduler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轮询+高水位优先，避免饿死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grant、channel_id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block_builder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将完整记录装入输出块并生成块头/CRC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block_seq、payload_len、channel_mask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bram_pingpong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A/B块所有权管理与不可变窗口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fill_sel、ready_sel、ack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fmc_mux_slave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锁存复用地址、寄存器读写、数据窗口、NWAIT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AD[15:0]、NADV、NE1、NOE、NWE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csr_bank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版本、控制、状态、计数器、命令FIFO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内部寄存器总线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irq_ctrl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电平中断、mask、W1C状态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fpga_irq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ila_debug（调试）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抓取SPI/FMC/调度事件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6"/>
              </w:rPr>
              <w:t>综合后按阶段移除或裁剪</w:t>
            </w:r>
          </w:p>
        </w:tc>
      </w:tr>
    </w:tbl>
    <w:p>
      <w:pPr>
        <w:spacing w:after="0"/>
      </w:pPr>
    </w:p>
    <w:p>
      <w:pPr>
        <w:pStyle w:val="Heading1"/>
      </w:pPr>
      <w:r>
        <w:t>5 四路SPI数据接入</w:t>
      </w:r>
    </w:p>
    <w:p>
      <w:pPr>
        <w:pStyle w:val="Heading2"/>
      </w:pPr>
      <w:r>
        <w:t>5.1 物理连接建议</w:t>
      </w:r>
    </w:p>
    <w:p>
      <w:pPr>
        <w:widowControl/>
      </w:pPr>
      <w:r>
        <w:rPr>
          <w:rFonts w:ascii="Calibri" w:hAnsi="Calibri" w:eastAsia="宋体"/>
        </w:rPr>
        <w:t>ZYNQ作为主机，四块nRF作为从机。为了减少共用MISO导致的单点故障，建议SCLK和MOSI可共用，但每路使用独立CS、MISO和DRDY。资源允许时也可四套完全独立SPI状态机，共用同一PL时钟分频器。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417"/>
        <w:gridCol w:w="6179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信号</w:t>
            </w:r>
          </w:p>
        </w:tc>
        <w:tc>
          <w:tcPr>
            <w:tcW w:type="dxa" w:w="141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数量</w:t>
            </w:r>
          </w:p>
        </w:tc>
        <w:tc>
          <w:tcPr>
            <w:tcW w:type="dxa" w:w="61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SCLK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1或4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8 MHz起步；若共用，只有被选中从机响应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MOSI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1或4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发送READ_FRAME、GET_STATUS等命令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MISO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每路独立输入，避免异常从机占线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CS_N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独立片选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DRDY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电平有效；同步到PL时钟域后使用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RESET_N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4（推荐）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单路复位不影响其他三路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SYNC_OUT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4或1扇出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同一寄存器事件产生，尽量等长布线</w:t>
            </w:r>
          </w:p>
        </w:tc>
      </w:tr>
    </w:tbl>
    <w:p>
      <w:pPr>
        <w:spacing w:after="0"/>
      </w:pPr>
    </w:p>
    <w:p>
      <w:pPr>
        <w:pStyle w:val="Heading2"/>
      </w:pPr>
      <w:r>
        <w:t>5.2 SPI主机状态机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215"/>
        <w:gridCol w:w="2607"/>
      </w:tblGrid>
      <w:tr>
        <w:trPr>
          <w:tblHeader w:val="true"/>
        </w:trPr>
        <w:tc>
          <w:tcPr>
            <w:tcW w:type="dxa" w:w="147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动作</w:t>
            </w:r>
          </w:p>
        </w:tc>
        <w:tc>
          <w:tcPr>
            <w:tcW w:type="dxa" w:w="26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异常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IDLE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检查drdy_sync和调度grant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DRDY长期高触发stuck计时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CMD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拉低CS，发送命令和期望长度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超时撤销CS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HEADER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读取固定头并初检magic/length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非法头进入DRAIN/ERROR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PAYLOAD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流式读取payload进入parser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上游FIFO almost_full时暂停或结束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CRC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读取CRC并与计算结果比较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错误计数且不提交记录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COMMIT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向对应channel_fifo提交完整记录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FIFO满则显式drop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GAP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保持最小CS高电平间隔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完成后返回IDLE</w:t>
            </w:r>
          </w:p>
        </w:tc>
      </w:tr>
    </w:tbl>
    <w:p>
      <w:pPr>
        <w:spacing w:after="0"/>
      </w:pPr>
    </w:p>
    <w:p>
      <w:pPr>
        <w:pStyle w:val="Heading2"/>
      </w:pPr>
      <w:r>
        <w:t>5.3 跨时钟域</w:t>
      </w:r>
    </w:p>
    <w:p>
      <w:pPr>
        <w:widowControl/>
      </w:pPr>
      <w:r>
        <w:rPr>
          <w:rFonts w:ascii="Calibri" w:hAnsi="Calibri" w:eastAsia="宋体"/>
        </w:rPr>
        <w:t>DRDY、MISO采样相关信号和FMC控制均可能与PL主时钟异步。单比特控制使用双触发器同步；脉冲使用toggle或握手；多位数据绝不能逐位同步，应通过异步FIFO或在同一有效窗口锁存。</w:t>
      </w:r>
    </w:p>
    <w:p>
      <w:pPr>
        <w:pStyle w:val="Heading1"/>
      </w:pPr>
      <w:r>
        <w:t>6 同步脉冲与启动流程</w:t>
      </w:r>
    </w:p>
    <w:p>
      <w:pPr>
        <w:widowControl/>
      </w:pPr>
      <w:r>
        <w:rPr>
          <w:rFonts w:ascii="Calibri" w:hAnsi="Calibri" w:eastAsia="宋体"/>
        </w:rPr>
        <w:t>延迟估计和样本对齐在各RX nRF内部执行，ZYNQ负责给四块接收nRF提供同一个硬件时间零点，并监督四路是否完成。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STM32通过FMC写SYNC_ARM，包含channel_mask、epoch和超时。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ZYNQ等待四路nRF通过状态记录或GPIO报告ARMED。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ready_mask达到目标后，sync_pulse_gen在确定PL时钟边沿同时翻转四路SYNC_OUT。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ZYNQ记录sync_epoch、pulse_tick和实际ready_mask，并产生SYNC_SENT事件。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四路nRF完成逻辑起点对齐后，经SPI状态报告SYNC_LOCKED。</w:t>
      </w:r>
    </w:p>
    <w:p>
      <w:pPr>
        <w:numPr>
          <w:ilvl w:val="0"/>
          <w:numId w:val="10"/>
        </w:numPr>
        <w:spacing w:after="60"/>
        <w:ind w:left="425" w:hanging="227"/>
      </w:pPr>
      <w:r>
        <w:rPr>
          <w:rFonts w:ascii="Calibri" w:hAnsi="Calibri" w:eastAsia="宋体"/>
        </w:rPr>
        <w:t>只有locked_mask达到目标，FPGA才允许START_STREAM进入RUN；超时则返回缺失通道。</w:t>
      </w:r>
    </w:p>
    <w:p>
      <w:pPr>
        <w:widowControl/>
      </w:pPr>
      <w:r>
        <w:rPr>
          <w:rFonts w:ascii="Calibri" w:hAnsi="Calibri" w:eastAsia="宋体"/>
        </w:rPr>
        <w:t>若四根SYNC_OUT由同一寄存器位同时驱动，逻辑内偏差通常远小于一个PL时钟周期；板级差异主要来自IO和走线。第一版通过示波器测量四路边沿偏差并记录，不在RTL里凭空补偿。</w:t>
      </w:r>
    </w:p>
    <w:p>
      <w:pPr>
        <w:pStyle w:val="Heading1"/>
      </w:pPr>
      <w:r>
        <w:t>7 多路调度算法</w:t>
      </w:r>
    </w:p>
    <w:p>
      <w:pPr>
        <w:widowControl/>
      </w:pPr>
      <w:r>
        <w:rPr>
          <w:rFonts w:ascii="Calibri" w:hAnsi="Calibri" w:eastAsia="宋体"/>
        </w:rPr>
        <w:t>基础调度采用轮询，加入高水位优先但设置连续服务上限，避免某一路持续高水位导致其他通道饿死。</w:t>
      </w:r>
    </w:p>
    <w:tbl>
      <w:tblPr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9297"/>
      </w:tblGrid>
      <w:tr>
        <w:tc>
          <w:tcPr>
            <w:tcW w:type="dxa" w:w="9298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7"/>
              </w:rPr>
              <w:t>for each arbitration round: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urgent_mask = fifo_level[i] &gt;= HIGH_WATER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if urgent_mask != 0: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    choose next urgent channel after last_grant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    choose next non-empty channel after last_grant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serve at most MAX_BURST_RECORDS from selected channel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update last_grant</w:t>
            </w:r>
          </w:p>
        </w:tc>
      </w:tr>
    </w:tbl>
    <w:p>
      <w:pPr>
        <w:spacing w:after="0"/>
      </w:pPr>
    </w:p>
    <w:p>
      <w:pPr>
        <w:spacing w:before="80" w:after="100"/>
        <w:jc w:val="center"/>
      </w:pPr>
      <m:oMathPara>
        <m:oMath>
          <m:r>
            <m:t>L_i,max ≤ (N_ch−1)·B_max·t_record + t_current    (5)</m:t>
          </m:r>
        </m:oMath>
      </m:oMathPara>
    </w:p>
    <w:p>
      <w:pPr>
        <w:widowControl/>
      </w:pPr>
      <w:r>
        <w:rPr>
          <w:rFonts w:ascii="Calibri" w:hAnsi="Calibri" w:eastAsia="宋体"/>
        </w:rPr>
        <w:t>第一版建议MAX_BURST_RECORDS=4。这样高水位通道可以快速泄压，同时保证其他通道仍获得服务。所有调度决定都保留channel_id和原始时间戳，不改变nRF已经完成的对齐结果。</w:t>
      </w:r>
    </w:p>
    <w:p>
      <w:pPr>
        <w:pStyle w:val="Heading1"/>
      </w:pPr>
      <w:r>
        <w:t>8 输出块与BRAM所有权</w:t>
      </w:r>
    </w:p>
    <w:tbl>
      <w:tblPr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9297"/>
      </w:tblGrid>
      <w:tr>
        <w:tc>
          <w:tcPr>
            <w:tcW w:type="dxa" w:w="9298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7"/>
              </w:rPr>
              <w:t>struct fpga_block_header {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magic;          /* 'FPB1' */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uint16_t version;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uint16_t header_len;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block_seq;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sync_epoch;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payload_len;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channel_mask;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uint64_t first_fpga_tick;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uint64_t last_fpga_tick;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record_count[4];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flags;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 xml:space="preserve">    uint32_t payload_crc32;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</w:rPr>
        <w:t>A/B两个BRAM块独立维护owner：FREE→FILLING→READY→MCU_READING→ACK→FREE。块达到目标大小、达到最大等待时间或收到STOP时封块。READY以后数据与头均不可修改。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2267"/>
        <w:gridCol w:w="4762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封块条件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建议初值</w:t>
            </w:r>
          </w:p>
        </w:tc>
        <w:tc>
          <w:tcPr>
            <w:tcW w:type="dxa" w:w="476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payload达到目标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16或32 KiB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提升FMC/USB效率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等待时间达到上限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20 ms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低流量时限制延迟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STOP/FAULT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立即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输出最后一块与故障上下文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同步epoch改变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立即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禁止一个块跨越两个同步基准</w:t>
            </w:r>
          </w:p>
        </w:tc>
      </w:tr>
    </w:tbl>
    <w:p>
      <w:pPr>
        <w:spacing w:after="0"/>
      </w:pPr>
    </w:p>
    <w:p>
      <w:pPr>
        <w:pStyle w:val="Heading1"/>
      </w:pPr>
      <w:r>
        <w:t>9 FMC复用从接口</w:t>
      </w:r>
    </w:p>
    <w:p>
      <w:pPr>
        <w:widowControl/>
      </w:pPr>
      <w:r>
        <w:rPr>
          <w:rFonts w:ascii="Calibri" w:hAnsi="Calibri" w:eastAsia="宋体"/>
        </w:rPr>
        <w:t>STM32F730V8 LQFP100要求复用NOR/PSRAM风格FMC。FPGA在NADV有效时锁存AD[15:0]为地址；随后根据NE1、NOE、NWE决定读写。第一版只实现单一16位地址页与固定数据窗口，必要时用PAGE寄存器扩展地址。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215"/>
        <w:gridCol w:w="2267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周期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FPGA动作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总线方向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地址阶段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NADV有效时锁存AD并冻结本次访问地址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MCU→FPGA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读阶段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NE1+NOE有效后驱动AD；未准备好则拉NWAIT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FPGA→MCU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写阶段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NE1+NWE有效时采样AD并生成写脉冲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MCU→FPGA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结束阶段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三态释放AD，提交写副作用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高阻</w:t>
            </w:r>
          </w:p>
        </w:tc>
      </w:tr>
    </w:tbl>
    <w:p>
      <w:pPr>
        <w:spacing w:after="0"/>
      </w:pPr>
    </w:p>
    <w:p>
      <w:pPr>
        <w:pStyle w:val="Heading2"/>
      </w:pPr>
      <w:r>
        <w:t>9.1 寄存器映射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4988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偏移</w:t>
            </w:r>
          </w:p>
        </w:tc>
        <w:tc>
          <w:tcPr>
            <w:tcW w:type="dxa" w:w="24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名称</w:t>
            </w:r>
          </w:p>
        </w:tc>
        <w:tc>
          <w:tcPr>
            <w:tcW w:type="dxa" w:w="49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0x0000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FPGA_ID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固定ID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0x0002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PROTO_VERSION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FMC寄存器协议版本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0x0004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BUILD_DATE/BUILD_HASH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构建可追溯信息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0x0010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GLOBAL_CTRL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enable、soft_reset、start、stop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0x0012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GLOBAL_STATUS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idle、running、degraded、fatal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0x0020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IRQ_STATUS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W1C事件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0x0022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IRQ_MASK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中断屏蔽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0x0030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SYNC_CTRL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arm、fire、epoch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0x0032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SYNC_STATUS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armed/locked mask和超时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0x0040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BLOCK_STATUS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ready块、owner、序号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0x0042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BLOCK_LEN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有效字节数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0x0044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BLOCK_ACK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STM32归还块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0x0100+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CHx_STATUS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FIFO水位、SPI/RF/同步统计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0x0400+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CMD/RSP_FIFO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控制nRF的命令与结果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0x1000+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DATA_WINDOW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当前快照块的只读窗口</w:t>
            </w:r>
          </w:p>
        </w:tc>
      </w:tr>
    </w:tbl>
    <w:p>
      <w:pPr>
        <w:spacing w:after="0"/>
      </w:pPr>
    </w:p>
    <w:p>
      <w:pPr>
        <w:pStyle w:val="Heading2"/>
      </w:pPr>
      <w:r>
        <w:t>9.2 中断语义</w:t>
      </w:r>
    </w:p>
    <w:p>
      <w:pPr>
        <w:widowControl/>
      </w:pPr>
      <w:r>
        <w:rPr>
          <w:rFonts w:ascii="Calibri" w:hAnsi="Calibri" w:eastAsia="宋体"/>
        </w:rPr>
        <w:t>FPGA_IRQ采用电平有效：只要存在未屏蔽且未清除事件就保持有效。中断位建议包括BLOCK_READY、SYNC_DONE、CMD_RESPONSE、CHANNEL_FAULT、FIFO_HIGH_WATER和FATAL。STM32写W1C只清事件，不清累计计数器。</w:t>
      </w:r>
    </w:p>
    <w:p>
      <w:pPr>
        <w:pStyle w:val="Heading1"/>
      </w:pPr>
      <w:r>
        <w:t>10 时钟、复位与约束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3968"/>
        <w:gridCol w:w="3458"/>
      </w:tblGrid>
      <w:tr>
        <w:trPr>
          <w:tblHeader w:val="true"/>
        </w:trPr>
        <w:tc>
          <w:tcPr>
            <w:tcW w:type="dxa" w:w="187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第一版建议</w:t>
            </w:r>
          </w:p>
        </w:tc>
        <w:tc>
          <w:tcPr>
            <w:tcW w:type="dxa" w:w="345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待板卡资料确认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PL主时钟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100 MHz或板载稳定时钟经MMCM生成100 MHz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输入时钟管脚和频率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SPI时钟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PL时钟分频得到8 MHz，50%占空比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nRF SPIS实际模式和最高频率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FMC时钟域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异步输入，控制信号先满足接口锁存逻辑，不直接当内部时钟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MCU时序和板级走线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IO标准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nRF/STM32侧原则上LVCMOS33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ZYNQ对应Bank必须供电3.3 V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复位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外部复位同步释放；软件复位只清数据面，保留构建ID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开发板复位资源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SYNC输出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同一寄存器同时驱动，约束输出延迟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管脚、Bank和扇出电气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</w:rPr>
        <w:t>FMC和SPI输入必须在XDC中声明IOSTANDARD并给出时序约束。对真正异步的DRDY和IRQ不要伪造同步时钟约束，而应使用CDC结构并在实现后检查CDC报告。</w:t>
      </w:r>
    </w:p>
    <w:p>
      <w:pPr>
        <w:pStyle w:val="Heading1"/>
      </w:pPr>
      <w:r>
        <w:t>11 PS与AXI DMA第二阶段扩展</w:t>
      </w:r>
    </w:p>
    <w:p>
      <w:pPr>
        <w:widowControl/>
      </w:pPr>
      <w:r>
        <w:rPr>
          <w:rFonts w:ascii="Calibri" w:hAnsi="Calibri" w:eastAsia="宋体"/>
        </w:rPr>
        <w:t>当需要在ZYNQ端做FFT、长时缓存或直接写DDR时，再把block_builder输出转换为AXI4-Stream，经AXI DMA S2MM写入PS DDR，并通过HP端口获得高吞吐。AXI-Lite用于控制DMA和CSR。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3968"/>
        <w:gridCol w:w="2494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方案</w:t>
            </w:r>
          </w:p>
        </w:tc>
        <w:tc>
          <w:tcPr>
            <w:tcW w:type="dxa" w:w="39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使用时机</w:t>
            </w:r>
          </w:p>
        </w:tc>
        <w:tc>
          <w:tcPr>
            <w:tcW w:type="dxa" w:w="24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第一版态度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PL BRAM→FMC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当前约0.1 MB/s、重点是确定性和易调试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主方案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PL→AXI DMA→PS DDR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需要秒级/分钟级缓存或PS算法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预留接口，不立即实现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PS软件再送MCU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必须由PS参与协议或存储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8"/>
              </w:rPr>
              <w:t>不推荐作为当前必经链，增加启动和软件依赖</w:t>
            </w:r>
          </w:p>
        </w:tc>
      </w:tr>
    </w:tbl>
    <w:p>
      <w:pPr>
        <w:spacing w:after="0"/>
      </w:pPr>
    </w:p>
    <w:p>
      <w:pPr>
        <w:pStyle w:val="Heading1"/>
      </w:pPr>
      <w:r>
        <w:t>12 RTL目录与接口建议</w:t>
      </w:r>
    </w:p>
    <w:tbl>
      <w:tblPr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9297"/>
      </w:tblGrid>
      <w:tr>
        <w:tc>
          <w:tcPr>
            <w:tcW w:type="dxa" w:w="9298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sz w:val="17"/>
              </w:rPr>
              <w:t>rtl/clock/reset_clock_mgr.v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rtl/sync/sync_pulse_gen.v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rtl/spi/spi_master_ch.v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rtl/spi/spi_record_parser.v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rtl/fifo/channel_fifo_wrap.v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rtl/scheduler/rr_watermark_scheduler.v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rtl/block/block_builder.v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rtl/block/bram_pingpong.v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rtl/fmc/fmc_mux_slave.v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rtl/csr/csr_bank.v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rtl/irq/irq_ctrl.v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rtl/common/crc16.v, crc32.v, cdc_sync.v, pulse_toggle.v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tb/tb_spi_master_ch.sv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tb/tb_fmc_mux_slave.sv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tb/tb_block_ownership.sv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tb/tb_four_channel_stress.sv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constraints/board_top.xdc</w:t>
            </w:r>
          </w:p>
        </w:tc>
      </w:tr>
    </w:tbl>
    <w:p>
      <w:pPr>
        <w:spacing w:after="0"/>
      </w:pPr>
    </w:p>
    <w:p>
      <w:pPr>
        <w:pStyle w:val="Heading1"/>
      </w:pPr>
      <w:r>
        <w:t>13 仿真与硬件验证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8"/>
        <w:gridCol w:w="2664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测试层级</w:t>
            </w:r>
          </w:p>
        </w:tc>
        <w:tc>
          <w:tcPr>
            <w:tcW w:type="dxa" w:w="481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测试内容</w:t>
            </w:r>
          </w:p>
        </w:tc>
        <w:tc>
          <w:tcPr>
            <w:tcW w:type="dxa" w:w="26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通过条件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单元仿真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SPI正常/短帧/CRC错/超时，FMC地址/读写/NWAIT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断言全部通过，无X传播到提交接口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所有权仿真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READY块长期不ACK、ACK错误序号、A/B同时占用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不覆盖未释放块，错误可见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四路压力仿真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四路同相43帧突发、一慢三快、单路持续高水位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无饿死；所有丢弃均有计数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SYNC仿真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ARM缺路、脉冲、超时、epoch切换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不在ready_mask不完整时误启动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板级SPI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先用一块nRF与ILA验证命令和记录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连续10^5帧SPI CRC为0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板级FMC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STM32读取固定模式、地址走马灯和32 kB块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连续10^6字无地址/数据错误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全链路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四路nRF→ZYNQ→STM32→USB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宋体"/>
                <w:sz w:val="17"/>
              </w:rPr>
              <w:t>30 min无FPGA/MCU内部未计数丢块</w:t>
            </w:r>
          </w:p>
        </w:tc>
      </w:tr>
    </w:tbl>
    <w:p>
      <w:pPr>
        <w:spacing w:after="0"/>
      </w:pPr>
    </w:p>
    <w:p>
      <w:pPr>
        <w:pStyle w:val="Heading1"/>
      </w:pPr>
      <w:r>
        <w:t>14 分阶段实施计划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P0：建立ZYNQ-7020空工程、时钟/复位、LED和ILA。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P1：实现单路SPI主机，用行为模型和真实nRF分别验证。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P2：实现FMC复用从接口，只读ID和测试RAM。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P3：实现单路FIFO、block_builder和BRAM A/B所有权，打通STM32。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P4：扩展四路SPI与轮询/高水位调度，加入所有计数器。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P5：加入公共SYNC和armed/locked握手，联调四块RX nRF。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P6：接入真实无线/MEMS数据并完成USB全链路压力测试。</w:t>
      </w:r>
    </w:p>
    <w:p>
      <w:pPr>
        <w:numPr>
          <w:ilvl w:val="0"/>
          <w:numId w:val="11"/>
        </w:numPr>
        <w:spacing w:after="60"/>
        <w:ind w:left="425" w:hanging="227"/>
      </w:pPr>
      <w:r>
        <w:rPr>
          <w:rFonts w:ascii="Calibri" w:hAnsi="Calibri" w:eastAsia="宋体"/>
        </w:rPr>
        <w:t>P7：如确有需求，再加入PS、DDR、AXI DMA和算法。</w:t>
      </w:r>
    </w:p>
    <w:p>
      <w:pPr>
        <w:pStyle w:val="Heading1"/>
      </w:pPr>
      <w:r>
        <w:t>参考资料</w:t>
      </w:r>
    </w:p>
    <w:p>
      <w:pPr>
        <w:ind w:left="283" w:hanging="283"/>
      </w:pPr>
      <w:r>
        <w:rPr>
          <w:rFonts w:ascii="Calibri" w:hAnsi="Calibri" w:eastAsia="宋体"/>
          <w:sz w:val="19"/>
        </w:rPr>
        <w:t xml:space="preserve">[1] AMD Zynq-7000 SoC Data Sheet Overview DS190. </w:t>
      </w:r>
      <w:hyperlink r:id="rId12">
        <w:r>
          <w:rPr>
            <w:color w:val="0563C1"/>
            <w:u w:val="single"/>
          </w:rPr>
          <w:t>https://docs.amd.com/api/khub/documents/juMnxca71Tf2gfjmNyjM8A/content</w:t>
        </w:r>
      </w:hyperlink>
    </w:p>
    <w:p>
      <w:pPr>
        <w:ind w:left="283" w:hanging="283"/>
      </w:pPr>
      <w:r>
        <w:rPr>
          <w:rFonts w:ascii="Calibri" w:hAnsi="Calibri" w:eastAsia="宋体"/>
          <w:sz w:val="19"/>
        </w:rPr>
        <w:t xml:space="preserve">[2] AMD Zynq-7000 Technical Reference Manual UG585. </w:t>
      </w:r>
      <w:hyperlink r:id="rId13">
        <w:r>
          <w:rPr>
            <w:color w:val="0563C1"/>
            <w:u w:val="single"/>
          </w:rPr>
          <w:t>https://docs.amd.com/r/en-US/ug585-zynq-7000-SoC-TRM</w:t>
        </w:r>
      </w:hyperlink>
    </w:p>
    <w:p>
      <w:pPr>
        <w:ind w:left="283" w:hanging="283"/>
      </w:pPr>
      <w:r>
        <w:rPr>
          <w:rFonts w:ascii="Calibri" w:hAnsi="Calibri" w:eastAsia="宋体"/>
          <w:sz w:val="19"/>
        </w:rPr>
        <w:t xml:space="preserve">[3] AMD AXI DMA Product Guide PG021. </w:t>
      </w:r>
      <w:hyperlink r:id="rId14">
        <w:r>
          <w:rPr>
            <w:color w:val="0563C1"/>
            <w:u w:val="single"/>
          </w:rPr>
          <w:t>https://docs.amd.com/r/en-US/pg021_axi_dma</w:t>
        </w:r>
      </w:hyperlink>
    </w:p>
    <w:p>
      <w:pPr>
        <w:ind w:left="283" w:hanging="283"/>
      </w:pPr>
      <w:r>
        <w:rPr>
          <w:rFonts w:ascii="Calibri" w:hAnsi="Calibri" w:eastAsia="宋体"/>
          <w:sz w:val="19"/>
        </w:rPr>
        <w:t xml:space="preserve">[4] ST STM32F730x8 Datasheet（FMC接口边界）. </w:t>
      </w:r>
      <w:hyperlink r:id="rId15">
        <w:r>
          <w:rPr>
            <w:color w:val="0563C1"/>
            <w:u w:val="single"/>
          </w:rPr>
          <w:t>https://www.st.com/resource/en/datasheet/stm32f730i8.pdf</w:t>
        </w:r>
      </w:hyperlink>
    </w:p>
    <w:p>
      <w:pPr>
        <w:ind w:left="283" w:hanging="283"/>
      </w:pPr>
      <w:r>
        <w:rPr>
          <w:rFonts w:ascii="Calibri" w:hAnsi="Calibri" w:eastAsia="宋体"/>
          <w:sz w:val="19"/>
        </w:rPr>
        <w:t xml:space="preserve">[5] 当前nRF54L15无线链路基线. </w:t>
      </w:r>
      <w:hyperlink r:id="rId16">
        <w:r>
          <w:rPr>
            <w:color w:val="0563C1"/>
            <w:u w:val="single"/>
          </w:rPr>
          <w:t>https://github.com/YoungsenseSong/nRF54L15-2.4G/blob/codex/rf-link-2p4g-devlog/README.md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color w:val="6B728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1" w:color="B7C9D6"/>
      </w:pBdr>
    </w:pPr>
    <w:r>
      <w:rPr>
        <w:rFonts w:ascii="Calibri" w:hAnsi="Calibri" w:eastAsia="微软雅黑"/>
        <w:color w:val="6B7280"/>
        <w:sz w:val="17"/>
      </w:rPr>
      <w:t>ZYNQ-7020四路同步数据汇聚方案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amd.com/api/khub/documents/juMnxca71Tf2gfjmNyjM8A/content" TargetMode="External"/><Relationship Id="rId13" Type="http://schemas.openxmlformats.org/officeDocument/2006/relationships/hyperlink" Target="https://docs.amd.com/r/en-US/ug585-zynq-7000-SoC-TRM" TargetMode="External"/><Relationship Id="rId14" Type="http://schemas.openxmlformats.org/officeDocument/2006/relationships/hyperlink" Target="https://docs.amd.com/r/en-US/pg021_axi_dma" TargetMode="External"/><Relationship Id="rId15" Type="http://schemas.openxmlformats.org/officeDocument/2006/relationships/hyperlink" Target="https://www.st.com/resource/en/datasheet/stm32f730i8.pdf" TargetMode="External"/><Relationship Id="rId16" Type="http://schemas.openxmlformats.org/officeDocument/2006/relationships/hyperlink" Target="https://github.com/YoungsenseSong/nRF54L15-2.4G/blob/codex/rf-link-2p4g-devlog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