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 xml:space="preserve">学生姓名： </w:t>
            </w:r>
            <w:r>
              <w:rPr>
                <w:rFonts w:hint="eastAsia"/>
                <w:lang w:val="en-US" w:eastAsia="zh-CN"/>
              </w:rPr>
              <w:t>杨硕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2022.10.01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Lab0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bCs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理解封装含义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bCs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理解信息隐藏的必要性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bCs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掌握访问控制修饰符的使用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bCs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 xml:space="preserve"> </w:t>
            </w:r>
            <w:r>
              <w:rPr>
                <w:rFonts w:ascii="Times New Roman" w:hAnsi="Times New Roman" w:eastAsia="黑体" w:cs="Times New Roman"/>
                <w:bCs/>
                <w:szCs w:val="24"/>
              </w:rPr>
              <w:t xml:space="preserve">  1. </w:t>
            </w: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私有成员（变量和方法）的理解和使用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bCs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 xml:space="preserve"> </w:t>
            </w:r>
            <w:r>
              <w:rPr>
                <w:rFonts w:ascii="Times New Roman" w:hAnsi="Times New Roman" w:eastAsia="黑体" w:cs="Times New Roman"/>
                <w:bCs/>
                <w:szCs w:val="24"/>
              </w:rPr>
              <w:t xml:space="preserve">  2. </w:t>
            </w: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共有成员的理解和使用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bCs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 xml:space="preserve"> </w:t>
            </w:r>
            <w:r>
              <w:rPr>
                <w:rFonts w:ascii="Times New Roman" w:hAnsi="Times New Roman" w:eastAsia="黑体" w:cs="Times New Roman"/>
                <w:bCs/>
                <w:szCs w:val="24"/>
              </w:rPr>
              <w:t xml:space="preserve">  3. </w:t>
            </w: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保护成员的理解和使用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黑体" w:cs="Times New Roman"/>
                <w:bCs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 xml:space="preserve"> </w:t>
            </w:r>
            <w:r>
              <w:rPr>
                <w:rFonts w:ascii="Times New Roman" w:hAnsi="Times New Roman" w:eastAsia="黑体" w:cs="Times New Roman"/>
                <w:bCs/>
                <w:szCs w:val="24"/>
              </w:rPr>
              <w:t xml:space="preserve">  4. </w:t>
            </w: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使用不加任何权限修饰符的成员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黑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Cs/>
                <w:szCs w:val="24"/>
              </w:rPr>
              <w:t>加深对“类和对象”的理解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ind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重点难点：1. Java初始化的顺序</w:t>
            </w:r>
          </w:p>
          <w:p>
            <w:pPr>
              <w:numPr>
                <w:ilvl w:val="0"/>
                <w:numId w:val="2"/>
              </w:numPr>
              <w:ind w:left="147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单例模式的实现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解决方案：上网查阅资料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ind w:firstLine="420" w:firstLineChars="2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VM的类加载是懒加载，即只有在程序第一次使用到某个类时才去读取其.class文件。因此，对于一些使用频率低但初始化开销大的资源，使用懒加载的方法可减少程序负担。与懒加载相对的是预加载，即提前加载好所有资源等待使用，对于使用频率高且初始化开销不大的资源可考虑使用预加载。实际应用中，应根据实际情况，选择是懒加载还是预加载，以达到最优效果</w:t>
            </w: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3C2BA"/>
    <w:multiLevelType w:val="singleLevel"/>
    <w:tmpl w:val="FB03C2B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8B487B"/>
    <w:multiLevelType w:val="multilevel"/>
    <w:tmpl w:val="1C8B487B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黑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00011F8B"/>
    <w:rsid w:val="00011F8B"/>
    <w:rsid w:val="00146C42"/>
    <w:rsid w:val="00272B04"/>
    <w:rsid w:val="002B72E6"/>
    <w:rsid w:val="00445076"/>
    <w:rsid w:val="00487C3B"/>
    <w:rsid w:val="004B30A6"/>
    <w:rsid w:val="004C6F58"/>
    <w:rsid w:val="00507E30"/>
    <w:rsid w:val="00570D90"/>
    <w:rsid w:val="00645107"/>
    <w:rsid w:val="0066611A"/>
    <w:rsid w:val="0069724A"/>
    <w:rsid w:val="00733A90"/>
    <w:rsid w:val="007952D0"/>
    <w:rsid w:val="007A59D2"/>
    <w:rsid w:val="00877FD2"/>
    <w:rsid w:val="00994DFA"/>
    <w:rsid w:val="00A47AB5"/>
    <w:rsid w:val="00AE681F"/>
    <w:rsid w:val="00AF408E"/>
    <w:rsid w:val="00B67732"/>
    <w:rsid w:val="00B95035"/>
    <w:rsid w:val="00BA0CB4"/>
    <w:rsid w:val="00BB6D6F"/>
    <w:rsid w:val="00BF6976"/>
    <w:rsid w:val="00FB2013"/>
    <w:rsid w:val="00FB5FAF"/>
    <w:rsid w:val="3767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151</Words>
  <Characters>162</Characters>
  <Lines>1</Lines>
  <Paragraphs>1</Paragraphs>
  <TotalTime>62</TotalTime>
  <ScaleCrop>false</ScaleCrop>
  <LinksUpToDate>false</LinksUpToDate>
  <CharactersWithSpaces>179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young sure</cp:lastModifiedBy>
  <dcterms:modified xsi:type="dcterms:W3CDTF">2022-10-04T12:38:48Z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3988FE2A95924D77824185F813CD9161</vt:lpwstr>
  </property>
</Properties>
</file>