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rPr>
          <w:vertAlign w:val="superscript"/>
        </w:rPr>
        <w:t xml:space="preserve">[1]</w:t>
      </w:r>
      <w:r>
        <w:t xml:space="preserve"> </w:t>
      </w:r>
      <w:r>
        <w:t xml:space="preserve">for additional discussion of literate programming.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#&gt;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#&gt; ✔ dplyr     1.1.4     ✔ readr     2.1.4</w:t>
      </w:r>
      <w:r>
        <w:br/>
      </w:r>
      <w:r>
        <w:rPr>
          <w:rStyle w:val="VerbatimChar"/>
        </w:rPr>
        <w:t xml:space="preserve">#&gt; ✔ forcats   1.0.0     ✔ stringr   1.5.1</w:t>
      </w:r>
      <w:r>
        <w:br/>
      </w:r>
      <w:r>
        <w:rPr>
          <w:rStyle w:val="VerbatimChar"/>
        </w:rPr>
        <w:t xml:space="preserve">#&gt; ✔ ggplot2   3.4.4     ✔ tibble    3.2.1</w:t>
      </w:r>
      <w:r>
        <w:br/>
      </w:r>
      <w:r>
        <w:rPr>
          <w:rStyle w:val="VerbatimChar"/>
        </w:rPr>
        <w:t xml:space="preserve">#&gt; ✔ lubridate 1.9.3     ✔ tidyr     1.3.0</w:t>
      </w:r>
      <w:r>
        <w:br/>
      </w:r>
      <w:r>
        <w:rPr>
          <w:rStyle w:val="VerbatimChar"/>
        </w:rPr>
        <w:t xml:space="preserve">#&gt; ✔ purrr     1.0.2     </w:t>
      </w:r>
      <w:r>
        <w:br/>
      </w:r>
      <w:r>
        <w:rPr>
          <w:rStyle w:val="VerbatimChar"/>
        </w:rPr>
        <w:t xml:space="preserve">#&gt;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#&gt; ✖ dplyr::filter() masks stats::filter()</w:t>
      </w:r>
      <w:r>
        <w:br/>
      </w:r>
      <w:r>
        <w:rPr>
          <w:rStyle w:val="VerbatimChar"/>
        </w:rPr>
        <w:t xml:space="preserve">#&gt; ✖ dplyr::lag()    masks stats::lag()</w:t>
      </w:r>
      <w:r>
        <w:br/>
      </w:r>
      <w:r>
        <w:rPr>
          <w:rStyle w:val="VerbatimChar"/>
        </w:rPr>
        <w:t xml:space="preserve">#&gt;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my_class)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#&gt; [1] 5</w:t>
      </w:r>
    </w:p>
    <w:bookmarkEnd w:id="20"/>
    <w:bookmarkStart w:id="27" w:name="fuel-economy-for-suvs"/>
    <w:p>
      <w:pPr>
        <w:pStyle w:val="Heading1"/>
      </w:pPr>
      <w:r>
        <w:t xml:space="preserve">Fuel economy for suvs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(class,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tro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refs"/>
    <w:bookmarkStart w:id="25" w:name="ref-knuth84"/>
    <w:p>
      <w:pPr>
        <w:pStyle w:val="Bibliography"/>
      </w:pPr>
      <w:r>
        <w:t xml:space="preserve">1. Knuth, D. E. (1984). Literate programming.</w:t>
      </w:r>
      <w:r>
        <w:t xml:space="preserve"> </w:t>
      </w:r>
      <w:r>
        <w:rPr>
          <w:iCs/>
          <w:i/>
        </w:rPr>
        <w:t xml:space="preserve">Comput. J.</w:t>
      </w:r>
      <w:r>
        <w:t xml:space="preserve">,</w:t>
      </w:r>
      <w:r>
        <w:t xml:space="preserve"> </w:t>
      </w:r>
      <w:r>
        <w:rPr>
          <w:iCs/>
          <w:i/>
        </w:rPr>
        <w:t xml:space="preserve">27</w:t>
      </w:r>
      <w:r>
        <w:t xml:space="preserve">(2), 97–111.</w:t>
      </w:r>
      <w:r>
        <w:t xml:space="preserve"> </w:t>
      </w:r>
      <w:hyperlink r:id="rId24">
        <w:r>
          <w:rPr>
            <w:rStyle w:val="Hyperlink"/>
          </w:rPr>
          <w:t xml:space="preserve">https://doi.org/10.1093/comjnl/27.2.97</w:t>
        </w:r>
      </w:hyperlink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2023-12-23T07:22:22Z</dcterms:created>
  <dcterms:modified xsi:type="dcterms:W3CDTF">2023-12-23T07:22:22Z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sl">
    <vt:lpwstr>ref/apa.csl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knitr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toc-title">
    <vt:lpwstr>Table of contents</vt:lpwstr>
  </property>
</Properties>
</file>