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Detecting and Correcting Overfitting in a Machine Learning Trading Signal System:</w:t>
      </w:r>
    </w:p>
    <w:p>
      <w:pPr>
        <w:spacing w:after="300"/>
        <w:jc w:val="center"/>
      </w:pPr>
      <w:r>
        <w:rPr>
          <w:b/>
          <w:bCs/>
          <w:sz w:val="30"/>
          <w:szCs w:val="30"/>
        </w:rPr>
        <w:t xml:space="preserve">A Cross-Asset Validation Case Study</w:t>
      </w:r>
    </w:p>
    <w:p>
      <w:pPr>
        <w:spacing w:after="60"/>
        <w:jc w:val="center"/>
      </w:pPr>
      <w:r>
        <w:rPr>
          <w:sz w:val="22"/>
          <w:szCs w:val="22"/>
        </w:rPr>
        <w:t xml:space="preserve">Younus Hassen Abdulkadir</w:t>
      </w:r>
    </w:p>
    <w:p>
      <w:pPr>
        <w:spacing w:after="400"/>
        <w:jc w:val="center"/>
      </w:pPr>
      <w:r>
        <w:rPr>
          <w:sz w:val="22"/>
          <w:szCs w:val="22"/>
        </w:rPr>
        <w:t xml:space="preserve">Etehaad International School</w:t>
      </w:r>
    </w:p>
    <w:p>
      <w:pPr>
        <w:pStyle w:val="Heading2"/>
        <w:spacing w:after="160" w:before="280"/>
      </w:pPr>
      <w:r>
        <w:rPr>
          <w:b/>
          <w:bCs/>
          <w:sz w:val="24"/>
          <w:szCs w:val="24"/>
        </w:rPr>
        <w:t xml:space="preserve">Abstract</w:t>
      </w:r>
    </w:p>
    <w:p>
      <w:pPr>
        <w:spacing w:after="200" w:line="276"/>
        <w:jc w:val="both"/>
      </w:pPr>
      <w:r>
        <w:rPr>
          <w:sz w:val="22"/>
          <w:szCs w:val="22"/>
        </w:rPr>
        <w:t xml:space="preserve">Machine learning models applied to financial markets frequently appear highly successful in backtesting while failing to generalize to new data or new assets, a phenomenon known as backtest overfitting. This paper documents the design, testing, and iterative correction of a machine learning system that generates trading signals (buy, sell, or hold) for equities, with a specific focus on a methodological failure discovered during development and the validation framework built to catch it. A hyperparameter search conducted on a single stock (Apple Inc.) identified a configuration with a strong backtested Sharpe ratio of 2.82; when the identical configuration was applied to a different stock (Microsoft), performance collapsed to a Sharpe ratio of -0.62, demonstrating that the original result reflected overfitting to one asset's specific historical path rather than a genuine predictive pattern. A subsequent formal analysis using the Deflated Sharpe Ratio framework refines this finding further, showing the failure was driven less by pure statistical noise than by the search identifying configurations exposed to AAPL's strong upward trend during the test period specifically, a distinct, equally non-generalizable failure mode. In response, a pooled, cross-asset validation framework was built, training a single model across fifteen stocks from different sectors and evaluating it independently on each. This approach produced a more modest but more credible result: 46.2% classification accuracy and an average Sharpe ratio of 0.85, outperforming a buy-and-hold benchmark on 53% of tested stocks, though significance testing shows neither figure is statistically distinguishable from a trivial baseline at this sample size, a limitation this paper reports directly rather than obscuring. A subsequent experiment testing an alternative labeling method (the triple-barrier method) was evaluated with the same framework and rejected after producing worse risk-adjusted performance despite higher raw classification accuracy. The system was deployed as an automated paper-trading bot with real-time risk controls for ongoing forward validation. This paper argues that the central challenge in applying machine learning to financial markets is not model sophistication but validation methodology, and that cross-asset testing is a practical, low-cost way to detect overfitting that single-asset backtesting cannot.</w:t>
      </w:r>
    </w:p>
    <w:p>
      <w:pPr>
        <w:pStyle w:val="Heading1"/>
        <w:spacing w:after="200" w:before="360"/>
      </w:pPr>
      <w:r>
        <w:rPr>
          <w:b/>
          <w:bCs/>
          <w:sz w:val="28"/>
          <w:szCs w:val="28"/>
        </w:rPr>
        <w:t xml:space="preserve">1. Introduction</w:t>
      </w:r>
    </w:p>
    <w:p>
      <w:pPr>
        <w:spacing w:after="200" w:line="276"/>
        <w:jc w:val="both"/>
      </w:pPr>
      <w:r>
        <w:rPr>
          <w:sz w:val="22"/>
          <w:szCs w:val="22"/>
        </w:rPr>
        <w:t xml:space="preserve">Predicting short-term price movements in financial markets is one of the most attempted and least reliably solved problems in applied machine learning. The appeal is obvious: even a small, consistent statistical edge could in principle be compounded into significant returns. The difficulty is equally well established in financial economics: under the Efficient Market Hypothesis (Fama, 1970), asset prices rapidly incorporate publicly available information, meaning that any pattern simple enough for a retail-accessible model to find is also simple enough for better-resourced market participants to find and trade away.</w:t>
      </w:r>
    </w:p>
    <w:p>
      <w:pPr>
        <w:spacing w:after="200" w:line="276"/>
        <w:jc w:val="both"/>
      </w:pPr>
      <w:r>
        <w:rPr>
          <w:sz w:val="22"/>
          <w:szCs w:val="22"/>
        </w:rPr>
        <w:t xml:space="preserve">This creates a specific methodological hazard for machine learning practitioners: it is easy to build a model that appears to “beat the market” in a backtest, because backtests are run on historical data that can be searched, re-searched, and implicitly fit to, even when no single model is ever technically trained on the test set. This paper documents a concrete instance of this hazard occurring during the development of a real trading signal system, how it was detected, and the validation methodology built to prevent it from recurring.</w:t>
      </w:r>
    </w:p>
    <w:p>
      <w:pPr>
        <w:spacing w:after="200" w:line="276"/>
        <w:jc w:val="both"/>
      </w:pPr>
      <w:r>
        <w:rPr>
          <w:sz w:val="22"/>
          <w:szCs w:val="22"/>
        </w:rPr>
        <w:t xml:space="preserve">The system described here was developed iteratively, with each version motivated by a specific limitation discovered in the version before it. This paper is structured around that iteration, because the failures are as informative as the successes.</w:t>
      </w:r>
    </w:p>
    <w:p>
      <w:pPr>
        <w:pStyle w:val="Heading1"/>
        <w:spacing w:after="200" w:before="360"/>
      </w:pPr>
      <w:r>
        <w:rPr>
          <w:b/>
          <w:bCs/>
          <w:sz w:val="28"/>
          <w:szCs w:val="28"/>
        </w:rPr>
        <w:t xml:space="preserve">2. Background</w:t>
      </w:r>
    </w:p>
    <w:p>
      <w:pPr>
        <w:spacing w:after="200" w:line="276"/>
        <w:jc w:val="both"/>
      </w:pPr>
      <w:r>
        <w:rPr>
          <w:sz w:val="22"/>
          <w:szCs w:val="22"/>
        </w:rPr>
        <w:t xml:space="preserve">Backtest overfitting. Lopez de Prado (2018) describes backtest overfitting as arising when a strategy's parameters are selected because they perform well on a specific historical sample, without evidence that the same parameters would perform well on unseen data. This can occur even when every individual model is properly validated, if the process of choosing between models or configurations is itself fit to the test data through repeated search.</w:t>
      </w:r>
    </w:p>
    <w:p>
      <w:pPr>
        <w:spacing w:after="200" w:line="276"/>
        <w:jc w:val="both"/>
      </w:pPr>
      <w:r>
        <w:rPr>
          <w:sz w:val="22"/>
          <w:szCs w:val="22"/>
        </w:rPr>
        <w:t xml:space="preserve">Walk-forward validation. To avoid look-ahead bias, financial time series models should be validated using splits that respect chronological order, training only on data that precedes the test period in time. This paper uses both walk-forward cross-validation (via scikit-learn's TimeSeriesSplit) during model development and a strict chronological train/test split for final evaluation.</w:t>
      </w:r>
    </w:p>
    <w:p>
      <w:pPr>
        <w:spacing w:after="200" w:line="276"/>
        <w:jc w:val="both"/>
      </w:pPr>
      <w:r>
        <w:rPr>
          <w:sz w:val="22"/>
          <w:szCs w:val="22"/>
        </w:rPr>
        <w:t xml:space="preserve">The Deflated Sharpe Ratio. Bailey and Lopez de Prado (2014) formalize the intuition that selecting the best result from many trials inflates the apparent Sharpe ratio even with no true skill, and derive the expected maximum Sharpe ratio attributable to this selection effect alone. This paper applies a component of that framework in Section 7.</w:t>
      </w:r>
    </w:p>
    <w:p>
      <w:pPr>
        <w:spacing w:after="200" w:line="276"/>
        <w:jc w:val="both"/>
      </w:pPr>
      <w:r>
        <w:rPr>
          <w:sz w:val="22"/>
          <w:szCs w:val="22"/>
        </w:rPr>
        <w:t xml:space="preserve">The triple-barrier method. As an alternative to labeling based on a fixed-horizon forward return, Lopez de Prado (2018) proposes labeling each observation according to which of three outcomes occurs first: a take-profit level is reached, a stop-loss level is reached, or a maximum holding period elapses. This paper implements and tests a version of this method (Experiment 3).</w:t>
      </w:r>
    </w:p>
    <w:p>
      <w:pPr>
        <w:pStyle w:val="Heading1"/>
        <w:spacing w:after="200" w:before="360"/>
      </w:pPr>
      <w:r>
        <w:rPr>
          <w:b/>
          <w:bCs/>
          <w:sz w:val="28"/>
          <w:szCs w:val="28"/>
        </w:rPr>
        <w:t xml:space="preserve">3. System Design</w:t>
      </w:r>
    </w:p>
    <w:p>
      <w:pPr>
        <w:pStyle w:val="Heading2"/>
        <w:spacing w:after="160" w:before="280"/>
      </w:pPr>
      <w:r>
        <w:rPr>
          <w:b/>
          <w:bCs/>
          <w:sz w:val="24"/>
          <w:szCs w:val="24"/>
        </w:rPr>
        <w:t xml:space="preserve">3.1 Data</w:t>
      </w:r>
    </w:p>
    <w:p>
      <w:pPr>
        <w:spacing w:after="200" w:line="276"/>
        <w:jc w:val="both"/>
      </w:pPr>
      <w:r>
        <w:rPr>
          <w:sz w:val="22"/>
          <w:szCs w:val="22"/>
        </w:rPr>
        <w:t xml:space="preserve">Daily open-high-low-close-volume (OHLCV) data was retrieved for individual equities via the Yahoo Finance API (yfinance), covering approximately five years of trading history per ticker.</w:t>
      </w:r>
    </w:p>
    <w:p>
      <w:pPr>
        <w:pStyle w:val="Heading2"/>
        <w:spacing w:after="160" w:before="280"/>
      </w:pPr>
      <w:r>
        <w:rPr>
          <w:b/>
          <w:bCs/>
          <w:sz w:val="24"/>
          <w:szCs w:val="24"/>
        </w:rPr>
        <w:t xml:space="preserve">3.2 Features</w:t>
      </w:r>
    </w:p>
    <w:p>
      <w:pPr>
        <w:spacing w:after="200" w:line="276"/>
        <w:jc w:val="both"/>
      </w:pPr>
      <w:r>
        <w:rPr>
          <w:sz w:val="22"/>
          <w:szCs w:val="22"/>
        </w:rPr>
        <w:t xml:space="preserve">Sixteen technical indicators were computed from price and volume data, covering four categories:</w:t>
      </w:r>
    </w:p>
    <w:p>
      <w:pPr>
        <w:spacing w:after="200" w:line="276"/>
        <w:jc w:val="both"/>
      </w:pPr>
      <w:r>
        <w:rPr>
          <w:sz w:val="22"/>
          <w:szCs w:val="22"/>
        </w:rPr>
        <w:t xml:space="preserve">Trend/price: 1-day and 5-day returns, simple moving average ratios (10/20/50-day), MACD and MACD signal/histogram. Momentum: 14-day Relative Strength Index (RSI) and 10-day price momentum. Volatility: Bollinger Band width and position, 10-day and 20-day realized volatility. Volume: volume rate of change, relative volume versus a 20-day average.</w:t>
      </w:r>
    </w:p>
    <w:p>
      <w:pPr>
        <w:pStyle w:val="Heading2"/>
        <w:spacing w:after="160" w:before="280"/>
      </w:pPr>
      <w:r>
        <w:rPr>
          <w:b/>
          <w:bCs/>
          <w:sz w:val="24"/>
          <w:szCs w:val="24"/>
        </w:rPr>
        <w:t xml:space="preserve">3.3 Labels</w:t>
      </w:r>
    </w:p>
    <w:p>
      <w:pPr>
        <w:spacing w:after="200" w:line="276"/>
        <w:jc w:val="both"/>
      </w:pPr>
      <w:r>
        <w:rPr>
          <w:sz w:val="22"/>
          <w:szCs w:val="22"/>
        </w:rPr>
        <w:t xml:space="preserve">Two labeling methods were implemented and compared (see Experiment 3):</w:t>
      </w:r>
    </w:p>
    <w:p>
      <w:pPr>
        <w:spacing w:after="200" w:line="276"/>
        <w:jc w:val="both"/>
      </w:pPr>
      <w:r>
        <w:rPr>
          <w:sz w:val="22"/>
          <w:szCs w:val="22"/>
        </w:rPr>
        <w:t xml:space="preserve">Threshold-based: an observation is labeled BUY if the forward return over a fixed horizon exceeds a positive threshold, SELL if it falls below a negative threshold, and HOLD otherwise.</w:t>
      </w:r>
    </w:p>
    <w:p>
      <w:pPr>
        <w:spacing w:after="200" w:line="276"/>
        <w:jc w:val="both"/>
      </w:pPr>
      <w:r>
        <w:rPr>
          <w:sz w:val="22"/>
          <w:szCs w:val="22"/>
        </w:rPr>
        <w:t xml:space="preserve">Triple-barrier: an observation is labeled BUY if a take-profit price level is reached before a stop-loss level within a maximum holding window, SELL if the stop-loss is reached first, and HOLD if neither is reached within the window.</w:t>
      </w:r>
    </w:p>
    <w:p>
      <w:pPr>
        <w:pStyle w:val="Heading2"/>
        <w:spacing w:after="160" w:before="280"/>
      </w:pPr>
      <w:r>
        <w:rPr>
          <w:b/>
          <w:bCs/>
          <w:sz w:val="24"/>
          <w:szCs w:val="24"/>
        </w:rPr>
        <w:t xml:space="preserve">3.4 Model</w:t>
      </w:r>
    </w:p>
    <w:p>
      <w:pPr>
        <w:spacing w:after="200" w:line="276"/>
        <w:jc w:val="both"/>
      </w:pPr>
      <w:r>
        <w:rPr>
          <w:sz w:val="22"/>
          <w:szCs w:val="22"/>
        </w:rPr>
        <w:t xml:space="preserve">Two classifier types were compared throughout: Random Forest and Gradient Boosting (scikit-learn implementations), both configured with class-balanced weighting given the natural imbalance between BUY, SELL, and HOLD classes.</w:t>
      </w:r>
    </w:p>
    <w:p>
      <w:pPr>
        <w:pStyle w:val="Heading2"/>
        <w:spacing w:after="160" w:before="280"/>
      </w:pPr>
      <w:r>
        <w:rPr>
          <w:b/>
          <w:bCs/>
          <w:sz w:val="24"/>
          <w:szCs w:val="24"/>
        </w:rPr>
        <w:t xml:space="preserve">3.5 Validation</w:t>
      </w:r>
    </w:p>
    <w:p>
      <w:pPr>
        <w:spacing w:after="200" w:line="276"/>
        <w:jc w:val="both"/>
      </w:pPr>
      <w:r>
        <w:rPr>
          <w:sz w:val="22"/>
          <w:szCs w:val="22"/>
        </w:rPr>
        <w:t xml:space="preserve">All reported results use a strict chronological train/test split (75%/25%), meaning the model is trained exclusively on the earlier portion of the data and evaluated exclusively on a later portion it has never seen. Walk-forward cross-validation was additionally used during development for diagnostic purposes. This is the single most important methodological choice in the system: at no point does information from the test period leak into training.</w:t>
      </w:r>
    </w:p>
    <w:p>
      <w:pPr>
        <w:pStyle w:val="Heading1"/>
        <w:spacing w:after="200" w:before="360"/>
      </w:pPr>
      <w:r>
        <w:rPr>
          <w:b/>
          <w:bCs/>
          <w:sz w:val="28"/>
          <w:szCs w:val="28"/>
        </w:rPr>
        <w:t xml:space="preserve">4. Experiment 1: Single-Asset Optimization and Its Failure to Generalize</w:t>
      </w:r>
    </w:p>
    <w:p>
      <w:pPr>
        <w:spacing w:after="200" w:line="276"/>
        <w:jc w:val="both"/>
      </w:pPr>
      <w:r>
        <w:rPr>
          <w:sz w:val="22"/>
          <w:szCs w:val="22"/>
        </w:rPr>
        <w:t xml:space="preserve">An initial hyperparameter search was conducted on Apple Inc. (AAPL) stock, testing 18 combinations of model type (Random Forest / Gradient Boosting), prediction horizon (3, 5, or 10 trading days), and BUY/SELL thresholds (1.5%, 2%, or 3%). Each configuration was evaluated using the chronological out-of-sample backtest described above.</w:t>
      </w:r>
    </w:p>
    <w:p>
      <w:pPr>
        <w:spacing w:after="100" w:before="120"/>
      </w:pPr>
      <w:r>
        <w:rPr>
          <w:b/>
          <w:bCs/>
          <w:i/>
          <w:iCs/>
          <w:sz w:val="20"/>
          <w:szCs w:val="20"/>
        </w:rPr>
        <w:t xml:space="preserve">Table 1. Top-performing configuration found on AAPL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123"/>
        <w:gridCol w:w="1123"/>
        <w:gridCol w:w="1310"/>
        <w:gridCol w:w="1404"/>
        <w:gridCol w:w="1498"/>
        <w:gridCol w:w="1404"/>
      </w:tblGrid>
      <w:tr>
        <w:trPr>
          <w:tblHeader/>
        </w:trPr>
        <w:tc>
          <w:tcPr>
            <w:tcW w:type="dxa" w:w="1498"/>
            <w:shd w:fill="E8E8E8" w:val="clear"/>
          </w:tcPr>
          <w:p>
            <w:r>
              <w:rPr>
                <w:b/>
                <w:bCs/>
                <w:sz w:val="20"/>
                <w:szCs w:val="20"/>
              </w:rPr>
              <w:t xml:space="preserve">Model</w:t>
            </w:r>
          </w:p>
        </w:tc>
        <w:tc>
          <w:tcPr>
            <w:tcW w:type="dxa" w:w="1123"/>
            <w:shd w:fill="E8E8E8" w:val="clear"/>
          </w:tcPr>
          <w:p>
            <w:r>
              <w:rPr>
                <w:b/>
                <w:bCs/>
                <w:sz w:val="20"/>
                <w:szCs w:val="20"/>
              </w:rPr>
              <w:t xml:space="preserve">Horizon</w:t>
            </w:r>
          </w:p>
        </w:tc>
        <w:tc>
          <w:tcPr>
            <w:tcW w:type="dxa" w:w="1123"/>
            <w:shd w:fill="E8E8E8" w:val="clear"/>
          </w:tcPr>
          <w:p>
            <w:r>
              <w:rPr>
                <w:b/>
                <w:bCs/>
                <w:sz w:val="20"/>
                <w:szCs w:val="20"/>
              </w:rPr>
              <w:t xml:space="preserve">Threshold</w:t>
            </w:r>
          </w:p>
        </w:tc>
        <w:tc>
          <w:tcPr>
            <w:tcW w:type="dxa" w:w="1310"/>
            <w:shd w:fill="E8E8E8" w:val="clear"/>
          </w:tcPr>
          <w:p>
            <w:r>
              <w:rPr>
                <w:b/>
                <w:bCs/>
                <w:sz w:val="20"/>
                <w:szCs w:val="20"/>
              </w:rPr>
              <w:t xml:space="preserve">Sharpe Ratio</w:t>
            </w:r>
          </w:p>
        </w:tc>
        <w:tc>
          <w:tcPr>
            <w:tcW w:type="dxa" w:w="1404"/>
            <w:shd w:fill="E8E8E8" w:val="clear"/>
          </w:tcPr>
          <w:p>
            <w:r>
              <w:rPr>
                <w:b/>
                <w:bCs/>
                <w:sz w:val="20"/>
                <w:szCs w:val="20"/>
              </w:rPr>
              <w:t xml:space="preserve">Total Return</w:t>
            </w:r>
          </w:p>
        </w:tc>
        <w:tc>
          <w:tcPr>
            <w:tcW w:type="dxa" w:w="1498"/>
            <w:shd w:fill="E8E8E8" w:val="clear"/>
          </w:tcPr>
          <w:p>
            <w:r>
              <w:rPr>
                <w:b/>
                <w:bCs/>
                <w:sz w:val="20"/>
                <w:szCs w:val="20"/>
              </w:rPr>
              <w:t xml:space="preserve">Buy &amp; Hold Return</w:t>
            </w:r>
          </w:p>
        </w:tc>
        <w:tc>
          <w:tcPr>
            <w:tcW w:type="dxa" w:w="1404"/>
            <w:shd w:fill="E8E8E8" w:val="clear"/>
          </w:tcPr>
          <w:p>
            <w:r>
              <w:rPr>
                <w:b/>
                <w:bCs/>
                <w:sz w:val="20"/>
                <w:szCs w:val="20"/>
              </w:rPr>
              <w:t xml:space="preserve">Max Drawdown</w:t>
            </w:r>
          </w:p>
        </w:tc>
      </w:tr>
      <w:tr>
        <w:tc>
          <w:tcPr>
            <w:tcW w:type="dxa" w:w="1498"/>
          </w:tcPr>
          <w:p>
            <w:r>
              <w:rPr>
                <w:sz w:val="20"/>
                <w:szCs w:val="20"/>
              </w:rPr>
              <w:t xml:space="preserve">Gradient Boosting</w:t>
            </w:r>
          </w:p>
        </w:tc>
        <w:tc>
          <w:tcPr>
            <w:tcW w:type="dxa" w:w="1123"/>
          </w:tcPr>
          <w:p>
            <w:r>
              <w:rPr>
                <w:sz w:val="20"/>
                <w:szCs w:val="20"/>
              </w:rPr>
              <w:t xml:space="preserve">10 days</w:t>
            </w:r>
          </w:p>
        </w:tc>
        <w:tc>
          <w:tcPr>
            <w:tcW w:type="dxa" w:w="1123"/>
          </w:tcPr>
          <w:p>
            <w:r>
              <w:rPr>
                <w:sz w:val="20"/>
                <w:szCs w:val="20"/>
              </w:rPr>
              <w:t xml:space="preserve">±2.0%</w:t>
            </w:r>
          </w:p>
        </w:tc>
        <w:tc>
          <w:tcPr>
            <w:tcW w:type="dxa" w:w="1310"/>
          </w:tcPr>
          <w:p>
            <w:r>
              <w:rPr>
                <w:sz w:val="20"/>
                <w:szCs w:val="20"/>
              </w:rPr>
              <w:t xml:space="preserve">2.82</w:t>
            </w:r>
          </w:p>
        </w:tc>
        <w:tc>
          <w:tcPr>
            <w:tcW w:type="dxa" w:w="1404"/>
          </w:tcPr>
          <w:p>
            <w:r>
              <w:rPr>
                <w:sz w:val="20"/>
                <w:szCs w:val="20"/>
              </w:rPr>
              <w:t xml:space="preserve">61.4%</w:t>
            </w:r>
          </w:p>
        </w:tc>
        <w:tc>
          <w:tcPr>
            <w:tcW w:type="dxa" w:w="1498"/>
          </w:tcPr>
          <w:p>
            <w:r>
              <w:rPr>
                <w:sz w:val="20"/>
                <w:szCs w:val="20"/>
              </w:rPr>
              <w:t xml:space="preserve">63.2%</w:t>
            </w:r>
          </w:p>
        </w:tc>
        <w:tc>
          <w:tcPr>
            <w:tcW w:type="dxa" w:w="1404"/>
          </w:tcPr>
          <w:p>
            <w:r>
              <w:rPr>
                <w:sz w:val="20"/>
                <w:szCs w:val="20"/>
              </w:rPr>
              <w:t xml:space="preserve">-8.3%</w:t>
            </w:r>
          </w:p>
        </w:tc>
      </w:tr>
    </w:tbl>
    <w:p>
      <w:pPr>
        <w:spacing w:after="200"/>
      </w:pPr>
      <w:r>
        <w:t xml:space="preserve"/>
      </w:r>
    </w:p>
    <w:p>
      <w:pPr>
        <w:spacing w:after="200" w:line="276"/>
        <w:jc w:val="both"/>
      </w:pPr>
      <w:r>
        <w:rPr>
          <w:sz w:val="22"/>
          <w:szCs w:val="22"/>
        </w:rPr>
        <w:t xml:space="preserve">A Sharpe ratio of 2.82 is a strong result by any conventional standard; ratios above 1.0 are generally considered good, and above 2.0 is rare even for professional systematic strategies. This result initially appeared to indicate a genuinely useful trading signal.</w:t>
      </w:r>
    </w:p>
    <w:p>
      <w:pPr>
        <w:spacing w:after="200" w:line="276"/>
        <w:jc w:val="both"/>
      </w:pPr>
      <w:r>
        <w:rPr>
          <w:sz w:val="22"/>
          <w:szCs w:val="22"/>
        </w:rPr>
        <w:t xml:space="preserve">The same configuration was then applied, unchanged, to a second stock (Microsoft, MSFT), which had not been part of the search. The result was starkly different:</w:t>
      </w:r>
    </w:p>
    <w:p>
      <w:pPr>
        <w:spacing w:after="100" w:before="120"/>
      </w:pPr>
      <w:r>
        <w:rPr>
          <w:b/>
          <w:bCs/>
          <w:i/>
          <w:iCs/>
          <w:sz w:val="20"/>
          <w:szCs w:val="20"/>
        </w:rPr>
        <w:t xml:space="preserve">Table 2. The AAPL-optimized configuration applied to MSFT.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310"/>
        <w:gridCol w:w="1498"/>
        <w:gridCol w:w="1685"/>
        <w:gridCol w:w="1872"/>
      </w:tblGrid>
      <w:tr>
        <w:trPr>
          <w:tblHeader/>
        </w:trPr>
        <w:tc>
          <w:tcPr>
            <w:tcW w:type="dxa" w:w="1685"/>
            <w:shd w:fill="E8E8E8" w:val="clear"/>
          </w:tcPr>
          <w:p>
            <w:r>
              <w:rPr>
                <w:b/>
                <w:bCs/>
                <w:sz w:val="20"/>
                <w:szCs w:val="20"/>
              </w:rPr>
              <w:t xml:space="preserve">Model</w:t>
            </w:r>
          </w:p>
        </w:tc>
        <w:tc>
          <w:tcPr>
            <w:tcW w:type="dxa" w:w="1310"/>
            <w:shd w:fill="E8E8E8" w:val="clear"/>
          </w:tcPr>
          <w:p>
            <w:r>
              <w:rPr>
                <w:b/>
                <w:bCs/>
                <w:sz w:val="20"/>
                <w:szCs w:val="20"/>
              </w:rPr>
              <w:t xml:space="preserve">Horizon</w:t>
            </w:r>
          </w:p>
        </w:tc>
        <w:tc>
          <w:tcPr>
            <w:tcW w:type="dxa" w:w="1310"/>
            <w:shd w:fill="E8E8E8" w:val="clear"/>
          </w:tcPr>
          <w:p>
            <w:r>
              <w:rPr>
                <w:b/>
                <w:bCs/>
                <w:sz w:val="20"/>
                <w:szCs w:val="20"/>
              </w:rPr>
              <w:t xml:space="preserve">Threshold</w:t>
            </w:r>
          </w:p>
        </w:tc>
        <w:tc>
          <w:tcPr>
            <w:tcW w:type="dxa" w:w="1498"/>
            <w:shd w:fill="E8E8E8" w:val="clear"/>
          </w:tcPr>
          <w:p>
            <w:r>
              <w:rPr>
                <w:b/>
                <w:bCs/>
                <w:sz w:val="20"/>
                <w:szCs w:val="20"/>
              </w:rPr>
              <w:t xml:space="preserve">Sharpe Ratio</w:t>
            </w:r>
          </w:p>
        </w:tc>
        <w:tc>
          <w:tcPr>
            <w:tcW w:type="dxa" w:w="1685"/>
            <w:shd w:fill="E8E8E8" w:val="clear"/>
          </w:tcPr>
          <w:p>
            <w:r>
              <w:rPr>
                <w:b/>
                <w:bCs/>
                <w:sz w:val="20"/>
                <w:szCs w:val="20"/>
              </w:rPr>
              <w:t xml:space="preserve">Total Return</w:t>
            </w:r>
          </w:p>
        </w:tc>
        <w:tc>
          <w:tcPr>
            <w:tcW w:type="dxa" w:w="1872"/>
            <w:shd w:fill="E8E8E8" w:val="clear"/>
          </w:tcPr>
          <w:p>
            <w:r>
              <w:rPr>
                <w:b/>
                <w:bCs/>
                <w:sz w:val="20"/>
                <w:szCs w:val="20"/>
              </w:rPr>
              <w:t xml:space="preserve">Buy &amp; Hold Return</w:t>
            </w:r>
          </w:p>
        </w:tc>
      </w:tr>
      <w:tr>
        <w:tc>
          <w:tcPr>
            <w:tcW w:type="dxa" w:w="1685"/>
          </w:tcPr>
          <w:p>
            <w:r>
              <w:rPr>
                <w:sz w:val="20"/>
                <w:szCs w:val="20"/>
              </w:rPr>
              <w:t xml:space="preserve">Gradient Boosting</w:t>
            </w:r>
          </w:p>
        </w:tc>
        <w:tc>
          <w:tcPr>
            <w:tcW w:type="dxa" w:w="1310"/>
          </w:tcPr>
          <w:p>
            <w:r>
              <w:rPr>
                <w:sz w:val="20"/>
                <w:szCs w:val="20"/>
              </w:rPr>
              <w:t xml:space="preserve">10 days</w:t>
            </w:r>
          </w:p>
        </w:tc>
        <w:tc>
          <w:tcPr>
            <w:tcW w:type="dxa" w:w="1310"/>
          </w:tcPr>
          <w:p>
            <w:r>
              <w:rPr>
                <w:sz w:val="20"/>
                <w:szCs w:val="20"/>
              </w:rPr>
              <w:t xml:space="preserve">±2.0%</w:t>
            </w:r>
          </w:p>
        </w:tc>
        <w:tc>
          <w:tcPr>
            <w:tcW w:type="dxa" w:w="1498"/>
          </w:tcPr>
          <w:p>
            <w:r>
              <w:rPr>
                <w:sz w:val="20"/>
                <w:szCs w:val="20"/>
              </w:rPr>
              <w:t xml:space="preserve">-0.62</w:t>
            </w:r>
          </w:p>
        </w:tc>
        <w:tc>
          <w:tcPr>
            <w:tcW w:type="dxa" w:w="1685"/>
          </w:tcPr>
          <w:p>
            <w:r>
              <w:rPr>
                <w:sz w:val="20"/>
                <w:szCs w:val="20"/>
              </w:rPr>
              <w:t xml:space="preserve">-15.1%</w:t>
            </w:r>
          </w:p>
        </w:tc>
        <w:tc>
          <w:tcPr>
            <w:tcW w:type="dxa" w:w="1872"/>
          </w:tcPr>
          <w:p>
            <w:r>
              <w:rPr>
                <w:sz w:val="20"/>
                <w:szCs w:val="20"/>
              </w:rPr>
              <w:t xml:space="preserve">-7.0%</w:t>
            </w:r>
          </w:p>
        </w:tc>
      </w:tr>
    </w:tbl>
    <w:p>
      <w:pPr>
        <w:spacing w:after="200"/>
      </w:pPr>
      <w:r>
        <w:t xml:space="preserve"/>
      </w:r>
    </w:p>
    <w:p>
      <w:pPr>
        <w:spacing w:after="200" w:line="276"/>
        <w:jc w:val="both"/>
      </w:pPr>
      <w:r>
        <w:rPr>
          <w:sz w:val="22"/>
          <w:szCs w:val="22"/>
        </w:rPr>
        <w:t xml:space="preserve">The configuration that ranked best on AAPL ranked among the worst of all 18 tested configurations when applied to MSFT. This is a direct empirical demonstration of backtest overfitting: because 18 configurations were compared against the same historical window, the search was statistically likely to identify a configuration that fit AAPL's specific price path during that period rather than a pattern with any general validity.</w:t>
      </w:r>
    </w:p>
    <w:p>
      <w:pPr>
        <w:spacing w:after="200" w:line="276"/>
        <w:jc w:val="both"/>
      </w:pPr>
      <w:r>
        <w:rPr>
          <w:sz w:val="22"/>
          <w:szCs w:val="22"/>
        </w:rPr>
        <w:t xml:space="preserve">This result is the central finding motivating the remainder of this paper: searching harder on a single asset does not increase confidence in a result; it decreases it, unless the search is validated against data or assets genuinely independent of the search process. Section 7 revisits this result with a formal statistical test.</w:t>
      </w:r>
    </w:p>
    <w:p>
      <w:pPr>
        <w:pStyle w:val="Heading1"/>
        <w:spacing w:after="200" w:before="360"/>
      </w:pPr>
      <w:r>
        <w:rPr>
          <w:b/>
          <w:bCs/>
          <w:sz w:val="28"/>
          <w:szCs w:val="28"/>
        </w:rPr>
        <w:t xml:space="preserve">5. Experiment 2: Cross-Asset Pooled Validation</w:t>
      </w:r>
    </w:p>
    <w:p>
      <w:pPr>
        <w:spacing w:after="200" w:line="276"/>
        <w:jc w:val="both"/>
      </w:pPr>
      <w:r>
        <w:rPr>
          <w:sz w:val="22"/>
          <w:szCs w:val="22"/>
        </w:rPr>
        <w:t xml:space="preserve">To address the failure mode identified in Experiment 1, a new validation framework was built with two changes: (1) a single model is trained on data pooled across many stocks simultaneously, rather than a separate model per stock, forcing it to learn patterns that hold across companies rather than memorizing one company's specific path; and (2) any hyperparameter search is evaluated by its average performance across the entire basket of stocks, not its performance on any single one.</w:t>
      </w:r>
    </w:p>
    <w:p>
      <w:pPr>
        <w:spacing w:after="200" w:line="276"/>
        <w:jc w:val="both"/>
      </w:pPr>
      <w:r>
        <w:rPr>
          <w:sz w:val="22"/>
          <w:szCs w:val="22"/>
        </w:rPr>
        <w:t xml:space="preserve">A basket of fifteen large-cap stocks was selected across six sectors (technology, healthcare, consumer staples, consumer discretionary, energy, and media) to ensure the model could not simply specialize in one sector's behavior. Financial-services companies were deliberately excluded from the basket for reasons unrelated to the machine learning methodology (see Section 9).</w:t>
      </w:r>
    </w:p>
    <w:p>
      <w:pPr>
        <w:spacing w:after="100" w:before="120"/>
      </w:pPr>
      <w:r>
        <w:rPr>
          <w:b/>
          <w:bCs/>
          <w:i/>
          <w:iCs/>
          <w:sz w:val="20"/>
          <w:szCs w:val="20"/>
        </w:rPr>
        <w:t xml:space="preserve">Table 3. Pooled model performance across 15 stocks (Gradient Boosting, threshold labels, out-of-sample).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shd w:fill="E8E8E8" w:val="clear"/>
          </w:tcPr>
          <w:p>
            <w:r>
              <w:rPr>
                <w:b/>
                <w:bCs/>
                <w:sz w:val="20"/>
                <w:szCs w:val="20"/>
              </w:rPr>
              <w:t xml:space="preserve">Metric</w:t>
            </w:r>
          </w:p>
        </w:tc>
        <w:tc>
          <w:tcPr>
            <w:tcW w:type="dxa" w:w="5148"/>
            <w:shd w:fill="E8E8E8" w:val="clear"/>
          </w:tcPr>
          <w:p>
            <w:r>
              <w:rPr>
                <w:b/>
                <w:bCs/>
                <w:sz w:val="20"/>
                <w:szCs w:val="20"/>
              </w:rPr>
              <w:t xml:space="preserve">Value</w:t>
            </w:r>
          </w:p>
        </w:tc>
      </w:tr>
      <w:tr>
        <w:tc>
          <w:tcPr>
            <w:tcW w:type="dxa" w:w="4212"/>
          </w:tcPr>
          <w:p>
            <w:r>
              <w:rPr>
                <w:sz w:val="20"/>
                <w:szCs w:val="20"/>
              </w:rPr>
              <w:t xml:space="preserve">Out-of-sample classification accuracy</w:t>
            </w:r>
          </w:p>
        </w:tc>
        <w:tc>
          <w:tcPr>
            <w:tcW w:type="dxa" w:w="5148"/>
          </w:tcPr>
          <w:p>
            <w:r>
              <w:rPr>
                <w:sz w:val="20"/>
                <w:szCs w:val="20"/>
              </w:rPr>
              <w:t xml:space="preserve">46.2% (majority-class baseline: 47.0%)</w:t>
            </w:r>
          </w:p>
        </w:tc>
      </w:tr>
      <w:tr>
        <w:tc>
          <w:tcPr>
            <w:tcW w:type="dxa" w:w="4212"/>
          </w:tcPr>
          <w:p>
            <w:r>
              <w:rPr>
                <w:sz w:val="20"/>
                <w:szCs w:val="20"/>
              </w:rPr>
              <w:t xml:space="preserve">Average Sharpe ratio across stocks</w:t>
            </w:r>
          </w:p>
        </w:tc>
        <w:tc>
          <w:tcPr>
            <w:tcW w:type="dxa" w:w="5148"/>
          </w:tcPr>
          <w:p>
            <w:r>
              <w:rPr>
                <w:sz w:val="20"/>
                <w:szCs w:val="20"/>
              </w:rPr>
              <w:t xml:space="preserve">0.85</w:t>
            </w:r>
          </w:p>
        </w:tc>
      </w:tr>
      <w:tr>
        <w:tc>
          <w:tcPr>
            <w:tcW w:type="dxa" w:w="4212"/>
          </w:tcPr>
          <w:p>
            <w:r>
              <w:rPr>
                <w:sz w:val="20"/>
                <w:szCs w:val="20"/>
              </w:rPr>
              <w:t xml:space="preserve">Stocks where the model beat buy-and-hold</w:t>
            </w:r>
          </w:p>
        </w:tc>
        <w:tc>
          <w:tcPr>
            <w:tcW w:type="dxa" w:w="5148"/>
          </w:tcPr>
          <w:p>
            <w:r>
              <w:rPr>
                <w:sz w:val="20"/>
                <w:szCs w:val="20"/>
              </w:rPr>
              <w:t xml:space="preserve">53% (8 of 15)</w:t>
            </w:r>
          </w:p>
        </w:tc>
      </w:tr>
    </w:tbl>
    <w:p>
      <w:pPr>
        <w:spacing w:after="200"/>
      </w:pPr>
      <w:r>
        <w:t xml:space="preserve"/>
      </w:r>
    </w:p>
    <w:p>
      <w:pPr>
        <w:spacing w:after="200" w:line="276"/>
        <w:jc w:val="both"/>
      </w:pPr>
      <w:r>
        <w:rPr>
          <w:sz w:val="22"/>
          <w:szCs w:val="22"/>
        </w:rPr>
        <w:t xml:space="preserve">Individual stock results varied considerably (Sharpe ratios ranged from -0.17 on META to 2.84 on GOOGL), which is itself informative: a single “best” number from one stock, as in Experiment 1, would have been misleading in either direction depending on which stock happened to be selected.</w:t>
      </w:r>
    </w:p>
    <w:p>
      <w:pPr>
        <w:spacing w:after="200" w:line="276"/>
        <w:jc w:val="both"/>
      </w:pPr>
      <w:r>
        <w:rPr>
          <w:sz w:val="22"/>
          <w:szCs w:val="22"/>
        </w:rPr>
        <w:t xml:space="preserve">This result is more modest than the single-asset result from Experiment 1, and that is the point: it is also far more credible, because it was not selected for looking good on the data used to evaluate it.</w:t>
      </w:r>
    </w:p>
    <w:p>
      <w:pPr>
        <w:pStyle w:val="Heading2"/>
        <w:spacing w:after="160" w:before="280"/>
      </w:pPr>
      <w:r>
        <w:rPr>
          <w:b/>
          <w:bCs/>
          <w:sz w:val="24"/>
          <w:szCs w:val="24"/>
        </w:rPr>
        <w:t xml:space="preserve">5.1 Statistical Significance</w:t>
      </w:r>
    </w:p>
    <w:p>
      <w:pPr>
        <w:spacing w:after="200" w:line="276"/>
        <w:jc w:val="both"/>
      </w:pPr>
      <w:r>
        <w:rPr>
          <w:sz w:val="22"/>
          <w:szCs w:val="22"/>
        </w:rPr>
        <w:t xml:space="preserve">Two significance tests were conducted on the Table 3 results, addressing a gap in the original analysis (see Section 10).</w:t>
      </w:r>
    </w:p>
    <w:p>
      <w:pPr>
        <w:spacing w:after="200" w:line="276"/>
        <w:jc w:val="both"/>
      </w:pPr>
      <w:r>
        <w:rPr>
          <w:sz w:val="22"/>
          <w:szCs w:val="22"/>
        </w:rPr>
        <w:t xml:space="preserve">First, the model's 46.2% classification accuracy was compared against a trivial majority-class baseline: always predicting HOLD, the most common label, achieves 47.0% accuracy on the same test set by construction. A one-sample proportion z-test comparing the model to this baseline yields z = -1.04, which is not statistically significant at p &lt; 0.05. The model's raw classification accuracy cannot be statistically distinguished from simply guessing the most common class every time.</w:t>
      </w:r>
    </w:p>
    <w:p>
      <w:pPr>
        <w:spacing w:after="200" w:line="276"/>
        <w:jc w:val="both"/>
      </w:pPr>
      <w:r>
        <w:rPr>
          <w:sz w:val="22"/>
          <w:szCs w:val="22"/>
        </w:rPr>
        <w:t xml:space="preserve">Second, the claim that the model beat buy-and-hold on 53% of stocks (8 of 15) was tested against the null hypothesis of beating it on 50% by chance. A binomial test yields a one-sided p-value of 0.50. This is not significant, and is essentially indistinguishable from a coin flip given the small sample of 15 stocks.</w:t>
      </w:r>
    </w:p>
    <w:p>
      <w:pPr>
        <w:spacing w:after="200" w:line="276"/>
        <w:jc w:val="both"/>
      </w:pPr>
      <w:r>
        <w:rPr>
          <w:sz w:val="22"/>
          <w:szCs w:val="22"/>
        </w:rPr>
        <w:t xml:space="preserve">These results do not overturn this paper's central argument; if anything, they sharpen it. Section 6 shows that raw accuracy can be misleading for this task; this section shows the same is true even for the model judged “successful.” Expanding the stock basket substantially beyond 15 is the most direct way to obtain adequate statistical power, and is identified as the priority for future work (Section 10).</w:t>
      </w:r>
    </w:p>
    <w:p>
      <w:pPr>
        <w:pStyle w:val="Heading1"/>
        <w:spacing w:after="200" w:before="360"/>
      </w:pPr>
      <w:r>
        <w:rPr>
          <w:b/>
          <w:bCs/>
          <w:sz w:val="28"/>
          <w:szCs w:val="28"/>
        </w:rPr>
        <w:t xml:space="preserve">6. Experiment 3: Testing an Alternative Labeling Method</w:t>
      </w:r>
    </w:p>
    <w:p>
      <w:pPr>
        <w:spacing w:after="200" w:line="276"/>
        <w:jc w:val="both"/>
      </w:pPr>
      <w:r>
        <w:rPr>
          <w:sz w:val="22"/>
          <w:szCs w:val="22"/>
        </w:rPr>
        <w:t xml:space="preserve">Following the logic in Section 2, the triple-barrier labeling method was implemented as a hypothesized improvement over the threshold-based labels used in Experiments 1 and 2. It was evaluated using the identical pooled, cross-asset framework built for Experiment 2, changing only the labeling method (take-profit 3%, stop-loss 2%, maximum holding period 10 trading days).</w:t>
      </w:r>
    </w:p>
    <w:p>
      <w:pPr>
        <w:spacing w:after="100" w:before="120"/>
      </w:pPr>
      <w:r>
        <w:rPr>
          <w:b/>
          <w:bCs/>
          <w:i/>
          <w:iCs/>
          <w:sz w:val="20"/>
          <w:szCs w:val="20"/>
        </w:rPr>
        <w:t xml:space="preserve">Table 4. Triple-barrier labels vs. threshold labels, same pooled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E8E8E8" w:val="clear"/>
          </w:tcPr>
          <w:p>
            <w:r>
              <w:rPr>
                <w:b/>
                <w:bCs/>
                <w:sz w:val="20"/>
                <w:szCs w:val="20"/>
              </w:rPr>
              <w:t xml:space="preserve">Metric</w:t>
            </w:r>
          </w:p>
        </w:tc>
        <w:tc>
          <w:tcPr>
            <w:tcW w:type="dxa" w:w="2808"/>
            <w:shd w:fill="E8E8E8" w:val="clear"/>
          </w:tcPr>
          <w:p>
            <w:r>
              <w:rPr>
                <w:b/>
                <w:bCs/>
                <w:sz w:val="20"/>
                <w:szCs w:val="20"/>
              </w:rPr>
              <w:t xml:space="preserve">Threshold labels</w:t>
            </w:r>
          </w:p>
        </w:tc>
        <w:tc>
          <w:tcPr>
            <w:tcW w:type="dxa" w:w="2808"/>
            <w:shd w:fill="E8E8E8" w:val="clear"/>
          </w:tcPr>
          <w:p>
            <w:r>
              <w:rPr>
                <w:b/>
                <w:bCs/>
                <w:sz w:val="20"/>
                <w:szCs w:val="20"/>
              </w:rPr>
              <w:t xml:space="preserve">Triple-barrier labels</w:t>
            </w:r>
          </w:p>
        </w:tc>
      </w:tr>
      <w:tr>
        <w:tc>
          <w:tcPr>
            <w:tcW w:type="dxa" w:w="3744"/>
          </w:tcPr>
          <w:p>
            <w:r>
              <w:rPr>
                <w:sz w:val="20"/>
                <w:szCs w:val="20"/>
              </w:rPr>
              <w:t xml:space="preserve">Out-of-sample accuracy</w:t>
            </w:r>
          </w:p>
        </w:tc>
        <w:tc>
          <w:tcPr>
            <w:tcW w:type="dxa" w:w="2808"/>
          </w:tcPr>
          <w:p>
            <w:r>
              <w:rPr>
                <w:sz w:val="20"/>
                <w:szCs w:val="20"/>
              </w:rPr>
              <w:t xml:space="preserve">46.2%</w:t>
            </w:r>
          </w:p>
        </w:tc>
        <w:tc>
          <w:tcPr>
            <w:tcW w:type="dxa" w:w="2808"/>
          </w:tcPr>
          <w:p>
            <w:r>
              <w:rPr>
                <w:sz w:val="20"/>
                <w:szCs w:val="20"/>
              </w:rPr>
              <w:t xml:space="preserve">52.3%</w:t>
            </w:r>
          </w:p>
        </w:tc>
      </w:tr>
      <w:tr>
        <w:tc>
          <w:tcPr>
            <w:tcW w:type="dxa" w:w="3744"/>
          </w:tcPr>
          <w:p>
            <w:r>
              <w:rPr>
                <w:sz w:val="20"/>
                <w:szCs w:val="20"/>
              </w:rPr>
              <w:t xml:space="preserve">Average Sharpe ratio</w:t>
            </w:r>
          </w:p>
        </w:tc>
        <w:tc>
          <w:tcPr>
            <w:tcW w:type="dxa" w:w="2808"/>
          </w:tcPr>
          <w:p>
            <w:r>
              <w:rPr>
                <w:sz w:val="20"/>
                <w:szCs w:val="20"/>
              </w:rPr>
              <w:t xml:space="preserve">0.85</w:t>
            </w:r>
          </w:p>
        </w:tc>
        <w:tc>
          <w:tcPr>
            <w:tcW w:type="dxa" w:w="2808"/>
          </w:tcPr>
          <w:p>
            <w:r>
              <w:rPr>
                <w:sz w:val="20"/>
                <w:szCs w:val="20"/>
              </w:rPr>
              <w:t xml:space="preserve">0.09</w:t>
            </w:r>
          </w:p>
        </w:tc>
      </w:tr>
      <w:tr>
        <w:tc>
          <w:tcPr>
            <w:tcW w:type="dxa" w:w="3744"/>
          </w:tcPr>
          <w:p>
            <w:r>
              <w:rPr>
                <w:sz w:val="20"/>
                <w:szCs w:val="20"/>
              </w:rPr>
              <w:t xml:space="preserve">Beat buy-and-hold</w:t>
            </w:r>
          </w:p>
        </w:tc>
        <w:tc>
          <w:tcPr>
            <w:tcW w:type="dxa" w:w="2808"/>
          </w:tcPr>
          <w:p>
            <w:r>
              <w:rPr>
                <w:sz w:val="20"/>
                <w:szCs w:val="20"/>
              </w:rPr>
              <w:t xml:space="preserve">53% of stocks</w:t>
            </w:r>
          </w:p>
        </w:tc>
        <w:tc>
          <w:tcPr>
            <w:tcW w:type="dxa" w:w="2808"/>
          </w:tcPr>
          <w:p>
            <w:r>
              <w:rPr>
                <w:sz w:val="20"/>
                <w:szCs w:val="20"/>
              </w:rPr>
              <w:t xml:space="preserve">20% of stocks</w:t>
            </w:r>
          </w:p>
        </w:tc>
      </w:tr>
    </w:tbl>
    <w:p>
      <w:pPr>
        <w:spacing w:after="200"/>
      </w:pPr>
      <w:r>
        <w:t xml:space="preserve"/>
      </w:r>
    </w:p>
    <w:p>
      <w:pPr>
        <w:spacing w:after="200" w:line="276"/>
        <w:jc w:val="both"/>
      </w:pPr>
      <w:r>
        <w:rPr>
          <w:sz w:val="22"/>
          <w:szCs w:val="22"/>
        </w:rPr>
        <w:t xml:space="preserve">This result is worth discussing at length because of what it reveals about evaluation metrics. The triple-barrier model achieved higher raw classification accuracy than the threshold-based model, which might naively be read as an improvement. Examining the per-class breakdown shows why this is misleading: the triple-barrier model achieved 88% recall on the SELL class but 0% recall on HOLD and only 13% on BUY, a strong bias toward predicting SELL that happened to be correct often enough to inflate accuracy, while providing little useful trading signal.</w:t>
      </w:r>
    </w:p>
    <w:p>
      <w:pPr>
        <w:spacing w:after="200" w:line="276"/>
        <w:jc w:val="both"/>
      </w:pPr>
      <w:r>
        <w:rPr>
          <w:sz w:val="22"/>
          <w:szCs w:val="22"/>
        </w:rPr>
        <w:t xml:space="preserve">This experiment produced a negative result (the hypothesized improvement did not hold up) and is reported as such rather than omitted. It demonstrates that classification accuracy, the most commonly reported metric in applied machine learning, can be actively misleading in an imbalanced, class-degenerate trading context.</w:t>
      </w:r>
    </w:p>
    <w:p>
      <w:pPr>
        <w:pStyle w:val="Heading1"/>
        <w:spacing w:after="200" w:before="360"/>
      </w:pPr>
      <w:r>
        <w:rPr>
          <w:b/>
          <w:bCs/>
          <w:sz w:val="28"/>
          <w:szCs w:val="28"/>
        </w:rPr>
        <w:t xml:space="preserve">7. Extension: A Formal Test for Selection Bias (Deflated Sharpe Ratio)</w:t>
      </w:r>
    </w:p>
    <w:p>
      <w:pPr>
        <w:spacing w:after="200" w:line="276"/>
        <w:jc w:val="both"/>
      </w:pPr>
      <w:r>
        <w:rPr>
          <w:sz w:val="22"/>
          <w:szCs w:val="22"/>
        </w:rPr>
        <w:t xml:space="preserve">Experiment 1 argued, based on the AAPL configuration's failure on MSFT, that its strong backtested Sharpe ratio (2.82) likely reflected overfitting to the search process rather than genuine predictive skill. This section applies a formal statistical framework, the Deflated Sharpe Ratio methodology of Bailey and Lopez de Prado (2014), to test that claim quantitatively rather than relying solely on the out-of-sample failure as evidence.</w:t>
      </w:r>
    </w:p>
    <w:p>
      <w:pPr>
        <w:spacing w:after="200" w:line="276"/>
        <w:jc w:val="both"/>
      </w:pPr>
      <w:r>
        <w:rPr>
          <w:sz w:val="22"/>
          <w:szCs w:val="22"/>
        </w:rPr>
        <w:t xml:space="preserve">Given N independent trials with Sharpe ratios exhibiting standard deviation σₛᵣ across trials, Bailey and Lopez de Prado derive the expected value of the maximum Sharpe ratio attributable to selection alone, assuming every trial's true underlying skill is zero:</w:t>
      </w:r>
    </w:p>
    <w:p>
      <w:pPr>
        <w:spacing w:after="160" w:before="160"/>
        <w:jc w:val="center"/>
      </w:pPr>
      <w:r>
        <w:rPr>
          <w:i/>
          <w:iCs/>
          <w:sz w:val="22"/>
          <w:szCs w:val="22"/>
        </w:rPr>
        <w:t xml:space="preserve">E[max SR] = σₛᵣ × [(1−γ)Φ⁻¹(1−1/N) + γΦ⁻¹(1−1/Ne)]</w:t>
      </w:r>
    </w:p>
    <w:p>
      <w:pPr>
        <w:spacing w:after="200" w:line="276"/>
        <w:jc w:val="both"/>
      </w:pPr>
      <w:r>
        <w:rPr>
          <w:sz w:val="22"/>
          <w:szCs w:val="22"/>
        </w:rPr>
        <w:t xml:space="preserve">where γ is the Euler-Mascheroni constant (≈0.5772) and Φ⁻¹ is the inverse standard normal CDF. Applying this to the 18 Sharpe ratios from Experiment 1's AAPL search (σₛᵣ = 0.663, mean = 1.823) gives an expected chance-maximum of 1.23. This means that even if every configuration had zero true skill, testing 18 of them would be expected to produce a “winning” Sharpe ratio around 1.23 from selection variance alone.</w:t>
      </w:r>
    </w:p>
    <w:p>
      <w:pPr>
        <w:spacing w:after="100" w:before="120"/>
      </w:pPr>
      <w:r>
        <w:rPr>
          <w:b/>
          <w:bCs/>
          <w:i/>
          <w:iCs/>
          <w:sz w:val="20"/>
          <w:szCs w:val="20"/>
        </w:rPr>
        <w:t xml:space="preserve">Table 5. Deflated Sharpe Ratio calculation for the Experiment 1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E8E8E8" w:val="clear"/>
          </w:tcPr>
          <w:p>
            <w:r>
              <w:rPr>
                <w:b/>
                <w:bCs/>
                <w:sz w:val="20"/>
                <w:szCs w:val="20"/>
              </w:rPr>
              <w:t xml:space="preserve">Quantity</w:t>
            </w:r>
          </w:p>
        </w:tc>
        <w:tc>
          <w:tcPr>
            <w:tcW w:type="dxa" w:w="3744"/>
            <w:shd w:fill="E8E8E8" w:val="clear"/>
          </w:tcPr>
          <w:p>
            <w:r>
              <w:rPr>
                <w:b/>
                <w:bCs/>
                <w:sz w:val="20"/>
                <w:szCs w:val="20"/>
              </w:rPr>
              <w:t xml:space="preserve">Value</w:t>
            </w:r>
          </w:p>
        </w:tc>
      </w:tr>
      <w:tr>
        <w:tc>
          <w:tcPr>
            <w:tcW w:type="dxa" w:w="5616"/>
          </w:tcPr>
          <w:p>
            <w:r>
              <w:rPr>
                <w:sz w:val="20"/>
                <w:szCs w:val="20"/>
              </w:rPr>
              <w:t xml:space="preserve">Number of trials (N)</w:t>
            </w:r>
          </w:p>
        </w:tc>
        <w:tc>
          <w:tcPr>
            <w:tcW w:type="dxa" w:w="3744"/>
          </w:tcPr>
          <w:p>
            <w:r>
              <w:rPr>
                <w:sz w:val="20"/>
                <w:szCs w:val="20"/>
              </w:rPr>
              <w:t xml:space="preserve">18</w:t>
            </w:r>
          </w:p>
        </w:tc>
      </w:tr>
      <w:tr>
        <w:tc>
          <w:tcPr>
            <w:tcW w:type="dxa" w:w="5616"/>
          </w:tcPr>
          <w:p>
            <w:r>
              <w:rPr>
                <w:sz w:val="20"/>
                <w:szCs w:val="20"/>
              </w:rPr>
              <w:t xml:space="preserve">Mean Sharpe ratio across all trials</w:t>
            </w:r>
          </w:p>
        </w:tc>
        <w:tc>
          <w:tcPr>
            <w:tcW w:type="dxa" w:w="3744"/>
          </w:tcPr>
          <w:p>
            <w:r>
              <w:rPr>
                <w:sz w:val="20"/>
                <w:szCs w:val="20"/>
              </w:rPr>
              <w:t xml:space="preserve">1.823</w:t>
            </w:r>
          </w:p>
        </w:tc>
      </w:tr>
      <w:tr>
        <w:tc>
          <w:tcPr>
            <w:tcW w:type="dxa" w:w="5616"/>
          </w:tcPr>
          <w:p>
            <w:r>
              <w:rPr>
                <w:sz w:val="20"/>
                <w:szCs w:val="20"/>
              </w:rPr>
              <w:t xml:space="preserve">Std. deviation of Sharpe ratios (σₛᵣ)</w:t>
            </w:r>
          </w:p>
        </w:tc>
        <w:tc>
          <w:tcPr>
            <w:tcW w:type="dxa" w:w="3744"/>
          </w:tcPr>
          <w:p>
            <w:r>
              <w:rPr>
                <w:sz w:val="20"/>
                <w:szCs w:val="20"/>
              </w:rPr>
              <w:t xml:space="preserve">0.663</w:t>
            </w:r>
          </w:p>
        </w:tc>
      </w:tr>
      <w:tr>
        <w:tc>
          <w:tcPr>
            <w:tcW w:type="dxa" w:w="5616"/>
          </w:tcPr>
          <w:p>
            <w:r>
              <w:rPr>
                <w:sz w:val="20"/>
                <w:szCs w:val="20"/>
              </w:rPr>
              <w:t xml:space="preserve">Expected maximum Sharpe under zero true skill</w:t>
            </w:r>
          </w:p>
        </w:tc>
        <w:tc>
          <w:tcPr>
            <w:tcW w:type="dxa" w:w="3744"/>
          </w:tcPr>
          <w:p>
            <w:r>
              <w:rPr>
                <w:sz w:val="20"/>
                <w:szCs w:val="20"/>
              </w:rPr>
              <w:t xml:space="preserve">1.229</w:t>
            </w:r>
          </w:p>
        </w:tc>
      </w:tr>
      <w:tr>
        <w:tc>
          <w:tcPr>
            <w:tcW w:type="dxa" w:w="5616"/>
          </w:tcPr>
          <w:p>
            <w:r>
              <w:rPr>
                <w:sz w:val="20"/>
                <w:szCs w:val="20"/>
              </w:rPr>
              <w:t xml:space="preserve">Observed best Sharpe ratio</w:t>
            </w:r>
          </w:p>
        </w:tc>
        <w:tc>
          <w:tcPr>
            <w:tcW w:type="dxa" w:w="3744"/>
          </w:tcPr>
          <w:p>
            <w:r>
              <w:rPr>
                <w:sz w:val="20"/>
                <w:szCs w:val="20"/>
              </w:rPr>
              <w:t xml:space="preserve">2.820</w:t>
            </w:r>
          </w:p>
        </w:tc>
      </w:tr>
    </w:tbl>
    <w:p>
      <w:pPr>
        <w:spacing w:after="200"/>
      </w:pPr>
      <w:r>
        <w:t xml:space="preserve"/>
      </w:r>
    </w:p>
    <w:p>
      <w:pPr>
        <w:pStyle w:val="Heading2"/>
        <w:spacing w:after="160" w:before="280"/>
      </w:pPr>
      <w:r>
        <w:rPr>
          <w:b/>
          <w:bCs/>
          <w:sz w:val="24"/>
          <w:szCs w:val="24"/>
        </w:rPr>
        <w:t xml:space="preserve">7.1 Interpreting This Result Honestly</w:t>
      </w:r>
    </w:p>
    <w:p>
      <w:pPr>
        <w:spacing w:after="200" w:line="276"/>
        <w:jc w:val="both"/>
      </w:pPr>
      <w:r>
        <w:rPr>
          <w:sz w:val="22"/>
          <w:szCs w:val="22"/>
        </w:rPr>
        <w:t xml:space="preserve">The observed best Sharpe ratio (2.82) exceeds the chance-expected maximum (1.23) by a considerable margin. Read in isolation, this would suggest the winning AAPL configuration reflects more than pure search noise. This appears, at first glance, to be in tension with the MSFT failure reported in Experiment 1.</w:t>
      </w:r>
    </w:p>
    <w:p>
      <w:pPr>
        <w:spacing w:after="200" w:line="276"/>
        <w:jc w:val="both"/>
      </w:pPr>
      <w:r>
        <w:rPr>
          <w:sz w:val="22"/>
          <w:szCs w:val="22"/>
        </w:rPr>
        <w:t xml:space="preserve">The resolution is informative rather than contradictory. The formula above assumes the true Sharpe ratio of every trial is zero; but the mean Sharpe ratio across all 18 AAPL configurations was 1.82, not zero, indicating that most tested configurations, not only the eventual “winner,” performed reasonably well on AAPL specifically. The most likely explanation is that AAPL rose substantially during the out-of-sample test period (63.1% buy-and-hold, Table 1), so most long-biased trading rules captured some of this broad upward trend regardless of genuine predictive skill, a market-exposure effect rather than a stock-picking edge. MSFT's buy-and-hold return over the identical period was -7.0%; there was no comparable upward trend available to capture, consistent with the same configuration performing far worse there.</w:t>
      </w:r>
    </w:p>
    <w:p>
      <w:pPr>
        <w:spacing w:after="200" w:line="276"/>
        <w:jc w:val="both"/>
      </w:pPr>
      <w:r>
        <w:rPr>
          <w:sz w:val="22"/>
          <w:szCs w:val="22"/>
        </w:rPr>
        <w:t xml:space="preserve">This refines, rather than overturns, this paper's central finding. The risk in single-asset optimization is not only that a search can identify pure statistical noise, but that it can identify a configuration whose apparent skill is really exposure to one asset's favorable period during the test window, a distinct but equally non-generalizable failure mode. Cross-asset validation (Experiment 2) protects against both.</w:t>
      </w:r>
    </w:p>
    <w:p>
      <w:pPr>
        <w:pStyle w:val="Heading2"/>
        <w:spacing w:after="160" w:before="280"/>
      </w:pPr>
      <w:r>
        <w:rPr>
          <w:b/>
          <w:bCs/>
          <w:sz w:val="24"/>
          <w:szCs w:val="24"/>
        </w:rPr>
        <w:t xml:space="preserve">7.2 Limitations of This Extension</w:t>
      </w:r>
    </w:p>
    <w:p>
      <w:pPr>
        <w:spacing w:after="200" w:line="276"/>
        <w:jc w:val="both"/>
      </w:pPr>
      <w:r>
        <w:rPr>
          <w:sz w:val="22"/>
          <w:szCs w:val="22"/>
        </w:rPr>
        <w:t xml:space="preserve">The full Deflated Sharpe Ratio framework additionally adjusts for the skewness and kurtosis of the winning strategy's own daily return distribution (the Probabilistic Sharpe Ratio component), which requires the underlying return series rather than the summary Sharpe ratios retained from Experiment 1. This adjustment was not computed here and is a natural extension for future work.</w:t>
      </w:r>
    </w:p>
    <w:p>
      <w:pPr>
        <w:pStyle w:val="Heading1"/>
        <w:spacing w:after="200" w:before="360"/>
      </w:pPr>
      <w:r>
        <w:rPr>
          <w:b/>
          <w:bCs/>
          <w:sz w:val="28"/>
          <w:szCs w:val="28"/>
        </w:rPr>
        <w:t xml:space="preserve">8. Deployment and Practical Engineering Considerations</w:t>
      </w:r>
    </w:p>
    <w:p>
      <w:pPr>
        <w:spacing w:after="200" w:line="276"/>
        <w:jc w:val="both"/>
      </w:pPr>
      <w:r>
        <w:rPr>
          <w:sz w:val="22"/>
          <w:szCs w:val="22"/>
        </w:rPr>
        <w:t xml:space="preserve">The validated pooled configuration (Gradient Boosting, 5-day horizon, ±2% threshold labels) was deployed as an automated system connected to a brokerage paper-trading account (Alpaca Markets), running on a daily schedule via an OS-level task scheduler. Three real-money risk controls were implemented independent of the model's own signal: a stop-loss closing any position that falls 5% below its entry price; a take-profit closing any position that rises 10% above its entry price; and a daily loss limit halting new position entries if the account's total value falls 3% within a single day.</w:t>
      </w:r>
    </w:p>
    <w:p>
      <w:pPr>
        <w:spacing w:after="200" w:line="276"/>
        <w:jc w:val="both"/>
      </w:pPr>
      <w:r>
        <w:rPr>
          <w:sz w:val="22"/>
          <w:szCs w:val="22"/>
        </w:rPr>
        <w:t xml:space="preserve">During deployment, a gap was discovered in which a transient data-fetch failure caused the system to silently log nothing for an entire trading day, rather than recording the failure. This was corrected by explicitly logging fetch failures and wrapping the main execution path in exception handling that records any crash before it propagates. This is reported because it reflects a general principle in deploying automated systems: a system that fails silently is more dangerous than one that fails loudly, since the former can run in a broken state indefinitely without detection.</w:t>
      </w:r>
    </w:p>
    <w:p>
      <w:pPr>
        <w:pStyle w:val="Heading1"/>
        <w:spacing w:after="200" w:before="360"/>
      </w:pPr>
      <w:r>
        <w:rPr>
          <w:b/>
          <w:bCs/>
          <w:sz w:val="28"/>
          <w:szCs w:val="28"/>
        </w:rPr>
        <w:t xml:space="preserve">9. Discussion</w:t>
      </w:r>
    </w:p>
    <w:p>
      <w:pPr>
        <w:spacing w:after="200" w:line="276"/>
        <w:jc w:val="both"/>
      </w:pPr>
      <w:r>
        <w:rPr>
          <w:sz w:val="22"/>
          <w:szCs w:val="22"/>
        </w:rPr>
        <w:t xml:space="preserve">The results of this project support a specific, somewhat counterintuitive claim: for a system of this scale, validation methodology was a larger determinant of result credibility than model choice, feature engineering, or labeling scheme. The single largest change in reported confidence in this paper, the gap between a Sharpe ratio of 2.82 and one of -0.62, came entirely from testing the same model on a second asset, not from any change to the model itself. Section 7 shows this gap is even more specifically attributable to trend exposure during the search window than to noise alone, a more precise diagnosis than “overfitting” by itself would suggest.</w:t>
      </w:r>
    </w:p>
    <w:p>
      <w:pPr>
        <w:spacing w:after="200" w:line="276"/>
        <w:jc w:val="both"/>
      </w:pPr>
      <w:r>
        <w:rPr>
          <w:sz w:val="22"/>
          <w:szCs w:val="22"/>
        </w:rPr>
        <w:t xml:space="preserve">This has a practical implication for any similar project: a positive backtest result on a single asset should be treated as a hypothesis, not a finding, until it has been tested on data or assets it was not selected using.</w:t>
      </w:r>
    </w:p>
    <w:p>
      <w:pPr>
        <w:spacing w:after="200" w:line="276"/>
        <w:jc w:val="both"/>
      </w:pPr>
      <w:r>
        <w:rPr>
          <w:sz w:val="22"/>
          <w:szCs w:val="22"/>
        </w:rPr>
        <w:t xml:space="preserve">It is also worth noting what this project does not claim. The pooled model's 46.2% accuracy and 0.85 average Sharpe ratio, while directionally credible, were not statistically distinguishable from a trivial baseline given the available sample size (Section 5.1); a Sharpe ratio of 0.85 is modest by professional standards, and the model failed to beat a simple buy-and-hold benchmark on nearly half of the tested stocks. This paper's contribution is methodological rather than a claim of a profitable trading strategy.</w:t>
      </w:r>
    </w:p>
    <w:p>
      <w:pPr>
        <w:spacing w:after="200" w:line="276"/>
        <w:jc w:val="both"/>
      </w:pPr>
      <w:r>
        <w:rPr>
          <w:sz w:val="22"/>
          <w:szCs w:val="22"/>
        </w:rPr>
        <w:t xml:space="preserve">One additional, non-technical design constraint shaped this project: the stock basket used in Experiments 2 and 3 deliberately excluded conventional financial-services companies (e.g., commercial banks), reflecting Islamic finance screening principles relevant to the author's own use of the system, which generally exclude interest-based financial institutions. This is noted for completeness, as it affects which companies the reported results generalize to, though it is not expected to materially affect the paper's methodological conclusions.</w:t>
      </w:r>
    </w:p>
    <w:p>
      <w:pPr>
        <w:pStyle w:val="Heading1"/>
        <w:spacing w:after="200" w:before="360"/>
      </w:pPr>
      <w:r>
        <w:rPr>
          <w:b/>
          <w:bCs/>
          <w:sz w:val="28"/>
          <w:szCs w:val="28"/>
        </w:rPr>
        <w:t xml:space="preserve">10. Limitations</w:t>
      </w:r>
    </w:p>
    <w:p>
      <w:pPr>
        <w:spacing w:after="200" w:line="276"/>
        <w:jc w:val="both"/>
      </w:pPr>
      <w:r>
        <w:rPr>
          <w:sz w:val="22"/>
          <w:szCs w:val="22"/>
        </w:rPr>
        <w:t xml:space="preserve">Basket size and statistical power: Fifteen stocks is a small sample for the cross-asset claims in Section 5, and Section 5.1 shows this limitation directly: neither the accuracy nor the beat-rate advantage reaches statistical significance at this sample size. Expanding the basket to substantially more stocks (on the order of 50–100) is the clearest way to obtain results that could support a statistically confident claim, and is identified as the priority extension of this work.</w:t>
      </w:r>
    </w:p>
    <w:p>
      <w:pPr>
        <w:spacing w:after="200" w:line="276"/>
        <w:jc w:val="both"/>
      </w:pPr>
      <w:r>
        <w:rPr>
          <w:sz w:val="22"/>
          <w:szCs w:val="22"/>
        </w:rPr>
        <w:t xml:space="preserve">Limited forward validation: The deployed paper-trading system (Section 8) provides genuine forward validation using data the model could not have been fit to by construction, which is a stronger test than any backtest. However, it had been running for only a short period at the time of this paper and is not yet reported here in a form long enough to be conclusive.</w:t>
      </w:r>
    </w:p>
    <w:p>
      <w:pPr>
        <w:spacing w:after="200" w:line="276"/>
        <w:jc w:val="both"/>
      </w:pPr>
      <w:r>
        <w:rPr>
          <w:sz w:val="22"/>
          <w:szCs w:val="22"/>
        </w:rPr>
        <w:t xml:space="preserve">Market regime coverage: The evaluation period, while spanning approximately five years, covers a specific and historically unusual market environment; results may not generalize to substantially different regimes, such as a sustained bear market, which was not represented in the available data.</w:t>
      </w:r>
    </w:p>
    <w:p>
      <w:pPr>
        <w:spacing w:after="200" w:line="276"/>
        <w:jc w:val="both"/>
      </w:pPr>
      <w:r>
        <w:rPr>
          <w:sz w:val="22"/>
          <w:szCs w:val="22"/>
        </w:rPr>
        <w:t xml:space="preserve">Transaction cost modeling: Backtests included a fixed 0.1% transaction cost per trade but did not model bid-ask spread, slippage on larger orders, or market impact, all of which would reduce real-world returns relative to the backtested figures reported here.</w:t>
      </w:r>
    </w:p>
    <w:p>
      <w:pPr>
        <w:spacing w:after="200" w:line="276"/>
        <w:jc w:val="both"/>
      </w:pPr>
      <w:r>
        <w:rPr>
          <w:sz w:val="22"/>
          <w:szCs w:val="22"/>
        </w:rPr>
        <w:t xml:space="preserve">Daily-resolution data: Because only daily open/high/low/close data was available, the triple-barrier method could not determine which barrier was touched first when both were crossed within the same trading day; a conservative assumption (stop-loss first) was used in that case, which may understate that method's true performance.</w:t>
      </w:r>
    </w:p>
    <w:p>
      <w:pPr>
        <w:spacing w:after="200" w:line="276"/>
        <w:jc w:val="both"/>
      </w:pPr>
      <w:r>
        <w:rPr>
          <w:sz w:val="22"/>
          <w:szCs w:val="22"/>
        </w:rPr>
        <w:t xml:space="preserve">Feature novelty: This system deliberately used well-established technical indicators (Section 3.2) rather than proprietary or novel features. This was an intentional scope decision: the paper's contribution is the validation methodology, not new predictive features.</w:t>
      </w:r>
    </w:p>
    <w:p>
      <w:pPr>
        <w:spacing w:after="200" w:line="276"/>
        <w:jc w:val="both"/>
      </w:pPr>
      <w:r>
        <w:rPr>
          <w:sz w:val="22"/>
          <w:szCs w:val="22"/>
        </w:rPr>
        <w:t xml:space="preserve">Full Deflated Sharpe Ratio adjustment: as noted in Section 7.2, the skewness/kurtosis-adjusted component of the Deflated Sharpe Ratio framework was not computed, since it requires the underlying daily return series rather than summary statistics.</w:t>
      </w:r>
    </w:p>
    <w:p>
      <w:pPr>
        <w:spacing w:after="200" w:line="276"/>
        <w:jc w:val="both"/>
      </w:pPr>
      <w:r>
        <w:rPr>
          <w:sz w:val="22"/>
          <w:szCs w:val="22"/>
        </w:rPr>
        <w:t xml:space="preserve">Implementation and authorship: The system's code was implemented with the assistance of an AI coding assistant (Claude, Anthropic), under the direction of the author, who was responsible for the experimental design, the decision to test cross-asset generalization after Experiment 1, the decision to test and subsequently reject the triple-barrier method, the decision to add the significance tests in Section 5.1 and the Deflated Sharpe Ratio analysis in Section 7 following outside review, and the interpretation of all results presented in this paper. This distinction, between directing and interpreting an experiment versus writing every line of its implementation, is stated plainly here rather than left ambiguous.</w:t>
      </w:r>
    </w:p>
    <w:p>
      <w:pPr>
        <w:pStyle w:val="Heading1"/>
        <w:spacing w:after="200" w:before="360"/>
      </w:pPr>
      <w:r>
        <w:rPr>
          <w:b/>
          <w:bCs/>
          <w:sz w:val="28"/>
          <w:szCs w:val="28"/>
        </w:rPr>
        <w:t xml:space="preserve">11. Conclusion</w:t>
      </w:r>
    </w:p>
    <w:p>
      <w:pPr>
        <w:spacing w:after="200" w:line="276"/>
        <w:jc w:val="both"/>
      </w:pPr>
      <w:r>
        <w:rPr>
          <w:sz w:val="22"/>
          <w:szCs w:val="22"/>
        </w:rPr>
        <w:t xml:space="preserve">This paper documented the development of a machine learning trading signal system through several experiments and a formal statistical extension, most of which produced results that complicated or contradicted the initial hypothesis. A hyperparameter configuration that appeared strong on a single stock failed completely on a second stock, and a formal Deflated Sharpe Ratio analysis showed this failure was better explained by exposure to one asset's favorable trend than by search noise alone, a more precise diagnosis than the qualitative finding by itself. A cross-asset validation framework built in response produced more modest but substantially more credible results. A subsequent hypothesis, that a more realistic labeling method would improve performance, was tested with the same framework and rejected. Together, these results support the conclusion that in applied financial machine learning, rigorous validation methodology, particularly cross-asset generalization testing, is a more important safeguard against misleading results than model sophistication, and that raw accuracy is an unreliable metric when class outcomes are imbalanced or degenerate.</w:t>
      </w:r>
    </w:p>
    <w:p>
      <w:pPr>
        <w:pStyle w:val="Heading1"/>
        <w:spacing w:after="200" w:before="360"/>
      </w:pPr>
      <w:r>
        <w:rPr>
          <w:b/>
          <w:bCs/>
          <w:sz w:val="28"/>
          <w:szCs w:val="28"/>
        </w:rPr>
        <w:t xml:space="preserve">References</w:t>
      </w:r>
    </w:p>
    <w:p>
      <w:pPr>
        <w:spacing w:after="160"/>
        <w:ind w:left="360" w:hanging="360"/>
      </w:pPr>
      <w:r>
        <w:rPr>
          <w:sz w:val="22"/>
          <w:szCs w:val="22"/>
        </w:rPr>
        <w:t xml:space="preserve">Bailey, D. H., &amp; Lopez de Prado, M. (2014). The Deflated Sharpe Ratio: Correcting for Selection Bias, Backtest Overfitting, and Non-Normality. The Journal of Portfolio Management, 40(5), 94–107.</w:t>
      </w:r>
    </w:p>
    <w:p>
      <w:pPr>
        <w:spacing w:after="160"/>
        <w:ind w:left="360" w:hanging="360"/>
      </w:pPr>
      <w:r>
        <w:rPr>
          <w:sz w:val="22"/>
          <w:szCs w:val="22"/>
        </w:rPr>
        <w:t xml:space="preserve">Fama, E. F. (1970). Efficient Capital Markets: A Review of Theory and Empirical Work. The Journal of Finance, 25(2), 383–417.</w:t>
      </w:r>
    </w:p>
    <w:p>
      <w:pPr>
        <w:spacing w:after="160"/>
        <w:ind w:left="360" w:hanging="360"/>
      </w:pPr>
      <w:r>
        <w:rPr>
          <w:sz w:val="22"/>
          <w:szCs w:val="22"/>
        </w:rPr>
        <w:t xml:space="preserve">Lopez de Prado, M. (2018). Advances in Financial Machine Learning. Wiley.</w:t>
      </w:r>
    </w:p>
    <w:p>
      <w:pPr>
        <w:spacing w:after="160"/>
        <w:ind w:left="360" w:hanging="360"/>
      </w:pPr>
      <w:r>
        <w:rPr>
          <w:sz w:val="22"/>
          <w:szCs w:val="22"/>
        </w:rPr>
        <w:t xml:space="preserve">Pedregosa, F., et al. (2011). Scikit-learn: Machine Learning in Python. Journal of Machine Learning Research, 12, 2825–2830.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2026-09-26T20:11:43.415Z</dcterms:created>
  <dcterms:modified xsi:type="dcterms:W3CDTF">2026-09-26T20:11:43.424Z</dcterms:modified>
</cp:coreProperties>
</file>

<file path=docProps/custom.xml><?xml version="1.0" encoding="utf-8"?>
<Properties xmlns="http://schemas.openxmlformats.org/officeDocument/2006/custom-properties" xmlns:vt="http://schemas.openxmlformats.org/officeDocument/2006/docPropsVTypes"/>
</file>