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162235" w:val="clear"/>
            <w:vAlign w:val="top"/>
          </w:tcPr>
          <w:p>
            <w:pPr>
              <w:spacing w:before="4216"/>
            </w:pPr>
          </w:p>
          <w:p>
            <w:pPr>
              <w:pBdr>
                <w:bottom w:val="single" w:color="37DCF2" w:sz="6" w:space="8"/>
              </w:pBdr>
              <w:spacing w:after="500"/>
              <w:ind w:left="1200" w:right="800"/>
            </w:pPr>
            <w:r>
              <w:rPr>
                <w:rFonts w:ascii="Arial" w:eastAsia="SimHei" w:hAnsi="Arial"/>
                <w:color w:val="37DCF2"/>
                <w:spacing w:val="40"/>
                <w:sz w:val="18"/>
                <w:szCs w:val="18"/>
              </w:rPr>
              <w:t xml:space="preserve">B  U  N  N  Y     L  I  B  R  A  R  Y     S  T  A  T  U  S     R  E  P  O  R  T</w:t>
            </w:r>
          </w:p>
          <w:p>
            <w:pPr>
              <w:spacing w:after="100" w:line="782" w:lineRule="atLeast"/>
              <w:ind w:left="1200"/>
            </w:pPr>
            <w:r>
              <w:rPr>
                <w:rFonts w:ascii="Arial" w:eastAsia="SimHei" w:hAnsi="Arial"/>
                <w:b/>
                <w:bCs/>
                <w:color w:val="FFFFFF"/>
                <w:sz w:val="68"/>
                <w:szCs w:val="68"/>
              </w:rPr>
              <w:t xml:space="preserve">Deployment Readiness &amp;</w:t>
            </w:r>
          </w:p>
          <w:p>
            <w:pPr>
              <w:spacing w:after="300" w:line="782" w:lineRule="atLeast"/>
              <w:ind w:left="1200"/>
            </w:pPr>
            <w:r>
              <w:rPr>
                <w:rFonts w:ascii="Arial" w:eastAsia="SimHei" w:hAnsi="Arial"/>
                <w:b/>
                <w:bCs/>
                <w:color w:val="FFFFFF"/>
                <w:sz w:val="68"/>
                <w:szCs w:val="68"/>
              </w:rPr>
              <w:t xml:space="preserve">Go-Live Plan</w:t>
            </w:r>
          </w:p>
          <w:p>
            <w:pPr>
              <w:spacing w:after="800" w:line="320" w:lineRule="atLeast"/>
              <w:ind w:left="1200" w:right="800"/>
            </w:pPr>
            <w:r>
              <w:rPr>
                <w:rFonts w:ascii="Arial" w:eastAsia="Microsoft YaHei" w:hAnsi="Arial"/>
                <w:color w:val="B0B8C0"/>
                <w:sz w:val="24"/>
                <w:szCs w:val="24"/>
              </w:rPr>
              <w:t xml:space="preserve">MVP status, Community and Translation Team assessment — where the platform stands and what comes next</w:t>
            </w:r>
          </w:p>
          <w:p>
            <w:pPr>
              <w:pBdr>
                <w:left w:val="single" w:color="37DCF2" w:sz="8" w:space="12"/>
              </w:pBdr>
              <w:spacing w:after="80"/>
              <w:ind w:left="1400"/>
            </w:pPr>
            <w:r>
              <w:rPr>
                <w:rFonts w:ascii="Arial" w:eastAsia="Microsoft YaHei" w:hAnsi="Arial"/>
                <w:color w:val="90989F"/>
                <w:sz w:val="24"/>
                <w:szCs w:val="24"/>
              </w:rPr>
              <w:t xml:space="preserve">Project: Bunny Library — Arabic-first reading platform (مكتبة باني)</w:t>
            </w:r>
          </w:p>
          <w:p>
            <w:pPr>
              <w:pBdr>
                <w:left w:val="single" w:color="37DCF2" w:sz="8" w:space="12"/>
              </w:pBdr>
              <w:spacing w:after="80"/>
              <w:ind w:left="1400"/>
            </w:pPr>
            <w:r>
              <w:rPr>
                <w:rFonts w:ascii="Arial" w:eastAsia="Microsoft YaHei" w:hAnsi="Arial"/>
                <w:color w:val="90989F"/>
                <w:sz w:val="24"/>
                <w:szCs w:val="24"/>
              </w:rPr>
              <w:t xml:space="preserve">Baseline: Release E committed on main (0515e16)</w:t>
            </w:r>
          </w:p>
          <w:p>
            <w:pPr>
              <w:pBdr>
                <w:left w:val="single" w:color="37DCF2" w:sz="8" w:space="12"/>
              </w:pBdr>
              <w:spacing w:after="80"/>
              <w:ind w:left="1400"/>
            </w:pPr>
            <w:r>
              <w:rPr>
                <w:rFonts w:ascii="Arial" w:eastAsia="Microsoft YaHei" w:hAnsi="Arial"/>
                <w:color w:val="90989F"/>
                <w:sz w:val="24"/>
                <w:szCs w:val="24"/>
              </w:rPr>
              <w:t xml:space="preserve">Evidence: typecheck, lint and production build re-run 28 September 2026</w:t>
            </w:r>
          </w:p>
          <w:p>
            <w:pPr>
              <w:pBdr>
                <w:left w:val="single" w:color="37DCF2" w:sz="8" w:space="12"/>
              </w:pBdr>
              <w:spacing w:after="80"/>
              <w:ind w:left="1400"/>
            </w:pPr>
            <w:r>
              <w:rPr>
                <w:rFonts w:ascii="Arial" w:eastAsia="Microsoft YaHei" w:hAnsi="Arial"/>
                <w:color w:val="90989F"/>
                <w:sz w:val="24"/>
                <w:szCs w:val="24"/>
              </w:rPr>
              <w:t xml:space="preserve">Audience: Founder — go-live decision and continuation plan</w:t>
            </w:r>
          </w:p>
          <w:p>
            <w:pPr>
              <w:spacing w:before="4216"/>
            </w:pPr>
          </w:p>
          <w:p>
            <w:pPr>
              <w:pBdr>
                <w:top w:val="single" w:color="37DCF2" w:sz="2" w:space="8"/>
              </w:pBdr>
              <w:spacing w:before="200"/>
              <w:ind w:left="1200" w:right="800"/>
            </w:pPr>
            <w:r>
              <w:rPr>
                <w:rFonts w:ascii="Arial" w:hAnsi="Arial"/>
                <w:color w:val="687078"/>
                <w:sz w:val="16"/>
                <w:szCs w:val="16"/>
              </w:rPr>
              <w:t xml:space="preserve">Bunny Library · مكتبة باني</w:t>
            </w:r>
            <w:r>
              <w:rPr>
                <w:rFonts w:ascii="Arial" w:hAnsi="Arial"/>
                <w:sz w:val="16"/>
                <w:szCs w:val="16"/>
              </w:rPr>
              <w:t xml:space="preserve">                                        </w:t>
            </w:r>
            <w:r>
              <w:rPr>
                <w:rFonts w:ascii="Arial" w:hAnsi="Arial"/>
                <w:color w:val="687078"/>
                <w:sz w:val="16"/>
                <w:szCs w:val="16"/>
              </w:rPr>
              <w:t xml:space="preserve">Internal working document</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eastAsia="SimHei" w:hAnsi="Times New Roman"/>
          <w:b/>
          <w:bCs/>
          <w:color w:val="0A1628"/>
          <w:sz w:val="32"/>
          <w:szCs w:val="32"/>
        </w:rPr>
        <w:t xml:space="preserve">Table of Contents</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Project Status Snapshot and Verification Evidence</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Release history</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Fresh verification results (28 September 2026)</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2.3 Seeded content inventory</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2.4 Where the records live</w:t>
            </w:r>
            <w:r>
              <w:tab/>
            </w:r>
            <w:r>
              <w:fldChar w:fldCharType="begin"/>
            </w:r>
            <w:r>
              <w:instrText xml:space="preserve"> PAGEREF _Toc100005 \h </w:instrText>
            </w:r>
            <w:r>
              <w:fldChar w:fldCharType="separate"/>
            </w:r>
            <w:r>
              <w:t>4</w:t>
            </w:r>
            <w:r>
              <w:fldChar w:fldCharType="end"/>
            </w:r>
          </w:hyperlink>
        </w:p>
        <w:p>
          <w:pPr>
            <w:pStyle w:val="9"/>
            <w:tabs>
              <w:tab w:val="right" w:leader="dot" w:pos="9026"/>
            </w:tabs>
            <w:spacing w:before="120" w:after="60"/>
          </w:pPr>
          <w:hyperlink w:anchor="_Toc100006" w:history="1">
            <w:r>
              <w:rPr>
                <w:rStyle w:val="Hyperlink"/>
              </w:rPr>
              <w:t>3. MVP Completeness Assessment</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3.1 What the MVP was defined to include</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3.2 Beyond the MVP</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3.3 Explicitly deferred — absent on purpose, not missing</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3.4 Production hardening still outstanding</w:t>
            </w:r>
            <w:r>
              <w:tab/>
            </w:r>
            <w:r>
              <w:fldChar w:fldCharType="begin"/>
            </w:r>
            <w:r>
              <w:instrText xml:space="preserve"> PAGEREF _Toc100010 \h </w:instrText>
            </w:r>
            <w:r>
              <w:fldChar w:fldCharType="separate"/>
            </w:r>
            <w:r>
              <w:t>6</w:t>
            </w:r>
            <w:r>
              <w:fldChar w:fldCharType="end"/>
            </w:r>
          </w:hyperlink>
        </w:p>
        <w:p>
          <w:pPr>
            <w:pStyle w:val="9"/>
            <w:tabs>
              <w:tab w:val="right" w:leader="dot" w:pos="9026"/>
            </w:tabs>
            <w:spacing w:before="120" w:after="60"/>
          </w:pPr>
          <w:hyperlink w:anchor="_Toc100011" w:history="1">
            <w:r>
              <w:rPr>
                <w:rStyle w:val="Hyperlink"/>
              </w:rPr>
              <w:t>4. Community Features — Built or Not?</w:t>
            </w:r>
            <w:r>
              <w:tab/>
            </w:r>
            <w:r>
              <w:fldChar w:fldCharType="begin"/>
            </w:r>
            <w:r>
              <w:instrText xml:space="preserve"> PAGEREF _Toc100011 \h </w:instrText>
            </w:r>
            <w:r>
              <w:fldChar w:fldCharType="separate"/>
            </w:r>
            <w:r>
              <w:t>6</w:t>
            </w:r>
            <w:r>
              <w:fldChar w:fldCharType="end"/>
            </w:r>
          </w:hyperlink>
        </w:p>
        <w:p>
          <w:pPr>
            <w:pStyle w:val="9"/>
            <w:tabs>
              <w:tab w:val="right" w:leader="dot" w:pos="9026"/>
            </w:tabs>
            <w:spacing w:before="120" w:after="60"/>
          </w:pPr>
          <w:hyperlink w:anchor="_Toc100012" w:history="1">
            <w:r>
              <w:rPr>
                <w:rStyle w:val="Hyperlink"/>
              </w:rPr>
              <w:t>5. Translation Team — Built or Not?</w:t>
            </w:r>
            <w:r>
              <w:tab/>
            </w:r>
            <w:r>
              <w:fldChar w:fldCharType="begin"/>
            </w:r>
            <w:r>
              <w:instrText xml:space="preserve"> PAGEREF _Toc100012 \h </w:instrText>
            </w:r>
            <w:r>
              <w:fldChar w:fldCharType="separate"/>
            </w:r>
            <w:r>
              <w:t>7</w:t>
            </w:r>
            <w:r>
              <w:fldChar w:fldCharType="end"/>
            </w:r>
          </w:hyperlink>
        </w:p>
        <w:p>
          <w:pPr>
            <w:pStyle w:val="11"/>
            <w:ind w:left="360"/>
            <w:tabs>
              <w:tab w:val="right" w:leader="dot" w:pos="9026"/>
            </w:tabs>
            <w:spacing w:before="120" w:after="60"/>
          </w:pPr>
          <w:hyperlink w:anchor="_Toc100013" w:history="1">
            <w:r>
              <w:rPr>
                <w:rStyle w:val="Hyperlink"/>
              </w:rPr>
              <w:t>5.1 Current state</w:t>
            </w:r>
            <w:r>
              <w:tab/>
            </w:r>
            <w:r>
              <w:fldChar w:fldCharType="begin"/>
            </w:r>
            <w:r>
              <w:instrText xml:space="preserve"> PAGEREF _Toc100013 \h </w:instrText>
            </w:r>
            <w:r>
              <w:fldChar w:fldCharType="separate"/>
            </w:r>
            <w:r>
              <w:t>7</w:t>
            </w:r>
            <w:r>
              <w:fldChar w:fldCharType="end"/>
            </w:r>
          </w:hyperlink>
        </w:p>
        <w:p>
          <w:pPr>
            <w:pStyle w:val="11"/>
            <w:ind w:left="360"/>
            <w:tabs>
              <w:tab w:val="right" w:leader="dot" w:pos="9026"/>
            </w:tabs>
            <w:spacing w:before="120" w:after="60"/>
          </w:pPr>
          <w:hyperlink w:anchor="_Toc100014" w:history="1">
            <w:r>
              <w:rPr>
                <w:rStyle w:val="Hyperlink"/>
              </w:rPr>
              <w:t>5.2 Foundations already in place</w:t>
            </w:r>
            <w:r>
              <w:tab/>
            </w:r>
            <w:r>
              <w:fldChar w:fldCharType="begin"/>
            </w:r>
            <w:r>
              <w:instrText xml:space="preserve"> PAGEREF _Toc100014 \h </w:instrText>
            </w:r>
            <w:r>
              <w:fldChar w:fldCharType="separate"/>
            </w:r>
            <w:r>
              <w:t>7</w:t>
            </w:r>
            <w:r>
              <w:fldChar w:fldCharType="end"/>
            </w:r>
          </w:hyperlink>
        </w:p>
        <w:p>
          <w:pPr>
            <w:pStyle w:val="11"/>
            <w:ind w:left="360"/>
            <w:tabs>
              <w:tab w:val="right" w:leader="dot" w:pos="9026"/>
            </w:tabs>
            <w:spacing w:before="120" w:after="60"/>
          </w:pPr>
          <w:hyperlink w:anchor="_Toc100015" w:history="1">
            <w:r>
              <w:rPr>
                <w:rStyle w:val="Hyperlink"/>
              </w:rPr>
              <w:t>5.3 The legal boundary</w:t>
            </w:r>
            <w:r>
              <w:tab/>
            </w:r>
            <w:r>
              <w:fldChar w:fldCharType="begin"/>
            </w:r>
            <w:r>
              <w:instrText xml:space="preserve"> PAGEREF _Toc100015 \h </w:instrText>
            </w:r>
            <w:r>
              <w:fldChar w:fldCharType="separate"/>
            </w:r>
            <w:r>
              <w:t>7</w:t>
            </w:r>
            <w:r>
              <w:fldChar w:fldCharType="end"/>
            </w:r>
          </w:hyperlink>
        </w:p>
        <w:p>
          <w:pPr>
            <w:pStyle w:val="11"/>
            <w:ind w:left="360"/>
            <w:tabs>
              <w:tab w:val="right" w:leader="dot" w:pos="9026"/>
            </w:tabs>
            <w:spacing w:before="120" w:after="60"/>
          </w:pPr>
          <w:hyperlink w:anchor="_Toc100016" w:history="1">
            <w:r>
              <w:rPr>
                <w:rStyle w:val="Hyperlink"/>
              </w:rPr>
              <w:t>5.4 Proposed design — Release G, Translation Team lite</w:t>
            </w:r>
            <w:r>
              <w:tab/>
            </w:r>
            <w:r>
              <w:fldChar w:fldCharType="begin"/>
            </w:r>
            <w:r>
              <w:instrText xml:space="preserve"> PAGEREF _Toc100016 \h </w:instrText>
            </w:r>
            <w:r>
              <w:fldChar w:fldCharType="separate"/>
            </w:r>
            <w:r>
              <w:t>8</w:t>
            </w:r>
            <w:r>
              <w:fldChar w:fldCharType="end"/>
            </w:r>
          </w:hyperlink>
        </w:p>
        <w:p>
          <w:pPr>
            <w:pStyle w:val="9"/>
            <w:tabs>
              <w:tab w:val="right" w:leader="dot" w:pos="9026"/>
            </w:tabs>
            <w:spacing w:before="120" w:after="60"/>
          </w:pPr>
          <w:hyperlink w:anchor="_Toc100017" w:history="1">
            <w:r>
              <w:rPr>
                <w:rStyle w:val="Hyperlink"/>
              </w:rPr>
              <w:t>6. Deployment Readiness Audit</w:t>
            </w:r>
            <w:r>
              <w:tab/>
            </w:r>
            <w:r>
              <w:fldChar w:fldCharType="begin"/>
            </w:r>
            <w:r>
              <w:instrText xml:space="preserve"> PAGEREF _Toc100017 \h </w:instrText>
            </w:r>
            <w:r>
              <w:fldChar w:fldCharType="separate"/>
            </w:r>
            <w:r>
              <w:t>8</w:t>
            </w:r>
            <w:r>
              <w:fldChar w:fldCharType="end"/>
            </w:r>
          </w:hyperlink>
        </w:p>
        <w:p>
          <w:pPr>
            <w:pStyle w:val="11"/>
            <w:ind w:left="360"/>
            <w:tabs>
              <w:tab w:val="right" w:leader="dot" w:pos="9026"/>
            </w:tabs>
            <w:spacing w:before="120" w:after="60"/>
          </w:pPr>
          <w:hyperlink w:anchor="_Toc100018" w:history="1">
            <w:r>
              <w:rPr>
                <w:rStyle w:val="Hyperlink"/>
              </w:rPr>
              <w:t>6.1 What is already green</w:t>
            </w:r>
            <w:r>
              <w:tab/>
            </w:r>
            <w:r>
              <w:fldChar w:fldCharType="begin"/>
            </w:r>
            <w:r>
              <w:instrText xml:space="preserve"> PAGEREF _Toc100018 \h </w:instrText>
            </w:r>
            <w:r>
              <w:fldChar w:fldCharType="separate"/>
            </w:r>
            <w:r>
              <w:t>9</w:t>
            </w:r>
            <w:r>
              <w:fldChar w:fldCharType="end"/>
            </w:r>
          </w:hyperlink>
        </w:p>
        <w:p>
          <w:pPr>
            <w:pStyle w:val="11"/>
            <w:ind w:left="360"/>
            <w:tabs>
              <w:tab w:val="right" w:leader="dot" w:pos="9026"/>
            </w:tabs>
            <w:spacing w:before="120" w:after="60"/>
          </w:pPr>
          <w:hyperlink w:anchor="_Toc100019" w:history="1">
            <w:r>
              <w:rPr>
                <w:rStyle w:val="Hyperlink"/>
              </w:rPr>
              <w:t>6.2 Blockers and pending items</w:t>
            </w:r>
            <w:r>
              <w:tab/>
            </w:r>
            <w:r>
              <w:fldChar w:fldCharType="begin"/>
            </w:r>
            <w:r>
              <w:instrText xml:space="preserve"> PAGEREF _Toc100019 \h </w:instrText>
            </w:r>
            <w:r>
              <w:fldChar w:fldCharType="separate"/>
            </w:r>
            <w:r>
              <w:t>9</w:t>
            </w:r>
            <w:r>
              <w:fldChar w:fldCharType="end"/>
            </w:r>
          </w:hyperlink>
        </w:p>
        <w:p>
          <w:pPr>
            <w:pStyle w:val="11"/>
            <w:ind w:left="360"/>
            <w:tabs>
              <w:tab w:val="right" w:leader="dot" w:pos="9026"/>
            </w:tabs>
            <w:spacing w:before="120" w:after="60"/>
          </w:pPr>
          <w:hyperlink w:anchor="_Toc100020" w:history="1">
            <w:r>
              <w:rPr>
                <w:rStyle w:val="Hyperlink"/>
              </w:rPr>
              <w:t>6.3 Go-live runbook (condensed)</w:t>
            </w:r>
            <w:r>
              <w:tab/>
            </w:r>
            <w:r>
              <w:fldChar w:fldCharType="begin"/>
            </w:r>
            <w:r>
              <w:instrText xml:space="preserve"> PAGEREF _Toc100020 \h </w:instrText>
            </w:r>
            <w:r>
              <w:fldChar w:fldCharType="separate"/>
            </w:r>
            <w:r>
              <w:t>9</w:t>
            </w:r>
            <w:r>
              <w:fldChar w:fldCharType="end"/>
            </w:r>
          </w:hyperlink>
        </w:p>
        <w:p>
          <w:pPr>
            <w:pStyle w:val="11"/>
            <w:ind w:left="360"/>
            <w:tabs>
              <w:tab w:val="right" w:leader="dot" w:pos="9026"/>
            </w:tabs>
            <w:spacing w:before="120" w:after="60"/>
          </w:pPr>
          <w:hyperlink w:anchor="_Toc100021" w:history="1">
            <w:r>
              <w:rPr>
                <w:rStyle w:val="Hyperlink"/>
              </w:rPr>
              <w:t>6.4 Post-deployment verification chain</w:t>
            </w:r>
            <w:r>
              <w:tab/>
            </w:r>
            <w:r>
              <w:fldChar w:fldCharType="begin"/>
            </w:r>
            <w:r>
              <w:instrText xml:space="preserve"> PAGEREF _Toc100021 \h </w:instrText>
            </w:r>
            <w:r>
              <w:fldChar w:fldCharType="separate"/>
            </w:r>
            <w:r>
              <w:t>10</w:t>
            </w:r>
            <w:r>
              <w:fldChar w:fldCharType="end"/>
            </w:r>
          </w:hyperlink>
        </w:p>
        <w:p>
          <w:pPr>
            <w:pStyle w:val="9"/>
            <w:tabs>
              <w:tab w:val="right" w:leader="dot" w:pos="9026"/>
            </w:tabs>
            <w:spacing w:before="120" w:after="60"/>
          </w:pPr>
          <w:hyperlink w:anchor="_Toc100022" w:history="1">
            <w:r>
              <w:rPr>
                <w:rStyle w:val="Hyperlink"/>
              </w:rPr>
              <w:t>7. Continuation Plan — Phases 0 to 3</w:t>
            </w:r>
            <w:r>
              <w:tab/>
            </w:r>
            <w:r>
              <w:fldChar w:fldCharType="begin"/>
            </w:r>
            <w:r>
              <w:instrText xml:space="preserve"> PAGEREF _Toc100022 \h </w:instrText>
            </w:r>
            <w:r>
              <w:fldChar w:fldCharType="separate"/>
            </w:r>
            <w:r>
              <w:t>11</w:t>
            </w:r>
            <w:r>
              <w:fldChar w:fldCharType="end"/>
            </w:r>
          </w:hyperlink>
        </w:p>
        <w:p>
          <w:pPr>
            <w:pStyle w:val="11"/>
            <w:ind w:left="360"/>
            <w:tabs>
              <w:tab w:val="right" w:leader="dot" w:pos="9026"/>
            </w:tabs>
            <w:spacing w:before="120" w:after="60"/>
          </w:pPr>
          <w:hyperlink w:anchor="_Toc100023" w:history="1">
            <w:r>
              <w:rPr>
                <w:rStyle w:val="Hyperlink"/>
              </w:rPr>
              <w:t>7.1 Phase 0 — Go-live unblock</w:t>
            </w:r>
            <w:r>
              <w:tab/>
            </w:r>
            <w:r>
              <w:fldChar w:fldCharType="begin"/>
            </w:r>
            <w:r>
              <w:instrText xml:space="preserve"> PAGEREF _Toc100023 \h </w:instrText>
            </w:r>
            <w:r>
              <w:fldChar w:fldCharType="separate"/>
            </w:r>
            <w:r>
              <w:t>12</w:t>
            </w:r>
            <w:r>
              <w:fldChar w:fldCharType="end"/>
            </w:r>
          </w:hyperlink>
        </w:p>
        <w:p>
          <w:pPr>
            <w:pStyle w:val="11"/>
            <w:ind w:left="360"/>
            <w:tabs>
              <w:tab w:val="right" w:leader="dot" w:pos="9026"/>
            </w:tabs>
            <w:spacing w:before="120" w:after="60"/>
          </w:pPr>
          <w:hyperlink w:anchor="_Toc100024" w:history="1">
            <w:r>
              <w:rPr>
                <w:rStyle w:val="Hyperlink"/>
              </w:rPr>
              <w:t>7.2 Phase 1 — Release F, production hardening (one engineering session)</w:t>
            </w:r>
            <w:r>
              <w:tab/>
            </w:r>
            <w:r>
              <w:fldChar w:fldCharType="begin"/>
            </w:r>
            <w:r>
              <w:instrText xml:space="preserve"> PAGEREF _Toc100024 \h </w:instrText>
            </w:r>
            <w:r>
              <w:fldChar w:fldCharType="separate"/>
            </w:r>
            <w:r>
              <w:t>12</w:t>
            </w:r>
            <w:r>
              <w:fldChar w:fldCharType="end"/>
            </w:r>
          </w:hyperlink>
        </w:p>
        <w:p>
          <w:pPr>
            <w:pStyle w:val="11"/>
            <w:ind w:left="360"/>
            <w:tabs>
              <w:tab w:val="right" w:leader="dot" w:pos="9026"/>
            </w:tabs>
            <w:spacing w:before="120" w:after="60"/>
          </w:pPr>
          <w:hyperlink w:anchor="_Toc100025" w:history="1">
            <w:r>
              <w:rPr>
                <w:rStyle w:val="Hyperlink"/>
              </w:rPr>
              <w:t>7.3 Phase 2 — Release G, Translation Team lite (one engineering session, gated)</w:t>
            </w:r>
            <w:r>
              <w:tab/>
            </w:r>
            <w:r>
              <w:fldChar w:fldCharType="begin"/>
            </w:r>
            <w:r>
              <w:instrText xml:space="preserve"> PAGEREF _Toc100025 \h </w:instrText>
            </w:r>
            <w:r>
              <w:fldChar w:fldCharType="separate"/>
            </w:r>
            <w:r>
              <w:t>12</w:t>
            </w:r>
            <w:r>
              <w:fldChar w:fldCharType="end"/>
            </w:r>
          </w:hyperlink>
        </w:p>
        <w:p>
          <w:pPr>
            <w:pStyle w:val="11"/>
            <w:ind w:left="360"/>
            <w:tabs>
              <w:tab w:val="right" w:leader="dot" w:pos="9026"/>
            </w:tabs>
            <w:spacing w:before="120" w:after="60"/>
          </w:pPr>
          <w:hyperlink w:anchor="_Toc100026" w:history="1">
            <w:r>
              <w:rPr>
                <w:rStyle w:val="Hyperlink"/>
              </w:rPr>
              <w:t>7.4 Phase 3 — Growth backlog (trigger-driven)</w:t>
            </w:r>
            <w:r>
              <w:tab/>
            </w:r>
            <w:r>
              <w:fldChar w:fldCharType="begin"/>
            </w:r>
            <w:r>
              <w:instrText xml:space="preserve"> PAGEREF _Toc100026 \h </w:instrText>
            </w:r>
            <w:r>
              <w:fldChar w:fldCharType="separate"/>
            </w:r>
            <w:r>
              <w:t>13</w:t>
            </w:r>
            <w:r>
              <w:fldChar w:fldCharType="end"/>
            </w:r>
          </w:hyperlink>
        </w:p>
        <w:p>
          <w:pPr>
            <w:pStyle w:val="9"/>
            <w:tabs>
              <w:tab w:val="right" w:leader="dot" w:pos="9026"/>
            </w:tabs>
            <w:spacing w:before="120" w:after="60"/>
          </w:pPr>
          <w:hyperlink w:anchor="_Toc100027" w:history="1">
            <w:r>
              <w:rPr>
                <w:rStyle w:val="Hyperlink"/>
              </w:rPr>
              <w:t>8. Risks, Constraints and Accepted Limitations</w:t>
            </w:r>
            <w:r>
              <w:tab/>
            </w:r>
            <w:r>
              <w:fldChar w:fldCharType="begin"/>
            </w:r>
            <w:r>
              <w:instrText xml:space="preserve"> PAGEREF _Toc100027 \h </w:instrText>
            </w:r>
            <w:r>
              <w:fldChar w:fldCharType="separate"/>
            </w:r>
            <w:r>
              <w:t>13</w:t>
            </w:r>
            <w:r>
              <w:fldChar w:fldCharType="end"/>
            </w:r>
          </w:hyperlink>
        </w:p>
        <w:p>
          <w:pPr>
            <w:pStyle w:val="9"/>
            <w:tabs>
              <w:tab w:val="right" w:leader="dot" w:pos="9026"/>
            </w:tabs>
            <w:spacing w:before="120" w:after="60"/>
          </w:pPr>
          <w:hyperlink w:anchor="_Toc100028" w:history="1">
            <w:r>
              <w:rPr>
                <w:rStyle w:val="Hyperlink"/>
              </w:rPr>
              <w:t>9. Conclusions and Immediate Next Actions</w:t>
            </w:r>
            <w:r>
              <w:tab/>
            </w:r>
            <w:r>
              <w:fldChar w:fldCharType="begin"/>
            </w:r>
            <w:r>
              <w:instrText xml:space="preserve"> PAGEREF _Toc100028 \h </w:instrText>
            </w:r>
            <w:r>
              <w:fldChar w:fldCharType="separate"/>
            </w:r>
            <w:r>
              <w:t>14</w:t>
            </w:r>
            <w:r>
              <w:fldChar w:fldCharType="end"/>
            </w:r>
          </w:hyperlink>
        </w:p>
        <w:p>
          <w:r>
            <w:fldChar w:fldCharType="end"/>
          </w:r>
        </w:p>
      </w:sdtContent>
    </w:sdt>
    <w:p>
      <w:pPr>
        <w:spacing w:before="200"/>
      </w:pPr>
      <w:r>
        <w:rPr>
          <w:rFonts w:ascii="Times New Roman" w:eastAsia="SimSun" w:hAnsi="Times New Roman"/>
          <w:i/>
          <w:iCs/>
          <w:color w:val="888888"/>
          <w:sz w:val="18"/>
          <w:szCs w:val="18"/>
        </w:rPr>
        <w:t xml:space="preserve">Note: this table of contents is generated via field codes. After editing the document, right-click the table and choose "Update Field" to refresh page numbers.</w:t>
      </w:r>
    </w:p>
    <w:p>
      <w:pPr>
        <w:sectPr>
          <w:headerReference w:type="default" r:id="rId6"/>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160" w:before="360" w:line="312"/>
        <w:jc w:val="center"/>
      </w:pPr>
      <w:bookmarkStart w:id="100000" w:name="_Toc100000"/>
      <w:r>
        <w:rPr>
          <w:rFonts w:ascii="Times New Roman" w:eastAsia="SimHei" w:hAnsi="Times New Roman"/>
          <w:b/>
          <w:bCs/>
          <w:color w:val="0A1628"/>
          <w:sz w:val="32"/>
          <w:szCs w:val="32"/>
        </w:rPr>
        <w:t xml:space="preserve">1. Executive Summary</w:t>
      </w:r>
      <w:bookmarkEnd w:id="100000"/>
    </w:p>
    <w:p>
      <w:pPr>
        <w:spacing w:after="120" w:line="312"/>
        <w:jc w:val="both"/>
      </w:pPr>
      <w:r>
        <w:rPr>
          <w:rFonts w:ascii="Times New Roman" w:eastAsia="SimSun" w:hAnsi="Times New Roman"/>
          <w:b w:val="false"/>
          <w:bCs w:val="false"/>
          <w:i w:val="false"/>
          <w:iCs w:val="false"/>
          <w:color w:val="000000"/>
          <w:sz w:val="24"/>
          <w:szCs w:val="24"/>
        </w:rPr>
        <w:t xml:space="preserve">This report answers the four questions raised by the founder: is the project ready, are we ready to deploy, is the MVP finished or still missing features, and what is the status of the Community and the Translation Team. The short verdict: the platform is engineering-complete and deploy-ready. Every release from A through E is committed on the main branch with a clean working tree, and the full verification suite — typecheck, lint and a production build — was re-run on 28 September 2026 and passed with zero errors. Two items stand between the current state and a live deployment: the founder-side rotation of the Neon database credentials, and the creation of a git remote so the repository can be imported by the hosting provider.</w:t>
      </w:r>
    </w:p>
    <w:p>
      <w:pPr>
        <w:spacing w:after="120" w:line="312"/>
        <w:jc w:val="both"/>
      </w:pPr>
      <w:r>
        <w:rPr>
          <w:rFonts w:ascii="Times New Roman" w:eastAsia="SimSun" w:hAnsi="Times New Roman"/>
          <w:b w:val="false"/>
          <w:bCs w:val="false"/>
          <w:i w:val="false"/>
          <w:iCs w:val="false"/>
          <w:color w:val="000000"/>
          <w:sz w:val="24"/>
          <w:szCs w:val="24"/>
        </w:rPr>
        <w:t xml:space="preserve">The MVP question can be answered precisely because the prototype scope was contractually fixed in docs/PROTOTYPE_SCOPE.md before the first build: every feature in that inventory has shipped and has been browser-verified across the five releases. What remains is not MVP functionality but production hardening — rate limiting, password recovery, monitoring activation and legal document templates — plus a short list of features that were explicitly deferred by design, such as payments and downloads, both of which sit behind a lawyer gate.</w:t>
      </w:r>
    </w:p>
    <w:p>
      <w:pPr>
        <w:spacing w:after="120" w:line="312"/>
        <w:jc w:val="both"/>
      </w:pPr>
      <w:r>
        <w:rPr>
          <w:rFonts w:ascii="Times New Roman" w:eastAsia="SimSun" w:hAnsi="Times New Roman"/>
          <w:b w:val="false"/>
          <w:bCs w:val="false"/>
          <w:i w:val="false"/>
          <w:iCs w:val="false"/>
          <w:color w:val="000000"/>
          <w:sz w:val="24"/>
          <w:szCs w:val="24"/>
        </w:rPr>
        <w:t xml:space="preserve">Community features are built: series- and chapter-level comments, comment likes, five-star ratings with live aggregates, a report-and-moderation queue, and a complete notification center shipped in Releases B and E and were re-verified in the Release E end-to-end run. The Translation Team is the one genuine gap: no translation workflow exists in the codebase today beyond a translator byline field, and the scope document had already classified a translation pipeline as production-preparation rather than prototype scope. A concrete, costed proposal for a Release G translation workspace is included in this report.</w:t>
      </w:r>
    </w:p>
    <w:p>
      <w:pPr>
        <w:keepNext/>
        <w:spacing w:after="80" w:before="200" w:line="312"/>
        <w:jc w:val="left"/>
      </w:pPr>
      <w:r>
        <w:rPr>
          <w:rFonts w:ascii="Times New Roman" w:eastAsia="SimSun" w:hAnsi="Times New Roman"/>
          <w:b/>
          <w:bCs/>
          <w:color w:val="505A68"/>
          <w:sz w:val="21"/>
          <w:szCs w:val="21"/>
        </w:rPr>
        <w:t xml:space="preserve">Table 1: Founder questions and verdicts</w:t>
      </w:r>
    </w:p>
    <w:tbl>
      <w:tblPr>
        <w:tblW w:type="pct" w:w="5000"/>
        <w:tblBorders>
          <w:top w:val="single" w:color="1B6B7A" w:sz="2"/>
          <w:left w:val="none" w:color="FFFFFF" w:sz="0"/>
          <w:bottom w:val="none" w:color="FFFFFF" w:sz="0"/>
          <w:right w:val="none" w:color="FFFFFF" w:sz="0"/>
          <w:insideH w:val="single" w:color="C8DDE2" w:sz="1"/>
          <w:insideV w:val="none" w:color="FFFFFF" w:sz="0"/>
        </w:tblBorders>
      </w:tblPr>
      <w:tblGrid>
        <w:gridCol w:w="2109"/>
        <w:gridCol w:w="2636"/>
        <w:gridCol w:w="4042"/>
      </w:tblGrid>
      <w:tr>
        <w:trPr>
          <w:cantSplit/>
          <w:tblHeader/>
        </w:trPr>
        <w:tc>
          <w:tcPr>
            <w:tcW w:type="pct" w:w="1200"/>
            <w:shd w:fill="1B6B7A" w:val="clear"/>
            <w:tcMar>
              <w:top w:type="dxa" w:w="60"/>
              <w:left w:type="dxa" w:w="120"/>
              <w:bottom w:type="dxa" w:w="60"/>
              <w:right w:type="dxa" w:w="120"/>
            </w:tcMar>
          </w:tcPr>
          <w:p>
            <w:pPr>
              <w:spacing w:line="312"/>
              <w:jc w:val="left"/>
            </w:pPr>
            <w:r>
              <w:rPr>
                <w:rFonts w:ascii="Times New Roman" w:eastAsia="SimSun" w:hAnsi="Times New Roman"/>
                <w:b/>
                <w:bCs/>
                <w:color w:val="FFFFFF"/>
                <w:sz w:val="21"/>
                <w:szCs w:val="21"/>
              </w:rPr>
              <w:t xml:space="preserve">Question</w:t>
            </w:r>
          </w:p>
        </w:tc>
        <w:tc>
          <w:tcPr>
            <w:tcW w:type="pct" w:w="1500"/>
            <w:shd w:fill="1B6B7A" w:val="clear"/>
            <w:tcMar>
              <w:top w:type="dxa" w:w="60"/>
              <w:left w:type="dxa" w:w="120"/>
              <w:bottom w:type="dxa" w:w="60"/>
              <w:right w:type="dxa" w:w="120"/>
            </w:tcMar>
          </w:tcPr>
          <w:p>
            <w:pPr>
              <w:spacing w:line="312"/>
              <w:jc w:val="left"/>
            </w:pPr>
            <w:r>
              <w:rPr>
                <w:rFonts w:ascii="Times New Roman" w:eastAsia="SimSun" w:hAnsi="Times New Roman"/>
                <w:b/>
                <w:bCs/>
                <w:color w:val="FFFFFF"/>
                <w:sz w:val="21"/>
                <w:szCs w:val="21"/>
              </w:rPr>
              <w:t xml:space="preserve">Verdict</w:t>
            </w:r>
          </w:p>
        </w:tc>
        <w:tc>
          <w:tcPr>
            <w:tcW w:type="pct" w:w="2300"/>
            <w:shd w:fill="1B6B7A" w:val="clear"/>
            <w:tcMar>
              <w:top w:type="dxa" w:w="60"/>
              <w:left w:type="dxa" w:w="120"/>
              <w:bottom w:type="dxa" w:w="60"/>
              <w:right w:type="dxa" w:w="120"/>
            </w:tcMar>
          </w:tcPr>
          <w:p>
            <w:pPr>
              <w:spacing w:line="312"/>
              <w:jc w:val="left"/>
            </w:pPr>
            <w:r>
              <w:rPr>
                <w:rFonts w:ascii="Times New Roman" w:eastAsia="SimSun" w:hAnsi="Times New Roman"/>
                <w:b/>
                <w:bCs/>
                <w:color w:val="FFFFFF"/>
                <w:sz w:val="21"/>
                <w:szCs w:val="21"/>
              </w:rPr>
              <w:t xml:space="preserve">Basis</w:t>
            </w:r>
          </w:p>
        </w:tc>
      </w:tr>
      <w:tr>
        <w:trPr>
          <w:cantSplit/>
        </w:trPr>
        <w:tc>
          <w:tcPr>
            <w:tcW w:type="pct" w:w="12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Is the project ready?</w:t>
            </w:r>
          </w:p>
        </w:tc>
        <w:tc>
          <w:tcPr>
            <w:tcW w:type="pct" w:w="1500"/>
            <w:tcMar>
              <w:top w:type="dxa" w:w="60"/>
              <w:left w:type="dxa" w:w="120"/>
              <w:bottom w:type="dxa" w:w="60"/>
              <w:right w:type="dxa" w:w="120"/>
            </w:tcMar>
          </w:tcPr>
          <w:p>
            <w:pPr>
              <w:spacing w:after="20" w:line="312"/>
              <w:jc w:val="left"/>
            </w:pPr>
            <w:r>
              <w:rPr>
                <w:rFonts w:ascii="Times New Roman" w:eastAsia="SimSun" w:hAnsi="Times New Roman"/>
                <w:b/>
                <w:bCs/>
                <w:i w:val="false"/>
                <w:iCs w:val="false"/>
                <w:color w:val="000000"/>
                <w:sz w:val="21"/>
                <w:szCs w:val="21"/>
              </w:rPr>
              <w:t xml:space="preserve">Yes — engineering-complete</w:t>
            </w:r>
          </w:p>
        </w:tc>
        <w:tc>
          <w:tcPr>
            <w:tcW w:type="pct" w:w="23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Releases A-E committed, clean tree, full verification re-run green today</w:t>
            </w:r>
          </w:p>
        </w:tc>
      </w:tr>
      <w:tr>
        <w:trPr>
          <w:cantSplit/>
        </w:trPr>
        <w:tc>
          <w:tcPr>
            <w:tcW w:type="pct" w:w="12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Are we ready to deploy?</w:t>
            </w:r>
          </w:p>
        </w:tc>
        <w:tc>
          <w:tcPr>
            <w:tcW w:type="pct" w:w="1500"/>
            <w:tcMar>
              <w:top w:type="dxa" w:w="60"/>
              <w:left w:type="dxa" w:w="120"/>
              <w:bottom w:type="dxa" w:w="60"/>
              <w:right w:type="dxa" w:w="120"/>
            </w:tcMar>
          </w:tcPr>
          <w:p>
            <w:pPr>
              <w:spacing w:after="20" w:line="312"/>
              <w:jc w:val="left"/>
            </w:pPr>
            <w:r>
              <w:rPr>
                <w:rFonts w:ascii="Times New Roman" w:eastAsia="SimSun" w:hAnsi="Times New Roman"/>
                <w:b/>
                <w:bCs/>
                <w:i w:val="false"/>
                <w:iCs w:val="false"/>
                <w:color w:val="000000"/>
                <w:sz w:val="21"/>
                <w:szCs w:val="21"/>
              </w:rPr>
              <w:t xml:space="preserve">Almost — one founder blocker</w:t>
            </w:r>
          </w:p>
        </w:tc>
        <w:tc>
          <w:tcPr>
            <w:tcW w:type="pct" w:w="23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Rotated Neon credentials plus a git remote; the documented runbook takes about 30 minutes</w:t>
            </w:r>
          </w:p>
        </w:tc>
      </w:tr>
      <w:tr>
        <w:trPr>
          <w:cantSplit/>
        </w:trPr>
        <w:tc>
          <w:tcPr>
            <w:tcW w:type="pct" w:w="12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Is the MVP finished?</w:t>
            </w:r>
          </w:p>
        </w:tc>
        <w:tc>
          <w:tcPr>
            <w:tcW w:type="pct" w:w="1500"/>
            <w:tcMar>
              <w:top w:type="dxa" w:w="60"/>
              <w:left w:type="dxa" w:w="120"/>
              <w:bottom w:type="dxa" w:w="60"/>
              <w:right w:type="dxa" w:w="120"/>
            </w:tcMar>
          </w:tcPr>
          <w:p>
            <w:pPr>
              <w:spacing w:after="20" w:line="312"/>
              <w:jc w:val="left"/>
            </w:pPr>
            <w:r>
              <w:rPr>
                <w:rFonts w:ascii="Times New Roman" w:eastAsia="SimSun" w:hAnsi="Times New Roman"/>
                <w:b/>
                <w:bCs/>
                <w:i w:val="false"/>
                <w:iCs w:val="false"/>
                <w:color w:val="000000"/>
                <w:sz w:val="21"/>
                <w:szCs w:val="21"/>
              </w:rPr>
              <w:t xml:space="preserve">Yes, per the approved scope</w:t>
            </w:r>
          </w:p>
        </w:tc>
        <w:tc>
          <w:tcPr>
            <w:tcW w:type="pct" w:w="23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All scope items shipped and browser-verified; the remainder is hardening and legal-gated work</w:t>
            </w:r>
          </w:p>
        </w:tc>
      </w:tr>
      <w:tr>
        <w:trPr>
          <w:cantSplit/>
        </w:trPr>
        <w:tc>
          <w:tcPr>
            <w:tcW w:type="pct" w:w="12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Community — built?</w:t>
            </w:r>
          </w:p>
        </w:tc>
        <w:tc>
          <w:tcPr>
            <w:tcW w:type="pct" w:w="1500"/>
            <w:tcMar>
              <w:top w:type="dxa" w:w="60"/>
              <w:left w:type="dxa" w:w="120"/>
              <w:bottom w:type="dxa" w:w="60"/>
              <w:right w:type="dxa" w:w="120"/>
            </w:tcMar>
          </w:tcPr>
          <w:p>
            <w:pPr>
              <w:spacing w:after="20" w:line="312"/>
              <w:jc w:val="left"/>
            </w:pPr>
            <w:r>
              <w:rPr>
                <w:rFonts w:ascii="Times New Roman" w:eastAsia="SimSun" w:hAnsi="Times New Roman"/>
                <w:b/>
                <w:bCs/>
                <w:i w:val="false"/>
                <w:iCs w:val="false"/>
                <w:color w:val="000000"/>
                <w:sz w:val="21"/>
                <w:szCs w:val="21"/>
              </w:rPr>
              <w:t xml:space="preserve">Yes</w:t>
            </w:r>
          </w:p>
        </w:tc>
        <w:tc>
          <w:tcPr>
            <w:tcW w:type="pct" w:w="23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Comments, likes, ratings, moderation and notifications (Releases B and E)</w:t>
            </w:r>
          </w:p>
        </w:tc>
      </w:tr>
      <w:tr>
        <w:trPr>
          <w:cantSplit/>
        </w:trPr>
        <w:tc>
          <w:tcPr>
            <w:tcW w:type="pct" w:w="1200"/>
            <w:tcBorders>
              <w:bottom w:val="single" w:color="1B6B7A" w:sz="2"/>
            </w:tcBorders>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Translation Team — built?</w:t>
            </w:r>
          </w:p>
        </w:tc>
        <w:tc>
          <w:tcPr>
            <w:tcW w:type="pct" w:w="1500"/>
            <w:tcBorders>
              <w:bottom w:val="single" w:color="1B6B7A" w:sz="2"/>
            </w:tcBorders>
            <w:tcMar>
              <w:top w:type="dxa" w:w="60"/>
              <w:left w:type="dxa" w:w="120"/>
              <w:bottom w:type="dxa" w:w="60"/>
              <w:right w:type="dxa" w:w="120"/>
            </w:tcMar>
          </w:tcPr>
          <w:p>
            <w:pPr>
              <w:spacing w:after="20" w:line="312"/>
              <w:jc w:val="left"/>
            </w:pPr>
            <w:r>
              <w:rPr>
                <w:rFonts w:ascii="Times New Roman" w:eastAsia="SimSun" w:hAnsi="Times New Roman"/>
                <w:b/>
                <w:bCs/>
                <w:i w:val="false"/>
                <w:iCs w:val="false"/>
                <w:color w:val="000000"/>
                <w:sz w:val="21"/>
                <w:szCs w:val="21"/>
              </w:rPr>
              <w:t xml:space="preserve">No — proposal ready</w:t>
            </w:r>
          </w:p>
        </w:tc>
        <w:tc>
          <w:tcPr>
            <w:tcW w:type="pct" w:w="2300"/>
            <w:tcBorders>
              <w:bottom w:val="single" w:color="1B6B7A" w:sz="2"/>
            </w:tcBorders>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Byline metadata only; a costed Release G design is included in this report</w:t>
            </w:r>
          </w:p>
        </w:tc>
      </w:tr>
    </w:tbl>
    <w:p>
      <w:pPr>
        <w:spacing w:after="0" w:before="0" w:line="40" w:lineRule="exact"/>
      </w:pPr>
      <w:r>
        <w:rPr>
          <w:sz w:val="2"/>
          <w:szCs w:val="2"/>
        </w:rPr>
        <w:t xml:space="preserve"/>
      </w:r>
    </w:p>
    <w:p>
      <w:pPr>
        <w:pStyle w:val="Heading1"/>
        <w:spacing w:after="160" w:before="360" w:line="312"/>
        <w:jc w:val="center"/>
      </w:pPr>
      <w:bookmarkStart w:id="100001" w:name="_Toc100001"/>
      <w:r>
        <w:rPr>
          <w:rFonts w:ascii="Times New Roman" w:eastAsia="SimHei" w:hAnsi="Times New Roman"/>
          <w:b/>
          <w:bCs/>
          <w:color w:val="0A1628"/>
          <w:sz w:val="32"/>
          <w:szCs w:val="32"/>
        </w:rPr>
        <w:t xml:space="preserve">2. Project Status Snapshot and Verification Evidence</w:t>
      </w:r>
      <w:bookmarkEnd w:id="100001"/>
    </w:p>
    <w:p>
      <w:pPr>
        <w:spacing w:after="120" w:line="312"/>
        <w:jc w:val="both"/>
      </w:pPr>
      <w:r>
        <w:rPr>
          <w:rFonts w:ascii="Times New Roman" w:eastAsia="SimSun" w:hAnsi="Times New Roman"/>
          <w:b w:val="false"/>
          <w:bCs w:val="false"/>
          <w:i w:val="false"/>
          <w:iCs w:val="false"/>
          <w:color w:val="000000"/>
          <w:sz w:val="24"/>
          <w:szCs w:val="24"/>
        </w:rPr>
        <w:t xml:space="preserve">Bunny Library is an Arabic-first, right-to-left, dark-mode reading platform prototype for manga, webtoons and novels, built with Next.js 16 (App Router), TypeScript strict, Tailwind CSS v4, Prisma on Neon PostgreSQL, and NextAuth v4. All content is 100 percent original fiction, and the platform carries a binding demo disclosure in the footer and on series pages. This chapter records what exists today and the fresh evidence gathered specifically for this report, so that the deployment decision in Chapter 6 rests on re-verified facts rather than on earlier claims.</w:t>
      </w:r>
    </w:p>
    <w:p>
      <w:pPr>
        <w:pStyle w:val="Heading2"/>
        <w:spacing w:after="120" w:before="240" w:line="312"/>
        <w:jc w:val="left"/>
      </w:pPr>
      <w:bookmarkStart w:id="100002" w:name="_Toc100002"/>
      <w:r>
        <w:rPr>
          <w:rFonts w:ascii="Times New Roman" w:eastAsia="SimHei" w:hAnsi="Times New Roman"/>
          <w:b/>
          <w:bCs/>
          <w:color w:val="0A1628"/>
          <w:sz w:val="30"/>
          <w:szCs w:val="30"/>
        </w:rPr>
        <w:t xml:space="preserve">2.1 Release history</w:t>
      </w:r>
      <w:bookmarkEnd w:id="100002"/>
    </w:p>
    <w:p>
      <w:pPr>
        <w:spacing w:after="120" w:line="312"/>
        <w:jc w:val="both"/>
      </w:pPr>
      <w:r>
        <w:rPr>
          <w:rFonts w:ascii="Times New Roman" w:eastAsia="SimSun" w:hAnsi="Times New Roman"/>
          <w:b w:val="false"/>
          <w:bCs w:val="false"/>
          <w:i w:val="false"/>
          <w:iCs w:val="false"/>
          <w:color w:val="000000"/>
          <w:sz w:val="24"/>
          <w:szCs w:val="24"/>
        </w:rPr>
        <w:t xml:space="preserve">Five releases have been delivered since the project started, each closed with a report document, a browser-verified end-to-end QA run and a git commit. The table below summarizes the arc from the first reader experience to the current Release E baseline, which is the commit this report audited.</w:t>
      </w:r>
    </w:p>
    <w:p>
      <w:pPr>
        <w:keepNext/>
        <w:spacing w:after="80" w:before="200" w:line="312"/>
        <w:jc w:val="left"/>
      </w:pPr>
      <w:r>
        <w:rPr>
          <w:rFonts w:ascii="Times New Roman" w:eastAsia="SimSun" w:hAnsi="Times New Roman"/>
          <w:b/>
          <w:bCs/>
          <w:color w:val="505A68"/>
          <w:sz w:val="21"/>
          <w:szCs w:val="21"/>
        </w:rPr>
        <w:t xml:space="preserve">Table 2: Release history from reader core to community platform</w:t>
      </w:r>
    </w:p>
    <w:tbl>
      <w:tblPr>
        <w:tblW w:type="pct" w:w="5000"/>
        <w:tblBorders>
          <w:top w:val="single" w:color="1B6B7A" w:sz="2"/>
          <w:left w:val="none" w:color="FFFFFF" w:sz="0"/>
          <w:bottom w:val="none" w:color="FFFFFF" w:sz="0"/>
          <w:right w:val="none" w:color="FFFFFF" w:sz="0"/>
          <w:insideH w:val="single" w:color="C8DDE2" w:sz="1"/>
          <w:insideV w:val="none" w:color="FFFFFF" w:sz="0"/>
        </w:tblBorders>
      </w:tblPr>
      <w:tblGrid>
        <w:gridCol w:w="1055"/>
        <w:gridCol w:w="5800"/>
        <w:gridCol w:w="1933"/>
      </w:tblGrid>
      <w:tr>
        <w:trPr>
          <w:cantSplit/>
          <w:tblHeader/>
        </w:trPr>
        <w:tc>
          <w:tcPr>
            <w:tcW w:type="pct" w:w="600"/>
            <w:shd w:fill="1B6B7A" w:val="clear"/>
            <w:tcMar>
              <w:top w:type="dxa" w:w="60"/>
              <w:left w:type="dxa" w:w="120"/>
              <w:bottom w:type="dxa" w:w="60"/>
              <w:right w:type="dxa" w:w="120"/>
            </w:tcMar>
          </w:tcPr>
          <w:p>
            <w:pPr>
              <w:spacing w:line="312"/>
              <w:jc w:val="left"/>
            </w:pPr>
            <w:r>
              <w:rPr>
                <w:rFonts w:ascii="Times New Roman" w:eastAsia="SimSun" w:hAnsi="Times New Roman"/>
                <w:b/>
                <w:bCs/>
                <w:color w:val="FFFFFF"/>
                <w:sz w:val="21"/>
                <w:szCs w:val="21"/>
              </w:rPr>
              <w:t xml:space="preserve">Release</w:t>
            </w:r>
          </w:p>
        </w:tc>
        <w:tc>
          <w:tcPr>
            <w:tcW w:type="pct" w:w="3300"/>
            <w:shd w:fill="1B6B7A" w:val="clear"/>
            <w:tcMar>
              <w:top w:type="dxa" w:w="60"/>
              <w:left w:type="dxa" w:w="120"/>
              <w:bottom w:type="dxa" w:w="60"/>
              <w:right w:type="dxa" w:w="120"/>
            </w:tcMar>
          </w:tcPr>
          <w:p>
            <w:pPr>
              <w:spacing w:line="312"/>
              <w:jc w:val="left"/>
            </w:pPr>
            <w:r>
              <w:rPr>
                <w:rFonts w:ascii="Times New Roman" w:eastAsia="SimSun" w:hAnsi="Times New Roman"/>
                <w:b/>
                <w:bCs/>
                <w:color w:val="FFFFFF"/>
                <w:sz w:val="21"/>
                <w:szCs w:val="21"/>
              </w:rPr>
              <w:t xml:space="preserve">Focus</w:t>
            </w:r>
          </w:p>
        </w:tc>
        <w:tc>
          <w:tcPr>
            <w:tcW w:type="pct" w:w="1100"/>
            <w:shd w:fill="1B6B7A" w:val="clear"/>
            <w:tcMar>
              <w:top w:type="dxa" w:w="60"/>
              <w:left w:type="dxa" w:w="120"/>
              <w:bottom w:type="dxa" w:w="60"/>
              <w:right w:type="dxa" w:w="120"/>
            </w:tcMar>
          </w:tcPr>
          <w:p>
            <w:pPr>
              <w:spacing w:line="312"/>
              <w:jc w:val="left"/>
            </w:pPr>
            <w:r>
              <w:rPr>
                <w:rFonts w:ascii="Times New Roman" w:eastAsia="SimSun" w:hAnsi="Times New Roman"/>
                <w:b/>
                <w:bCs/>
                <w:color w:val="FFFFFF"/>
                <w:sz w:val="21"/>
                <w:szCs w:val="21"/>
              </w:rPr>
              <w:t xml:space="preserve">Commit</w:t>
            </w:r>
          </w:p>
        </w:tc>
      </w:tr>
      <w:tr>
        <w:trPr>
          <w:cantSplit/>
        </w:trPr>
        <w:tc>
          <w:tcPr>
            <w:tcW w:type="pct" w:w="6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A</w:t>
            </w:r>
          </w:p>
        </w:tc>
        <w:tc>
          <w:tcPr>
            <w:tcW w:type="pct" w:w="33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Reader core: home, explore, series pages, manga and webtoon readers, authentication, guarded admin panel, 6-series seed</w:t>
            </w:r>
          </w:p>
        </w:tc>
        <w:tc>
          <w:tcPr>
            <w:tcW w:type="pct" w:w="11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early main</w:t>
            </w:r>
          </w:p>
        </w:tc>
      </w:tr>
      <w:tr>
        <w:trPr>
          <w:cantSplit/>
        </w:trPr>
        <w:tc>
          <w:tcPr>
            <w:tcW w:type="pct" w:w="6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B</w:t>
            </w:r>
          </w:p>
        </w:tc>
        <w:tc>
          <w:tcPr>
            <w:tcW w:type="pct" w:w="33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Novel reader, personal library, updates feed, full profile, community (comments, ratings, reports, moderation), admin collections, users and dashboard, chapter scheduler, 12-series seed</w:t>
            </w:r>
          </w:p>
        </w:tc>
        <w:tc>
          <w:tcPr>
            <w:tcW w:type="pct" w:w="11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a64c1fa</w:t>
            </w:r>
          </w:p>
        </w:tc>
      </w:tr>
      <w:tr>
        <w:trPr>
          <w:cantSplit/>
        </w:trPr>
        <w:tc>
          <w:tcPr>
            <w:tcW w:type="pct" w:w="6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C</w:t>
            </w:r>
          </w:p>
        </w:tc>
        <w:tc>
          <w:tcPr>
            <w:tcW w:type="pct" w:w="33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Polish and production preparation: hydration fix, Arabic error boundaries, loading skeletons, security audit and headers, monitoring placeholders, deploy runbook</w:t>
            </w:r>
          </w:p>
        </w:tc>
        <w:tc>
          <w:tcPr>
            <w:tcW w:type="pct" w:w="11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6148d90 (+ hardening 4cd1d0a)</w:t>
            </w:r>
          </w:p>
        </w:tc>
      </w:tr>
      <w:tr>
        <w:trPr>
          <w:cantSplit/>
        </w:trPr>
        <w:tc>
          <w:tcPr>
            <w:tcW w:type="pct" w:w="6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D</w:t>
            </w:r>
          </w:p>
        </w:tc>
        <w:tc>
          <w:tcPr>
            <w:tcW w:type="pct" w:w="33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Personalization: explainable For You rail, reading streaks, statistics and badges, embedded PostgreSQL 18 QA infrastructure</w:t>
            </w:r>
          </w:p>
        </w:tc>
        <w:tc>
          <w:tcPr>
            <w:tcW w:type="pct" w:w="11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e49c473</w:t>
            </w:r>
          </w:p>
        </w:tc>
      </w:tr>
      <w:tr>
        <w:trPr>
          <w:cantSplit/>
        </w:trPr>
        <w:tc>
          <w:tcPr>
            <w:tcW w:type="pct" w:w="600"/>
            <w:tcBorders>
              <w:bottom w:val="single" w:color="1B6B7A" w:sz="2"/>
            </w:tcBorders>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E</w:t>
            </w:r>
          </w:p>
        </w:tc>
        <w:tc>
          <w:tcPr>
            <w:tcW w:type="pct" w:w="3300"/>
            <w:tcBorders>
              <w:bottom w:val="single" w:color="1B6B7A" w:sz="2"/>
            </w:tcBorders>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Notifications center, chapter comments with comment likes, Arabic smart search, RTL share cards, creator studio lite</w:t>
            </w:r>
          </w:p>
        </w:tc>
        <w:tc>
          <w:tcPr>
            <w:tcW w:type="pct" w:w="1100"/>
            <w:tcBorders>
              <w:bottom w:val="single" w:color="1B6B7A" w:sz="2"/>
            </w:tcBorders>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0515e16</w:t>
            </w:r>
          </w:p>
        </w:tc>
      </w:tr>
    </w:tbl>
    <w:p>
      <w:pPr>
        <w:spacing w:after="0" w:before="0" w:line="40" w:lineRule="exact"/>
      </w:pPr>
      <w:r>
        <w:rPr>
          <w:sz w:val="2"/>
          <w:szCs w:val="2"/>
        </w:rPr>
        <w:t xml:space="preserve"/>
      </w:r>
    </w:p>
    <w:p>
      <w:pPr>
        <w:pStyle w:val="Heading2"/>
        <w:spacing w:after="120" w:before="240" w:line="312"/>
        <w:jc w:val="left"/>
      </w:pPr>
      <w:bookmarkStart w:id="100003" w:name="_Toc100003"/>
      <w:r>
        <w:rPr>
          <w:rFonts w:ascii="Times New Roman" w:eastAsia="SimHei" w:hAnsi="Times New Roman"/>
          <w:b/>
          <w:bCs/>
          <w:color w:val="0A1628"/>
          <w:sz w:val="30"/>
          <w:szCs w:val="30"/>
        </w:rPr>
        <w:t xml:space="preserve">2.2 Fresh verification results (28 September 2026)</w:t>
      </w:r>
      <w:bookmarkEnd w:id="100003"/>
    </w:p>
    <w:p>
      <w:pPr>
        <w:spacing w:after="120" w:line="312"/>
        <w:jc w:val="both"/>
      </w:pPr>
      <w:r>
        <w:rPr>
          <w:rFonts w:ascii="Times New Roman" w:eastAsia="SimSun" w:hAnsi="Times New Roman"/>
          <w:b w:val="false"/>
          <w:bCs w:val="false"/>
          <w:i w:val="false"/>
          <w:iCs w:val="false"/>
          <w:color w:val="000000"/>
          <w:sz w:val="24"/>
          <w:szCs w:val="24"/>
        </w:rPr>
        <w:t xml:space="preserve">The following checks were executed on the repository as it stands today, specifically for this report. They confirm that the Release E state is healthy and reproducible, and they expose the two mechanical deployment prerequisites — the missing credentials and the missing git remote — that Chapter 6 assigns to owners.</w:t>
      </w:r>
    </w:p>
    <w:p>
      <w:pPr>
        <w:keepNext/>
        <w:spacing w:after="80" w:before="200" w:line="312"/>
        <w:jc w:val="left"/>
      </w:pPr>
      <w:r>
        <w:rPr>
          <w:rFonts w:ascii="Times New Roman" w:eastAsia="SimSun" w:hAnsi="Times New Roman"/>
          <w:b/>
          <w:bCs/>
          <w:color w:val="505A68"/>
          <w:sz w:val="21"/>
          <w:szCs w:val="21"/>
        </w:rPr>
        <w:t xml:space="preserve">Table 3: Verification run performed for this report</w:t>
      </w:r>
    </w:p>
    <w:tbl>
      <w:tblPr>
        <w:tblW w:type="pct" w:w="5000"/>
        <w:tblBorders>
          <w:top w:val="single" w:color="1B6B7A" w:sz="2"/>
          <w:left w:val="none" w:color="FFFFFF" w:sz="0"/>
          <w:bottom w:val="none" w:color="FFFFFF" w:sz="0"/>
          <w:right w:val="none" w:color="FFFFFF" w:sz="0"/>
          <w:insideH w:val="single" w:color="C8DDE2" w:sz="1"/>
          <w:insideV w:val="none" w:color="FFFFFF" w:sz="0"/>
        </w:tblBorders>
      </w:tblPr>
      <w:tblGrid>
        <w:gridCol w:w="3515"/>
        <w:gridCol w:w="5273"/>
      </w:tblGrid>
      <w:tr>
        <w:trPr>
          <w:cantSplit/>
          <w:tblHeader/>
        </w:trPr>
        <w:tc>
          <w:tcPr>
            <w:tcW w:type="pct" w:w="2000"/>
            <w:shd w:fill="1B6B7A" w:val="clear"/>
            <w:tcMar>
              <w:top w:type="dxa" w:w="60"/>
              <w:left w:type="dxa" w:w="120"/>
              <w:bottom w:type="dxa" w:w="60"/>
              <w:right w:type="dxa" w:w="120"/>
            </w:tcMar>
          </w:tcPr>
          <w:p>
            <w:pPr>
              <w:spacing w:line="312"/>
              <w:jc w:val="left"/>
            </w:pPr>
            <w:r>
              <w:rPr>
                <w:rFonts w:ascii="Times New Roman" w:eastAsia="SimSun" w:hAnsi="Times New Roman"/>
                <w:b/>
                <w:bCs/>
                <w:color w:val="FFFFFF"/>
                <w:sz w:val="21"/>
                <w:szCs w:val="21"/>
              </w:rPr>
              <w:t xml:space="preserve">Check</w:t>
            </w:r>
          </w:p>
        </w:tc>
        <w:tc>
          <w:tcPr>
            <w:tcW w:type="pct" w:w="3000"/>
            <w:shd w:fill="1B6B7A" w:val="clear"/>
            <w:tcMar>
              <w:top w:type="dxa" w:w="60"/>
              <w:left w:type="dxa" w:w="120"/>
              <w:bottom w:type="dxa" w:w="60"/>
              <w:right w:type="dxa" w:w="120"/>
            </w:tcMar>
          </w:tcPr>
          <w:p>
            <w:pPr>
              <w:spacing w:line="312"/>
              <w:jc w:val="left"/>
            </w:pPr>
            <w:r>
              <w:rPr>
                <w:rFonts w:ascii="Times New Roman" w:eastAsia="SimSun" w:hAnsi="Times New Roman"/>
                <w:b/>
                <w:bCs/>
                <w:color w:val="FFFFFF"/>
                <w:sz w:val="21"/>
                <w:szCs w:val="21"/>
              </w:rPr>
              <w:t xml:space="preserve">Result</w:t>
            </w:r>
          </w:p>
        </w:tc>
      </w:tr>
      <w:tr>
        <w:trPr>
          <w:cantSplit/>
        </w:trPr>
        <w:tc>
          <w:tcPr>
            <w:tcW w:type="pct" w:w="20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Typecheck (tsc --noEmit)</w:t>
            </w:r>
          </w:p>
        </w:tc>
        <w:tc>
          <w:tcPr>
            <w:tcW w:type="pct" w:w="30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0 errors</w:t>
            </w:r>
          </w:p>
        </w:tc>
      </w:tr>
      <w:tr>
        <w:trPr>
          <w:cantSplit/>
        </w:trPr>
        <w:tc>
          <w:tcPr>
            <w:tcW w:type="pct" w:w="20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ESLint</w:t>
            </w:r>
          </w:p>
        </w:tc>
        <w:tc>
          <w:tcPr>
            <w:tcW w:type="pct" w:w="30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0 errors; 2 pre-existing warnings (legacy navigation pattern inside the manga reader)</w:t>
            </w:r>
          </w:p>
        </w:tc>
      </w:tr>
      <w:tr>
        <w:trPr>
          <w:cantSplit/>
        </w:trPr>
        <w:tc>
          <w:tcPr>
            <w:tcW w:type="pct" w:w="20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Production build</w:t>
            </w:r>
          </w:p>
        </w:tc>
        <w:tc>
          <w:tcPr>
            <w:tcW w:type="pct" w:w="30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Green — standalone output, every database-backed route dynamic, middleware active</w:t>
            </w:r>
          </w:p>
        </w:tc>
      </w:tr>
      <w:tr>
        <w:trPr>
          <w:cantSplit/>
        </w:trPr>
        <w:tc>
          <w:tcPr>
            <w:tcW w:type="pct" w:w="20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Prerendered HTML documents</w:t>
            </w:r>
          </w:p>
        </w:tc>
        <w:tc>
          <w:tcPr>
            <w:tcW w:type="pct" w:w="30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Zero — a strict CSP requirement; every document is rendered per request</w:t>
            </w:r>
          </w:p>
        </w:tc>
      </w:tr>
      <w:tr>
        <w:trPr>
          <w:cantSplit/>
        </w:trPr>
        <w:tc>
          <w:tcPr>
            <w:tcW w:type="pct" w:w="20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Working tree</w:t>
            </w:r>
          </w:p>
        </w:tc>
        <w:tc>
          <w:tcPr>
            <w:tcW w:type="pct" w:w="30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Clean; all work committed on main</w:t>
            </w:r>
          </w:p>
        </w:tc>
      </w:tr>
      <w:tr>
        <w:trPr>
          <w:cantSplit/>
        </w:trPr>
        <w:tc>
          <w:tcPr>
            <w:tcW w:type="pct" w:w="20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Git remote</w:t>
            </w:r>
          </w:p>
        </w:tc>
        <w:tc>
          <w:tcPr>
            <w:tcW w:type="pct" w:w="3000"/>
            <w:tcMar>
              <w:top w:type="dxa" w:w="60"/>
              <w:left w:type="dxa" w:w="120"/>
              <w:bottom w:type="dxa" w:w="60"/>
              <w:right w:type="dxa" w:w="120"/>
            </w:tcMar>
          </w:tcPr>
          <w:p>
            <w:pPr>
              <w:spacing w:after="20" w:line="312"/>
              <w:jc w:val="left"/>
            </w:pPr>
            <w:r>
              <w:rPr>
                <w:rFonts w:ascii="Times New Roman" w:eastAsia="SimSun" w:hAnsi="Times New Roman"/>
                <w:b/>
                <w:bCs/>
                <w:i w:val="false"/>
                <w:iCs w:val="false"/>
                <w:color w:val="000000"/>
                <w:sz w:val="21"/>
                <w:szCs w:val="21"/>
              </w:rPr>
              <w:t xml:space="preserve">None configured — deployment prerequisite</w:t>
            </w:r>
          </w:p>
        </w:tc>
      </w:tr>
      <w:tr>
        <w:trPr>
          <w:cantSplit/>
        </w:trPr>
        <w:tc>
          <w:tcPr>
            <w:tcW w:type="pct" w:w="2000"/>
            <w:tcBorders>
              <w:bottom w:val="single" w:color="1B6B7A" w:sz="2"/>
            </w:tcBorders>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Original art assets tracked in git</w:t>
            </w:r>
          </w:p>
        </w:tc>
        <w:tc>
          <w:tcPr>
            <w:tcW w:type="pct" w:w="3000"/>
            <w:tcBorders>
              <w:bottom w:val="single" w:color="1B6B7A" w:sz="2"/>
            </w:tcBorders>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307 files under public/art</w:t>
            </w:r>
          </w:p>
        </w:tc>
      </w:tr>
    </w:tbl>
    <w:p>
      <w:pPr>
        <w:spacing w:after="0" w:before="0" w:line="40" w:lineRule="exact"/>
      </w:pPr>
      <w:r>
        <w:rPr>
          <w:sz w:val="2"/>
          <w:szCs w:val="2"/>
        </w:rPr>
        <w:t xml:space="preserve"/>
      </w:r>
    </w:p>
    <w:p>
      <w:pPr>
        <w:pStyle w:val="Heading2"/>
        <w:spacing w:after="120" w:before="240" w:line="312"/>
        <w:jc w:val="left"/>
      </w:pPr>
      <w:bookmarkStart w:id="100004" w:name="_Toc100004"/>
      <w:r>
        <w:rPr>
          <w:rFonts w:ascii="Times New Roman" w:eastAsia="SimHei" w:hAnsi="Times New Roman"/>
          <w:b/>
          <w:bCs/>
          <w:color w:val="0A1628"/>
          <w:sz w:val="30"/>
          <w:szCs w:val="30"/>
        </w:rPr>
        <w:t xml:space="preserve">2.3 Seeded content inventory</w:t>
      </w:r>
      <w:bookmarkEnd w:id="100004"/>
    </w:p>
    <w:p>
      <w:pPr>
        <w:spacing w:after="120" w:line="312"/>
        <w:jc w:val="both"/>
      </w:pPr>
      <w:r>
        <w:rPr>
          <w:rFonts w:ascii="Times New Roman" w:eastAsia="SimSun" w:hAnsi="Times New Roman"/>
          <w:b w:val="false"/>
          <w:bCs w:val="false"/>
          <w:i w:val="false"/>
          <w:iCs w:val="false"/>
          <w:color w:val="000000"/>
          <w:sz w:val="24"/>
          <w:szCs w:val="24"/>
        </w:rPr>
        <w:t xml:space="preserve">The idempotent seed produces a lived-in demo with real community activity, and re-running it twice produces byte-identical counts, which is the property that makes the runbook safe to repeat. These are the numbers a freshly deployed instance will show immediately after the seed step.</w:t>
      </w:r>
    </w:p>
    <w:p>
      <w:pPr>
        <w:keepNext/>
        <w:spacing w:after="80" w:before="200" w:line="312"/>
        <w:jc w:val="left"/>
      </w:pPr>
      <w:r>
        <w:rPr>
          <w:rFonts w:ascii="Times New Roman" w:eastAsia="SimSun" w:hAnsi="Times New Roman"/>
          <w:b/>
          <w:bCs/>
          <w:color w:val="505A68"/>
          <w:sz w:val="21"/>
          <w:szCs w:val="21"/>
        </w:rPr>
        <w:t xml:space="preserve">Table 4: Seed output (verified idempotent across two consecutive runs)</w:t>
      </w:r>
    </w:p>
    <w:tbl>
      <w:tblPr>
        <w:tblW w:type="pct" w:w="5000"/>
        <w:tblBorders>
          <w:top w:val="single" w:color="1B6B7A" w:sz="2"/>
          <w:left w:val="none" w:color="FFFFFF" w:sz="0"/>
          <w:bottom w:val="none" w:color="FFFFFF" w:sz="0"/>
          <w:right w:val="none" w:color="FFFFFF" w:sz="0"/>
          <w:insideH w:val="single" w:color="C8DDE2" w:sz="1"/>
          <w:insideV w:val="none" w:color="FFFFFF" w:sz="0"/>
        </w:tblBorders>
      </w:tblPr>
      <w:tblGrid>
        <w:gridCol w:w="2988"/>
        <w:gridCol w:w="1406"/>
        <w:gridCol w:w="2988"/>
        <w:gridCol w:w="1406"/>
      </w:tblGrid>
      <w:tr>
        <w:trPr>
          <w:cantSplit/>
          <w:tblHeader/>
        </w:trPr>
        <w:tc>
          <w:tcPr>
            <w:tcW w:type="pct" w:w="1700"/>
            <w:shd w:fill="1B6B7A" w:val="clear"/>
            <w:tcMar>
              <w:top w:type="dxa" w:w="60"/>
              <w:left w:type="dxa" w:w="120"/>
              <w:bottom w:type="dxa" w:w="60"/>
              <w:right w:type="dxa" w:w="120"/>
            </w:tcMar>
          </w:tcPr>
          <w:p>
            <w:pPr>
              <w:spacing w:line="312"/>
              <w:jc w:val="left"/>
            </w:pPr>
            <w:r>
              <w:rPr>
                <w:rFonts w:ascii="Times New Roman" w:eastAsia="SimSun" w:hAnsi="Times New Roman"/>
                <w:b/>
                <w:bCs/>
                <w:color w:val="FFFFFF"/>
                <w:sz w:val="21"/>
                <w:szCs w:val="21"/>
              </w:rPr>
              <w:t xml:space="preserve">Entity</w:t>
            </w:r>
          </w:p>
        </w:tc>
        <w:tc>
          <w:tcPr>
            <w:tcW w:type="pct" w:w="800"/>
            <w:shd w:fill="1B6B7A" w:val="clear"/>
            <w:tcMar>
              <w:top w:type="dxa" w:w="60"/>
              <w:left w:type="dxa" w:w="120"/>
              <w:bottom w:type="dxa" w:w="60"/>
              <w:right w:type="dxa" w:w="120"/>
            </w:tcMar>
          </w:tcPr>
          <w:p>
            <w:pPr>
              <w:spacing w:line="312"/>
              <w:jc w:val="left"/>
            </w:pPr>
            <w:r>
              <w:rPr>
                <w:rFonts w:ascii="Times New Roman" w:eastAsia="SimSun" w:hAnsi="Times New Roman"/>
                <w:b/>
                <w:bCs/>
                <w:color w:val="FFFFFF"/>
                <w:sz w:val="21"/>
                <w:szCs w:val="21"/>
              </w:rPr>
              <w:t xml:space="preserve">Count</w:t>
            </w:r>
          </w:p>
        </w:tc>
        <w:tc>
          <w:tcPr>
            <w:tcW w:type="pct" w:w="1700"/>
            <w:shd w:fill="1B6B7A" w:val="clear"/>
            <w:tcMar>
              <w:top w:type="dxa" w:w="60"/>
              <w:left w:type="dxa" w:w="120"/>
              <w:bottom w:type="dxa" w:w="60"/>
              <w:right w:type="dxa" w:w="120"/>
            </w:tcMar>
          </w:tcPr>
          <w:p>
            <w:pPr>
              <w:spacing w:line="312"/>
              <w:jc w:val="left"/>
            </w:pPr>
            <w:r>
              <w:rPr>
                <w:rFonts w:ascii="Times New Roman" w:eastAsia="SimSun" w:hAnsi="Times New Roman"/>
                <w:b/>
                <w:bCs/>
                <w:color w:val="FFFFFF"/>
                <w:sz w:val="21"/>
                <w:szCs w:val="21"/>
              </w:rPr>
              <w:t xml:space="preserve">Entity</w:t>
            </w:r>
          </w:p>
        </w:tc>
        <w:tc>
          <w:tcPr>
            <w:tcW w:type="pct" w:w="800"/>
            <w:shd w:fill="1B6B7A" w:val="clear"/>
            <w:tcMar>
              <w:top w:type="dxa" w:w="60"/>
              <w:left w:type="dxa" w:w="120"/>
              <w:bottom w:type="dxa" w:w="60"/>
              <w:right w:type="dxa" w:w="120"/>
            </w:tcMar>
          </w:tcPr>
          <w:p>
            <w:pPr>
              <w:spacing w:line="312"/>
              <w:jc w:val="left"/>
            </w:pPr>
            <w:r>
              <w:rPr>
                <w:rFonts w:ascii="Times New Roman" w:eastAsia="SimSun" w:hAnsi="Times New Roman"/>
                <w:b/>
                <w:bCs/>
                <w:color w:val="FFFFFF"/>
                <w:sz w:val="21"/>
                <w:szCs w:val="21"/>
              </w:rPr>
              <w:t xml:space="preserve">Count</w:t>
            </w:r>
          </w:p>
        </w:tc>
      </w:tr>
      <w:tr>
        <w:trPr>
          <w:cantSplit/>
        </w:trPr>
        <w:tc>
          <w:tcPr>
            <w:tcW w:type="pct" w:w="17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Demo profiles (admin, editor, reader)</w:t>
            </w:r>
          </w:p>
        </w:tc>
        <w:tc>
          <w:tcPr>
            <w:tcW w:type="pct" w:w="8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3</w:t>
            </w:r>
          </w:p>
        </w:tc>
        <w:tc>
          <w:tcPr>
            <w:tcW w:type="pct" w:w="17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Comments</w:t>
            </w:r>
          </w:p>
        </w:tc>
        <w:tc>
          <w:tcPr>
            <w:tcW w:type="pct" w:w="8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24</w:t>
            </w:r>
          </w:p>
        </w:tc>
      </w:tr>
      <w:tr>
        <w:trPr>
          <w:cantSplit/>
        </w:trPr>
        <w:tc>
          <w:tcPr>
            <w:tcW w:type="pct" w:w="17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Series (manga, webtoon, novel)</w:t>
            </w:r>
          </w:p>
        </w:tc>
        <w:tc>
          <w:tcPr>
            <w:tcW w:type="pct" w:w="8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12</w:t>
            </w:r>
          </w:p>
        </w:tc>
        <w:tc>
          <w:tcPr>
            <w:tcW w:type="pct" w:w="17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Ratings</w:t>
            </w:r>
          </w:p>
        </w:tc>
        <w:tc>
          <w:tcPr>
            <w:tcW w:type="pct" w:w="8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21</w:t>
            </w:r>
          </w:p>
        </w:tc>
      </w:tr>
      <w:tr>
        <w:trPr>
          <w:cantSplit/>
        </w:trPr>
        <w:tc>
          <w:tcPr>
            <w:tcW w:type="pct" w:w="17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Chapters</w:t>
            </w:r>
          </w:p>
        </w:tc>
        <w:tc>
          <w:tcPr>
            <w:tcW w:type="pct" w:w="8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46</w:t>
            </w:r>
          </w:p>
        </w:tc>
        <w:tc>
          <w:tcPr>
            <w:tcW w:type="pct" w:w="17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Moderation reports</w:t>
            </w:r>
          </w:p>
        </w:tc>
        <w:tc>
          <w:tcPr>
            <w:tcW w:type="pct" w:w="8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2</w:t>
            </w:r>
          </w:p>
        </w:tc>
      </w:tr>
      <w:tr>
        <w:trPr>
          <w:cantSplit/>
        </w:trPr>
        <w:tc>
          <w:tcPr>
            <w:tcW w:type="pct" w:w="17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Chapter pages (original art)</w:t>
            </w:r>
          </w:p>
        </w:tc>
        <w:tc>
          <w:tcPr>
            <w:tcW w:type="pct" w:w="8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287</w:t>
            </w:r>
          </w:p>
        </w:tc>
        <w:tc>
          <w:tcPr>
            <w:tcW w:type="pct" w:w="17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Comment likes</w:t>
            </w:r>
          </w:p>
        </w:tc>
        <w:tc>
          <w:tcPr>
            <w:tcW w:type="pct" w:w="8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8</w:t>
            </w:r>
          </w:p>
        </w:tc>
      </w:tr>
      <w:tr>
        <w:trPr>
          <w:cantSplit/>
        </w:trPr>
        <w:tc>
          <w:tcPr>
            <w:tcW w:type="pct" w:w="17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Editorial collections</w:t>
            </w:r>
          </w:p>
        </w:tc>
        <w:tc>
          <w:tcPr>
            <w:tcW w:type="pct" w:w="8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3</w:t>
            </w:r>
          </w:p>
        </w:tc>
        <w:tc>
          <w:tcPr>
            <w:tcW w:type="pct" w:w="17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Notifications</w:t>
            </w:r>
          </w:p>
        </w:tc>
        <w:tc>
          <w:tcPr>
            <w:tcW w:type="pct" w:w="8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4</w:t>
            </w:r>
          </w:p>
        </w:tc>
      </w:tr>
      <w:tr>
        <w:trPr>
          <w:cantSplit/>
        </w:trPr>
        <w:tc>
          <w:tcPr>
            <w:tcW w:type="pct" w:w="17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Library items</w:t>
            </w:r>
          </w:p>
        </w:tc>
        <w:tc>
          <w:tcPr>
            <w:tcW w:type="pct" w:w="8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7</w:t>
            </w:r>
          </w:p>
        </w:tc>
        <w:tc>
          <w:tcPr>
            <w:tcW w:type="pct" w:w="17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Analytics events</w:t>
            </w:r>
          </w:p>
        </w:tc>
        <w:tc>
          <w:tcPr>
            <w:tcW w:type="pct" w:w="8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348</w:t>
            </w:r>
          </w:p>
        </w:tc>
      </w:tr>
      <w:tr>
        <w:trPr>
          <w:cantSplit/>
        </w:trPr>
        <w:tc>
          <w:tcPr>
            <w:tcW w:type="pct" w:w="1700"/>
            <w:tcBorders>
              <w:bottom w:val="single" w:color="1B6B7A" w:sz="2"/>
            </w:tcBorders>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Reading progress rows</w:t>
            </w:r>
          </w:p>
        </w:tc>
        <w:tc>
          <w:tcPr>
            <w:tcW w:type="pct" w:w="800"/>
            <w:tcBorders>
              <w:bottom w:val="single" w:color="1B6B7A" w:sz="2"/>
            </w:tcBorders>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6</w:t>
            </w:r>
          </w:p>
        </w:tc>
        <w:tc>
          <w:tcPr>
            <w:tcW w:type="pct" w:w="1700"/>
            <w:tcBorders>
              <w:bottom w:val="single" w:color="1B6B7A" w:sz="2"/>
            </w:tcBorders>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Arabic prose chapters (novels)</w:t>
            </w:r>
          </w:p>
        </w:tc>
        <w:tc>
          <w:tcPr>
            <w:tcW w:type="pct" w:w="800"/>
            <w:tcBorders>
              <w:bottom w:val="single" w:color="1B6B7A" w:sz="2"/>
            </w:tcBorders>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12</w:t>
            </w:r>
          </w:p>
        </w:tc>
      </w:tr>
    </w:tbl>
    <w:p>
      <w:pPr>
        <w:spacing w:after="0" w:before="0" w:line="40" w:lineRule="exact"/>
      </w:pPr>
      <w:r>
        <w:rPr>
          <w:sz w:val="2"/>
          <w:szCs w:val="2"/>
        </w:rPr>
        <w:t xml:space="preserve"/>
      </w:r>
    </w:p>
    <w:p>
      <w:pPr>
        <w:pStyle w:val="Heading2"/>
        <w:spacing w:after="120" w:before="240" w:line="312"/>
        <w:jc w:val="left"/>
      </w:pPr>
      <w:bookmarkStart w:id="100005" w:name="_Toc100005"/>
      <w:r>
        <w:rPr>
          <w:rFonts w:ascii="Times New Roman" w:eastAsia="SimHei" w:hAnsi="Times New Roman"/>
          <w:b/>
          <w:bCs/>
          <w:color w:val="0A1628"/>
          <w:sz w:val="30"/>
          <w:szCs w:val="30"/>
        </w:rPr>
        <w:t xml:space="preserve">2.4 Where the records live</w:t>
      </w:r>
      <w:bookmarkEnd w:id="100005"/>
    </w:p>
    <w:p>
      <w:pPr>
        <w:spacing w:after="120" w:line="312"/>
        <w:jc w:val="both"/>
      </w:pPr>
      <w:r>
        <w:rPr>
          <w:rFonts w:ascii="Times New Roman" w:eastAsia="SimSun" w:hAnsi="Times New Roman"/>
          <w:b w:val="false"/>
          <w:bCs w:val="false"/>
          <w:i w:val="false"/>
          <w:iCs w:val="false"/>
          <w:color w:val="000000"/>
          <w:sz w:val="24"/>
          <w:szCs w:val="24"/>
        </w:rPr>
        <w:t xml:space="preserve">Every claim in this report traces to a document in the repository, which keeps the audit trail continuous for any future collaborator. The most relevant records are listed below.</w:t>
      </w:r>
    </w:p>
    <w:p>
      <w:pPr>
        <w:keepNext/>
        <w:spacing w:after="80" w:before="200" w:line="312"/>
        <w:jc w:val="left"/>
      </w:pPr>
      <w:r>
        <w:rPr>
          <w:rFonts w:ascii="Times New Roman" w:eastAsia="SimSun" w:hAnsi="Times New Roman"/>
          <w:b/>
          <w:bCs/>
          <w:color w:val="505A68"/>
          <w:sz w:val="21"/>
          <w:szCs w:val="21"/>
        </w:rPr>
        <w:t xml:space="preserve">Table 5: Key project documents and their purpose</w:t>
      </w:r>
    </w:p>
    <w:tbl>
      <w:tblPr>
        <w:tblW w:type="pct" w:w="5000"/>
        <w:tblBorders>
          <w:top w:val="single" w:color="1B6B7A" w:sz="2"/>
          <w:left w:val="none" w:color="FFFFFF" w:sz="0"/>
          <w:bottom w:val="none" w:color="FFFFFF" w:sz="0"/>
          <w:right w:val="none" w:color="FFFFFF" w:sz="0"/>
          <w:insideH w:val="single" w:color="C8DDE2" w:sz="1"/>
          <w:insideV w:val="none" w:color="FFFFFF" w:sz="0"/>
        </w:tblBorders>
      </w:tblPr>
      <w:tblGrid>
        <w:gridCol w:w="3691"/>
        <w:gridCol w:w="5097"/>
      </w:tblGrid>
      <w:tr>
        <w:trPr>
          <w:cantSplit/>
          <w:tblHeader/>
        </w:trPr>
        <w:tc>
          <w:tcPr>
            <w:tcW w:type="pct" w:w="2100"/>
            <w:shd w:fill="1B6B7A" w:val="clear"/>
            <w:tcMar>
              <w:top w:type="dxa" w:w="60"/>
              <w:left w:type="dxa" w:w="120"/>
              <w:bottom w:type="dxa" w:w="60"/>
              <w:right w:type="dxa" w:w="120"/>
            </w:tcMar>
          </w:tcPr>
          <w:p>
            <w:pPr>
              <w:spacing w:line="312"/>
              <w:jc w:val="left"/>
            </w:pPr>
            <w:r>
              <w:rPr>
                <w:rFonts w:ascii="Times New Roman" w:eastAsia="SimSun" w:hAnsi="Times New Roman"/>
                <w:b/>
                <w:bCs/>
                <w:color w:val="FFFFFF"/>
                <w:sz w:val="21"/>
                <w:szCs w:val="21"/>
              </w:rPr>
              <w:t xml:space="preserve">Document</w:t>
            </w:r>
          </w:p>
        </w:tc>
        <w:tc>
          <w:tcPr>
            <w:tcW w:type="pct" w:w="2900"/>
            <w:shd w:fill="1B6B7A" w:val="clear"/>
            <w:tcMar>
              <w:top w:type="dxa" w:w="60"/>
              <w:left w:type="dxa" w:w="120"/>
              <w:bottom w:type="dxa" w:w="60"/>
              <w:right w:type="dxa" w:w="120"/>
            </w:tcMar>
          </w:tcPr>
          <w:p>
            <w:pPr>
              <w:spacing w:line="312"/>
              <w:jc w:val="left"/>
            </w:pPr>
            <w:r>
              <w:rPr>
                <w:rFonts w:ascii="Times New Roman" w:eastAsia="SimSun" w:hAnsi="Times New Roman"/>
                <w:b/>
                <w:bCs/>
                <w:color w:val="FFFFFF"/>
                <w:sz w:val="21"/>
                <w:szCs w:val="21"/>
              </w:rPr>
              <w:t xml:space="preserve">Purpose</w:t>
            </w:r>
          </w:p>
        </w:tc>
      </w:tr>
      <w:tr>
        <w:trPr>
          <w:cantSplit/>
        </w:trPr>
        <w:tc>
          <w:tcPr>
            <w:tcW w:type="pct" w:w="21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docs/PROTOTYPE_SCOPE.md</w:t>
            </w:r>
          </w:p>
        </w:tc>
        <w:tc>
          <w:tcPr>
            <w:tcW w:type="pct" w:w="29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Binding MVP feature inventory, non-goals, roles, routes and acceptance criteria</w:t>
            </w:r>
          </w:p>
        </w:tc>
      </w:tr>
      <w:tr>
        <w:trPr>
          <w:cantSplit/>
        </w:trPr>
        <w:tc>
          <w:tcPr>
            <w:tcW w:type="pct" w:w="21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docs/RELEASE_PLAN.md and RELEASE_B/C/D/E_REPORT.md</w:t>
            </w:r>
          </w:p>
        </w:tc>
        <w:tc>
          <w:tcPr>
            <w:tcW w:type="pct" w:w="29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Per-release scope, QA evidence tables and honest limitations</w:t>
            </w:r>
          </w:p>
        </w:tc>
      </w:tr>
      <w:tr>
        <w:trPr>
          <w:cantSplit/>
        </w:trPr>
        <w:tc>
          <w:tcPr>
            <w:tcW w:type="pct" w:w="21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docs/SECURITY_AUDIT.md</w:t>
            </w:r>
          </w:p>
        </w:tc>
        <w:tc>
          <w:tcPr>
            <w:tcW w:type="pct" w:w="29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Hardening record, accepted risks and the credential incident note</w:t>
            </w:r>
          </w:p>
        </w:tc>
      </w:tr>
      <w:tr>
        <w:trPr>
          <w:cantSplit/>
        </w:trPr>
        <w:tc>
          <w:tcPr>
            <w:tcW w:type="pct" w:w="21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docs/FOUNDER_DECISIONS.md</w:t>
            </w:r>
          </w:p>
        </w:tc>
        <w:tc>
          <w:tcPr>
            <w:tcW w:type="pct" w:w="29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Decision log FD-1 through FD-13, including legal guardrails</w:t>
            </w:r>
          </w:p>
        </w:tc>
      </w:tr>
      <w:tr>
        <w:trPr>
          <w:cantSplit/>
        </w:trPr>
        <w:tc>
          <w:tcPr>
            <w:tcW w:type="pct" w:w="2100"/>
            <w:tcBorders>
              <w:bottom w:val="single" w:color="1B6B7A" w:sz="2"/>
            </w:tcBorders>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README.md</w:t>
            </w:r>
          </w:p>
        </w:tc>
        <w:tc>
          <w:tcPr>
            <w:tcW w:type="pct" w:w="2900"/>
            <w:tcBorders>
              <w:bottom w:val="single" w:color="1B6B7A" w:sz="2"/>
            </w:tcBorders>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Setup, deploy runbook, demo accounts, verification commands and known limitations</w:t>
            </w:r>
          </w:p>
        </w:tc>
      </w:tr>
    </w:tbl>
    <w:p>
      <w:pPr>
        <w:spacing w:after="0" w:before="0" w:line="40" w:lineRule="exact"/>
      </w:pPr>
      <w:r>
        <w:rPr>
          <w:sz w:val="2"/>
          <w:szCs w:val="2"/>
        </w:rPr>
        <w:t xml:space="preserve"/>
      </w:r>
    </w:p>
    <w:p>
      <w:pPr>
        <w:pStyle w:val="Heading1"/>
        <w:spacing w:after="160" w:before="360" w:line="312"/>
        <w:jc w:val="center"/>
      </w:pPr>
      <w:bookmarkStart w:id="100006" w:name="_Toc100006"/>
      <w:r>
        <w:rPr>
          <w:rFonts w:ascii="Times New Roman" w:eastAsia="SimHei" w:hAnsi="Times New Roman"/>
          <w:b/>
          <w:bCs/>
          <w:color w:val="0A1628"/>
          <w:sz w:val="32"/>
          <w:szCs w:val="32"/>
        </w:rPr>
        <w:t xml:space="preserve">3. MVP Completeness Assessment</w:t>
      </w:r>
      <w:bookmarkEnd w:id="100006"/>
    </w:p>
    <w:p>
      <w:pPr>
        <w:pStyle w:val="Heading2"/>
        <w:spacing w:after="120" w:before="240" w:line="312"/>
        <w:jc w:val="left"/>
      </w:pPr>
      <w:bookmarkStart w:id="100007" w:name="_Toc100007"/>
      <w:r>
        <w:rPr>
          <w:rFonts w:ascii="Times New Roman" w:eastAsia="SimHei" w:hAnsi="Times New Roman"/>
          <w:b/>
          <w:bCs/>
          <w:color w:val="0A1628"/>
          <w:sz w:val="30"/>
          <w:szCs w:val="30"/>
        </w:rPr>
        <w:t xml:space="preserve">3.1 What the MVP was defined to include</w:t>
      </w:r>
      <w:bookmarkEnd w:id="100007"/>
    </w:p>
    <w:p>
      <w:pPr>
        <w:spacing w:after="120" w:line="312"/>
        <w:jc w:val="both"/>
      </w:pPr>
      <w:r>
        <w:rPr>
          <w:rFonts w:ascii="Times New Roman" w:eastAsia="SimSun" w:hAnsi="Times New Roman"/>
          <w:b w:val="false"/>
          <w:bCs w:val="false"/>
          <w:i w:val="false"/>
          <w:iCs w:val="false"/>
          <w:color w:val="000000"/>
          <w:sz w:val="24"/>
          <w:szCs w:val="24"/>
        </w:rPr>
        <w:t xml:space="preserve">The MVP definition was fixed in docs/PROTOTYPE_SCOPE.md before any build started: a public reader experience (items P-01 to P-13), a seven-screen admin panel (A-01 to A-07) and five platform items (S-01 to S-05), each governed by acceptance criteria covering RTL correctness, responsive behaviour at 360, 768 and 1280 pixels, accessibility, and legal safety. Because the scope also fixed the explicit non-goals, the question of missing features can be answered with evidence rather than opinion.</w:t>
      </w:r>
    </w:p>
    <w:p>
      <w:pPr>
        <w:keepNext/>
        <w:spacing w:after="80" w:before="200" w:line="312"/>
        <w:jc w:val="left"/>
      </w:pPr>
      <w:r>
        <w:rPr>
          <w:rFonts w:ascii="Times New Roman" w:eastAsia="SimSun" w:hAnsi="Times New Roman"/>
          <w:b/>
          <w:bCs/>
          <w:color w:val="505A68"/>
          <w:sz w:val="21"/>
          <w:szCs w:val="21"/>
        </w:rPr>
        <w:t xml:space="preserve">Table 6: Approved prototype scope and delivery status</w:t>
      </w:r>
    </w:p>
    <w:tbl>
      <w:tblPr>
        <w:tblW w:type="pct" w:w="5000"/>
        <w:tblBorders>
          <w:top w:val="single" w:color="1B6B7A" w:sz="2"/>
          <w:left w:val="none" w:color="FFFFFF" w:sz="0"/>
          <w:bottom w:val="none" w:color="FFFFFF" w:sz="0"/>
          <w:right w:val="none" w:color="FFFFFF" w:sz="0"/>
          <w:insideH w:val="single" w:color="C8DDE2" w:sz="1"/>
          <w:insideV w:val="none" w:color="FFFFFF" w:sz="0"/>
        </w:tblBorders>
      </w:tblPr>
      <w:tblGrid>
        <w:gridCol w:w="1933"/>
        <w:gridCol w:w="4394"/>
        <w:gridCol w:w="2461"/>
      </w:tblGrid>
      <w:tr>
        <w:trPr>
          <w:cantSplit/>
          <w:tblHeader/>
        </w:trPr>
        <w:tc>
          <w:tcPr>
            <w:tcW w:type="pct" w:w="1100"/>
            <w:shd w:fill="1B6B7A" w:val="clear"/>
            <w:tcMar>
              <w:top w:type="dxa" w:w="60"/>
              <w:left w:type="dxa" w:w="120"/>
              <w:bottom w:type="dxa" w:w="60"/>
              <w:right w:type="dxa" w:w="120"/>
            </w:tcMar>
          </w:tcPr>
          <w:p>
            <w:pPr>
              <w:spacing w:line="312"/>
              <w:jc w:val="left"/>
            </w:pPr>
            <w:r>
              <w:rPr>
                <w:rFonts w:ascii="Times New Roman" w:eastAsia="SimSun" w:hAnsi="Times New Roman"/>
                <w:b/>
                <w:bCs/>
                <w:color w:val="FFFFFF"/>
                <w:sz w:val="21"/>
                <w:szCs w:val="21"/>
              </w:rPr>
              <w:t xml:space="preserve">Scope block</w:t>
            </w:r>
          </w:p>
        </w:tc>
        <w:tc>
          <w:tcPr>
            <w:tcW w:type="pct" w:w="2500"/>
            <w:shd w:fill="1B6B7A" w:val="clear"/>
            <w:tcMar>
              <w:top w:type="dxa" w:w="60"/>
              <w:left w:type="dxa" w:w="120"/>
              <w:bottom w:type="dxa" w:w="60"/>
              <w:right w:type="dxa" w:w="120"/>
            </w:tcMar>
          </w:tcPr>
          <w:p>
            <w:pPr>
              <w:spacing w:line="312"/>
              <w:jc w:val="left"/>
            </w:pPr>
            <w:r>
              <w:rPr>
                <w:rFonts w:ascii="Times New Roman" w:eastAsia="SimSun" w:hAnsi="Times New Roman"/>
                <w:b/>
                <w:bCs/>
                <w:color w:val="FFFFFF"/>
                <w:sz w:val="21"/>
                <w:szCs w:val="21"/>
              </w:rPr>
              <w:t xml:space="preserve">Items</w:t>
            </w:r>
          </w:p>
        </w:tc>
        <w:tc>
          <w:tcPr>
            <w:tcW w:type="pct" w:w="1400"/>
            <w:shd w:fill="1B6B7A" w:val="clear"/>
            <w:tcMar>
              <w:top w:type="dxa" w:w="60"/>
              <w:left w:type="dxa" w:w="120"/>
              <w:bottom w:type="dxa" w:w="60"/>
              <w:right w:type="dxa" w:w="120"/>
            </w:tcMar>
          </w:tcPr>
          <w:p>
            <w:pPr>
              <w:spacing w:line="312"/>
              <w:jc w:val="left"/>
            </w:pPr>
            <w:r>
              <w:rPr>
                <w:rFonts w:ascii="Times New Roman" w:eastAsia="SimSun" w:hAnsi="Times New Roman"/>
                <w:b/>
                <w:bCs/>
                <w:color w:val="FFFFFF"/>
                <w:sz w:val="21"/>
                <w:szCs w:val="21"/>
              </w:rPr>
              <w:t xml:space="preserve">Status</w:t>
            </w:r>
          </w:p>
        </w:tc>
      </w:tr>
      <w:tr>
        <w:trPr>
          <w:cantSplit/>
        </w:trPr>
        <w:tc>
          <w:tcPr>
            <w:tcW w:type="pct" w:w="11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Public reader experience</w:t>
            </w:r>
          </w:p>
        </w:tc>
        <w:tc>
          <w:tcPr>
            <w:tcW w:type="pct" w:w="25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P-01 to P-13 (home, explore, series, three readers, library, updates, profile, auth, mobile navigation, demo disclosure)</w:t>
            </w:r>
          </w:p>
        </w:tc>
        <w:tc>
          <w:tcPr>
            <w:tcW w:type="pct" w:w="14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All shipped in Releases A-B and re-verified since</w:t>
            </w:r>
          </w:p>
        </w:tc>
      </w:tr>
      <w:tr>
        <w:trPr>
          <w:cantSplit/>
        </w:trPr>
        <w:tc>
          <w:tcPr>
            <w:tcW w:type="pct" w:w="11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Admin panel</w:t>
            </w:r>
          </w:p>
        </w:tc>
        <w:tc>
          <w:tcPr>
            <w:tcW w:type="pct" w:w="25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A-01 to A-07 (dashboard, series management, chapters and workflow, moderation, collections, users and roles)</w:t>
            </w:r>
          </w:p>
        </w:tc>
        <w:tc>
          <w:tcPr>
            <w:tcW w:type="pct" w:w="14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All shipped in Releases A-B</w:t>
            </w:r>
          </w:p>
        </w:tc>
      </w:tr>
      <w:tr>
        <w:trPr>
          <w:cantSplit/>
        </w:trPr>
        <w:tc>
          <w:tcPr>
            <w:tcW w:type="pct" w:w="1100"/>
            <w:tcBorders>
              <w:bottom w:val="single" w:color="1B6B7A" w:sz="2"/>
            </w:tcBorders>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Platform</w:t>
            </w:r>
          </w:p>
        </w:tc>
        <w:tc>
          <w:tcPr>
            <w:tcW w:type="pct" w:w="2500"/>
            <w:tcBorders>
              <w:bottom w:val="single" w:color="1B6B7A" w:sz="2"/>
            </w:tcBorders>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S-01 to S-05 (schema, authorization, seed, original art, design system)</w:t>
            </w:r>
          </w:p>
        </w:tc>
        <w:tc>
          <w:tcPr>
            <w:tcW w:type="pct" w:w="1400"/>
            <w:tcBorders>
              <w:bottom w:val="single" w:color="1B6B7A" w:sz="2"/>
            </w:tcBorders>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Shipped with one documented pivot (below)</w:t>
            </w:r>
          </w:p>
        </w:tc>
      </w:tr>
    </w:tbl>
    <w:p>
      <w:pPr>
        <w:spacing w:after="0" w:before="0" w:line="40" w:lineRule="exact"/>
      </w:pPr>
      <w:r>
        <w:rPr>
          <w:sz w:val="2"/>
          <w:szCs w:val="2"/>
        </w:rPr>
        <w:t xml:space="preserve"/>
      </w:r>
    </w:p>
    <w:p>
      <w:pPr>
        <w:spacing w:after="120" w:line="312"/>
        <w:jc w:val="both"/>
      </w:pPr>
      <w:r>
        <w:rPr>
          <w:rFonts w:ascii="Times New Roman" w:eastAsia="SimSun" w:hAnsi="Times New Roman"/>
          <w:b w:val="false"/>
          <w:bCs w:val="false"/>
          <w:i w:val="false"/>
          <w:iCs w:val="false"/>
          <w:color w:val="000000"/>
          <w:sz w:val="24"/>
          <w:szCs w:val="24"/>
        </w:rPr>
        <w:t xml:space="preserve">One pivot is recorded honestly rather than hidden: the original plan named Supabase with database-level row-level security for the schema and authorization items, and the platform instead migrated to Neon PostgreSQL with versioned Prisma migrations under founder decision D-28. Row-level authorization is therefore enforced by the application in three layers — middleware, the admin layout guard, and requireRole checks inside every admin query and server action — a trade-off documented in the README enforcement table. Every other platform item, including the idempotent 12-series seed, the generated original art and the RTL design system, shipped as specified.</w:t>
      </w:r>
    </w:p>
    <w:p>
      <w:pPr>
        <w:pStyle w:val="Heading2"/>
        <w:spacing w:after="120" w:before="240" w:line="312"/>
        <w:jc w:val="left"/>
      </w:pPr>
      <w:bookmarkStart w:id="100008" w:name="_Toc100008"/>
      <w:r>
        <w:rPr>
          <w:rFonts w:ascii="Times New Roman" w:eastAsia="SimHei" w:hAnsi="Times New Roman"/>
          <w:b/>
          <w:bCs/>
          <w:color w:val="0A1628"/>
          <w:sz w:val="30"/>
          <w:szCs w:val="30"/>
        </w:rPr>
        <w:t xml:space="preserve">3.2 Beyond the MVP</w:t>
      </w:r>
      <w:bookmarkEnd w:id="100008"/>
    </w:p>
    <w:p>
      <w:pPr>
        <w:spacing w:after="120" w:line="312"/>
        <w:jc w:val="both"/>
      </w:pPr>
      <w:r>
        <w:rPr>
          <w:rFonts w:ascii="Times New Roman" w:eastAsia="SimSun" w:hAnsi="Times New Roman"/>
          <w:b w:val="false"/>
          <w:bCs w:val="false"/>
          <w:i w:val="false"/>
          <w:iCs w:val="false"/>
          <w:color w:val="000000"/>
          <w:sz w:val="24"/>
          <w:szCs w:val="24"/>
        </w:rPr>
        <w:t xml:space="preserve">Two further releases delivered features that were never part of the MVP inventory and were approved later through the value-proposition menu. Release D added zero-schema personalization: a For You rail whose every card carries an Arabic reason anchor derived from the reader's own history, plus reading streaks, statistics and eight deterministic badges. Release E shipped the entire remaining menu in a single migration: the notification center, chapter-level comments with comment likes, Arabic smart search with normalization and typo tolerance, RTL share cards with per-series Open Graph images, and a read-only creator studio for editors. Taken together, the platform today is well past its original MVP definition.</w:t>
      </w:r>
    </w:p>
    <w:p>
      <w:pPr>
        <w:pStyle w:val="Heading2"/>
        <w:spacing w:after="120" w:before="240" w:line="312"/>
        <w:jc w:val="left"/>
      </w:pPr>
      <w:bookmarkStart w:id="100009" w:name="_Toc100009"/>
      <w:r>
        <w:rPr>
          <w:rFonts w:ascii="Times New Roman" w:eastAsia="SimHei" w:hAnsi="Times New Roman"/>
          <w:b/>
          <w:bCs/>
          <w:color w:val="0A1628"/>
          <w:sz w:val="30"/>
          <w:szCs w:val="30"/>
        </w:rPr>
        <w:t xml:space="preserve">3.3 Explicitly deferred — absent on purpose, not missing</w:t>
      </w:r>
      <w:bookmarkEnd w:id="100009"/>
    </w:p>
    <w:p>
      <w:pPr>
        <w:spacing w:after="120" w:line="312"/>
        <w:jc w:val="both"/>
      </w:pPr>
      <w:r>
        <w:rPr>
          <w:rFonts w:ascii="Times New Roman" w:eastAsia="SimSun" w:hAnsi="Times New Roman"/>
          <w:b w:val="false"/>
          <w:bCs w:val="false"/>
          <w:i w:val="false"/>
          <w:iCs w:val="false"/>
          <w:color w:val="000000"/>
          <w:sz w:val="24"/>
          <w:szCs w:val="24"/>
        </w:rPr>
        <w:t xml:space="preserve">Several capabilities are absent by design, and listing them prevents them from being mistaken for gaps. Each deferral carries a rationale that was accepted when the scope was fixed and restated in every release report since.</w:t>
      </w:r>
    </w:p>
    <w:p>
      <w:pPr>
        <w:keepNext/>
        <w:spacing w:after="80" w:before="200" w:line="312"/>
        <w:jc w:val="left"/>
      </w:pPr>
      <w:r>
        <w:rPr>
          <w:rFonts w:ascii="Times New Roman" w:eastAsia="SimSun" w:hAnsi="Times New Roman"/>
          <w:b/>
          <w:bCs/>
          <w:color w:val="505A68"/>
          <w:sz w:val="21"/>
          <w:szCs w:val="21"/>
        </w:rPr>
        <w:t xml:space="preserve">Table 7: Deferred-by-design items and their rationale</w:t>
      </w:r>
    </w:p>
    <w:tbl>
      <w:tblPr>
        <w:tblW w:type="pct" w:w="5000"/>
        <w:tblBorders>
          <w:top w:val="single" w:color="1B6B7A" w:sz="2"/>
          <w:left w:val="none" w:color="FFFFFF" w:sz="0"/>
          <w:bottom w:val="none" w:color="FFFFFF" w:sz="0"/>
          <w:right w:val="none" w:color="FFFFFF" w:sz="0"/>
          <w:insideH w:val="single" w:color="C8DDE2" w:sz="1"/>
          <w:insideV w:val="none" w:color="FFFFFF" w:sz="0"/>
        </w:tblBorders>
      </w:tblPr>
      <w:tblGrid>
        <w:gridCol w:w="2636"/>
        <w:gridCol w:w="2109"/>
        <w:gridCol w:w="4042"/>
      </w:tblGrid>
      <w:tr>
        <w:trPr>
          <w:cantSplit/>
          <w:tblHeader/>
        </w:trPr>
        <w:tc>
          <w:tcPr>
            <w:tcW w:type="pct" w:w="1500"/>
            <w:shd w:fill="1B6B7A" w:val="clear"/>
            <w:tcMar>
              <w:top w:type="dxa" w:w="60"/>
              <w:left w:type="dxa" w:w="120"/>
              <w:bottom w:type="dxa" w:w="60"/>
              <w:right w:type="dxa" w:w="120"/>
            </w:tcMar>
          </w:tcPr>
          <w:p>
            <w:pPr>
              <w:spacing w:line="312"/>
              <w:jc w:val="left"/>
            </w:pPr>
            <w:r>
              <w:rPr>
                <w:rFonts w:ascii="Times New Roman" w:eastAsia="SimSun" w:hAnsi="Times New Roman"/>
                <w:b/>
                <w:bCs/>
                <w:color w:val="FFFFFF"/>
                <w:sz w:val="21"/>
                <w:szCs w:val="21"/>
              </w:rPr>
              <w:t xml:space="preserve">Feature</w:t>
            </w:r>
          </w:p>
        </w:tc>
        <w:tc>
          <w:tcPr>
            <w:tcW w:type="pct" w:w="1200"/>
            <w:shd w:fill="1B6B7A" w:val="clear"/>
            <w:tcMar>
              <w:top w:type="dxa" w:w="60"/>
              <w:left w:type="dxa" w:w="120"/>
              <w:bottom w:type="dxa" w:w="60"/>
              <w:right w:type="dxa" w:w="120"/>
            </w:tcMar>
          </w:tcPr>
          <w:p>
            <w:pPr>
              <w:spacing w:line="312"/>
              <w:jc w:val="left"/>
            </w:pPr>
            <w:r>
              <w:rPr>
                <w:rFonts w:ascii="Times New Roman" w:eastAsia="SimSun" w:hAnsi="Times New Roman"/>
                <w:b/>
                <w:bCs/>
                <w:color w:val="FFFFFF"/>
                <w:sz w:val="21"/>
                <w:szCs w:val="21"/>
              </w:rPr>
              <w:t xml:space="preserve">Status</w:t>
            </w:r>
          </w:p>
        </w:tc>
        <w:tc>
          <w:tcPr>
            <w:tcW w:type="pct" w:w="2300"/>
            <w:shd w:fill="1B6B7A" w:val="clear"/>
            <w:tcMar>
              <w:top w:type="dxa" w:w="60"/>
              <w:left w:type="dxa" w:w="120"/>
              <w:bottom w:type="dxa" w:w="60"/>
              <w:right w:type="dxa" w:w="120"/>
            </w:tcMar>
          </w:tcPr>
          <w:p>
            <w:pPr>
              <w:spacing w:line="312"/>
              <w:jc w:val="left"/>
            </w:pPr>
            <w:r>
              <w:rPr>
                <w:rFonts w:ascii="Times New Roman" w:eastAsia="SimSun" w:hAnsi="Times New Roman"/>
                <w:b/>
                <w:bCs/>
                <w:color w:val="FFFFFF"/>
                <w:sz w:val="21"/>
                <w:szCs w:val="21"/>
              </w:rPr>
              <w:t xml:space="preserve">Rationale</w:t>
            </w:r>
          </w:p>
        </w:tc>
      </w:tr>
      <w:tr>
        <w:trPr>
          <w:cantSplit/>
        </w:trPr>
        <w:tc>
          <w:tcPr>
            <w:tcW w:type="pct" w:w="15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Payments and subscriptions</w:t>
            </w:r>
          </w:p>
        </w:tc>
        <w:tc>
          <w:tcPr>
            <w:tcW w:type="pct" w:w="12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Deferred behind a lawyer gate</w:t>
            </w:r>
          </w:p>
        </w:tc>
        <w:tc>
          <w:tcPr>
            <w:tcW w:type="pct" w:w="23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No purchase flow may exist without legal review; nothing purchasable is reachable anywhere in the product</w:t>
            </w:r>
          </w:p>
        </w:tc>
      </w:tr>
      <w:tr>
        <w:trPr>
          <w:cantSplit/>
        </w:trPr>
        <w:tc>
          <w:tcPr>
            <w:tcW w:type="pct" w:w="15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Licensed or real content</w:t>
            </w:r>
          </w:p>
        </w:tc>
        <w:tc>
          <w:tcPr>
            <w:tcW w:type="pct" w:w="12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Forbidden by guardrail</w:t>
            </w:r>
          </w:p>
        </w:tc>
        <w:tc>
          <w:tcPr>
            <w:tcW w:type="pct" w:w="23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100 percent original fiction is binding; scope extends this to public-domain translations</w:t>
            </w:r>
          </w:p>
        </w:tc>
      </w:tr>
      <w:tr>
        <w:trPr>
          <w:cantSplit/>
        </w:trPr>
        <w:tc>
          <w:tcPr>
            <w:tcW w:type="pct" w:w="15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Downloads and offline files</w:t>
            </w:r>
          </w:p>
        </w:tc>
        <w:tc>
          <w:tcPr>
            <w:tcW w:type="pct" w:w="12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Deferred</w:t>
            </w:r>
          </w:p>
        </w:tc>
        <w:tc>
          <w:tcPr>
            <w:tcW w:type="pct" w:w="23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Legal exposure plus out of prototype scope</w:t>
            </w:r>
          </w:p>
        </w:tc>
      </w:tr>
      <w:tr>
        <w:trPr>
          <w:cantSplit/>
        </w:trPr>
        <w:tc>
          <w:tcPr>
            <w:tcW w:type="pct" w:w="15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Social graph (follows, direct messages, forums)</w:t>
            </w:r>
          </w:p>
        </w:tc>
        <w:tc>
          <w:tcPr>
            <w:tcW w:type="pct" w:w="12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Deferred</w:t>
            </w:r>
          </w:p>
        </w:tc>
        <w:tc>
          <w:tcPr>
            <w:tcW w:type="pct" w:w="23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Moderation surface grows non-linearly; comments are the approved community scope</w:t>
            </w:r>
          </w:p>
        </w:tc>
      </w:tr>
      <w:tr>
        <w:trPr>
          <w:cantSplit/>
        </w:trPr>
        <w:tc>
          <w:tcPr>
            <w:tcW w:type="pct" w:w="15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Multi-language interface</w:t>
            </w:r>
          </w:p>
        </w:tc>
        <w:tc>
          <w:tcPr>
            <w:tcW w:type="pct" w:w="12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Deferred (D-02)</w:t>
            </w:r>
          </w:p>
        </w:tc>
        <w:tc>
          <w:tcPr>
            <w:tcW w:type="pct" w:w="23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Arabic-first is the product identity</w:t>
            </w:r>
          </w:p>
        </w:tc>
      </w:tr>
      <w:tr>
        <w:trPr>
          <w:cantSplit/>
        </w:trPr>
        <w:tc>
          <w:tcPr>
            <w:tcW w:type="pct" w:w="15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Mobile applications</w:t>
            </w:r>
          </w:p>
        </w:tc>
        <w:tc>
          <w:tcPr>
            <w:tcW w:type="pct" w:w="12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Deferred</w:t>
            </w:r>
          </w:p>
        </w:tc>
        <w:tc>
          <w:tcPr>
            <w:tcW w:type="pct" w:w="23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Web prototype first</w:t>
            </w:r>
          </w:p>
        </w:tc>
      </w:tr>
      <w:tr>
        <w:trPr>
          <w:cantSplit/>
        </w:trPr>
        <w:tc>
          <w:tcPr>
            <w:tcW w:type="pct" w:w="1500"/>
            <w:tcBorders>
              <w:bottom w:val="single" w:color="1B6B7A" w:sz="2"/>
            </w:tcBorders>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Email verification and OTP</w:t>
            </w:r>
          </w:p>
        </w:tc>
        <w:tc>
          <w:tcPr>
            <w:tcW w:type="pct" w:w="1200"/>
            <w:tcBorders>
              <w:bottom w:val="single" w:color="1B6B7A" w:sz="2"/>
            </w:tcBorders>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Prototype non-goal</w:t>
            </w:r>
          </w:p>
        </w:tc>
        <w:tc>
          <w:tcPr>
            <w:tcW w:type="pct" w:w="2300"/>
            <w:tcBorders>
              <w:bottom w:val="single" w:color="1B6B7A" w:sz="2"/>
            </w:tcBorders>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Documented demo accounts only</w:t>
            </w:r>
          </w:p>
        </w:tc>
      </w:tr>
    </w:tbl>
    <w:p>
      <w:pPr>
        <w:spacing w:after="0" w:before="0" w:line="40" w:lineRule="exact"/>
      </w:pPr>
      <w:r>
        <w:rPr>
          <w:sz w:val="2"/>
          <w:szCs w:val="2"/>
        </w:rPr>
        <w:t xml:space="preserve"/>
      </w:r>
    </w:p>
    <w:p>
      <w:pPr>
        <w:pStyle w:val="Heading2"/>
        <w:spacing w:after="120" w:before="240" w:line="312"/>
        <w:jc w:val="left"/>
      </w:pPr>
      <w:bookmarkStart w:id="100010" w:name="_Toc100010"/>
      <w:r>
        <w:rPr>
          <w:rFonts w:ascii="Times New Roman" w:eastAsia="SimHei" w:hAnsi="Times New Roman"/>
          <w:b/>
          <w:bCs/>
          <w:color w:val="0A1628"/>
          <w:sz w:val="30"/>
          <w:szCs w:val="30"/>
        </w:rPr>
        <w:t xml:space="preserve">3.4 Production hardening still outstanding</w:t>
      </w:r>
      <w:bookmarkEnd w:id="100010"/>
    </w:p>
    <w:p>
      <w:pPr>
        <w:spacing w:after="120" w:line="312"/>
        <w:jc w:val="both"/>
      </w:pPr>
      <w:r>
        <w:rPr>
          <w:rFonts w:ascii="Times New Roman" w:eastAsia="SimSun" w:hAnsi="Times New Roman"/>
          <w:b w:val="false"/>
          <w:bCs w:val="false"/>
          <w:i w:val="false"/>
          <w:iCs w:val="false"/>
          <w:color w:val="000000"/>
          <w:sz w:val="24"/>
          <w:szCs w:val="24"/>
        </w:rPr>
        <w:t xml:space="preserve">Finally, there is a short list of items a real user base would want on day one but a prototype does not require, and none of them block a deployment of the current demo. They are scheduled in the continuation plan in Chapter 7: login and comment rate limiting, password recovery (which needs an email-channel decision), monitoring activation behind the existing Sentry and PostHog stubs, a consent banner, and final PDPL, Terms of Service and DMCA template language, which requires a lawyer. The verdict of this chapter is therefore firm: the MVP is complete relative to the approved scope, and the honest label for everything remaining is hardening and legal preparation, not missing MVP features.</w:t>
      </w:r>
    </w:p>
    <w:p>
      <w:pPr>
        <w:pStyle w:val="Heading1"/>
        <w:spacing w:after="160" w:before="360" w:line="312"/>
        <w:jc w:val="center"/>
      </w:pPr>
      <w:bookmarkStart w:id="100011" w:name="_Toc100011"/>
      <w:r>
        <w:rPr>
          <w:rFonts w:ascii="Times New Roman" w:eastAsia="SimHei" w:hAnsi="Times New Roman"/>
          <w:b/>
          <w:bCs/>
          <w:color w:val="0A1628"/>
          <w:sz w:val="32"/>
          <w:szCs w:val="32"/>
        </w:rPr>
        <w:t xml:space="preserve">4. Community Features — Built or Not?</w:t>
      </w:r>
      <w:bookmarkEnd w:id="100011"/>
    </w:p>
    <w:p>
      <w:pPr>
        <w:spacing w:after="120" w:line="312"/>
        <w:jc w:val="both"/>
      </w:pPr>
      <w:r>
        <w:rPr>
          <w:rFonts w:ascii="Times New Roman" w:eastAsia="SimSun" w:hAnsi="Times New Roman"/>
          <w:b w:val="false"/>
          <w:bCs w:val="false"/>
          <w:i w:val="false"/>
          <w:iCs w:val="false"/>
          <w:color w:val="000000"/>
          <w:sz w:val="24"/>
          <w:szCs w:val="24"/>
        </w:rPr>
        <w:t xml:space="preserve">Yes — the community layer is built, shipped and browser-verified. It was delivered in two passes: Release B introduced comments, ratings, reporting and moderation, and Release E completed the loop with comment likes, chapter-scoped commenting inside all three readers, and a full notification center. Every feature in the table below was re-verified end to end in the Release E QA run against a real PostgreSQL 18 instance, including optimistic interface behaviour and database-backed state.</w:t>
      </w:r>
    </w:p>
    <w:p>
      <w:pPr>
        <w:keepNext/>
        <w:spacing w:after="80" w:before="200" w:line="312"/>
        <w:jc w:val="left"/>
      </w:pPr>
      <w:r>
        <w:rPr>
          <w:rFonts w:ascii="Times New Roman" w:eastAsia="SimSun" w:hAnsi="Times New Roman"/>
          <w:b/>
          <w:bCs/>
          <w:color w:val="505A68"/>
          <w:sz w:val="21"/>
          <w:szCs w:val="21"/>
        </w:rPr>
        <w:t xml:space="preserve">Table 8: Community feature matrix</w:t>
      </w:r>
    </w:p>
    <w:tbl>
      <w:tblPr>
        <w:tblW w:type="pct" w:w="5000"/>
        <w:tblBorders>
          <w:top w:val="single" w:color="1B6B7A" w:sz="2"/>
          <w:left w:val="none" w:color="FFFFFF" w:sz="0"/>
          <w:bottom w:val="none" w:color="FFFFFF" w:sz="0"/>
          <w:right w:val="none" w:color="FFFFFF" w:sz="0"/>
          <w:insideH w:val="single" w:color="C8DDE2" w:sz="1"/>
          <w:insideV w:val="none" w:color="FFFFFF" w:sz="0"/>
        </w:tblBorders>
      </w:tblPr>
      <w:tblGrid>
        <w:gridCol w:w="1933"/>
        <w:gridCol w:w="5449"/>
        <w:gridCol w:w="1406"/>
      </w:tblGrid>
      <w:tr>
        <w:trPr>
          <w:cantSplit/>
          <w:tblHeader/>
        </w:trPr>
        <w:tc>
          <w:tcPr>
            <w:tcW w:type="pct" w:w="1100"/>
            <w:shd w:fill="1B6B7A" w:val="clear"/>
            <w:tcMar>
              <w:top w:type="dxa" w:w="60"/>
              <w:left w:type="dxa" w:w="120"/>
              <w:bottom w:type="dxa" w:w="60"/>
              <w:right w:type="dxa" w:w="120"/>
            </w:tcMar>
          </w:tcPr>
          <w:p>
            <w:pPr>
              <w:spacing w:line="312"/>
              <w:jc w:val="left"/>
            </w:pPr>
            <w:r>
              <w:rPr>
                <w:rFonts w:ascii="Times New Roman" w:eastAsia="SimSun" w:hAnsi="Times New Roman"/>
                <w:b/>
                <w:bCs/>
                <w:color w:val="FFFFFF"/>
                <w:sz w:val="21"/>
                <w:szCs w:val="21"/>
              </w:rPr>
              <w:t xml:space="preserve">Feature</w:t>
            </w:r>
          </w:p>
        </w:tc>
        <w:tc>
          <w:tcPr>
            <w:tcW w:type="pct" w:w="3100"/>
            <w:shd w:fill="1B6B7A" w:val="clear"/>
            <w:tcMar>
              <w:top w:type="dxa" w:w="60"/>
              <w:left w:type="dxa" w:w="120"/>
              <w:bottom w:type="dxa" w:w="60"/>
              <w:right w:type="dxa" w:w="120"/>
            </w:tcMar>
          </w:tcPr>
          <w:p>
            <w:pPr>
              <w:spacing w:line="312"/>
              <w:jc w:val="left"/>
            </w:pPr>
            <w:r>
              <w:rPr>
                <w:rFonts w:ascii="Times New Roman" w:eastAsia="SimSun" w:hAnsi="Times New Roman"/>
                <w:b/>
                <w:bCs/>
                <w:color w:val="FFFFFF"/>
                <w:sz w:val="21"/>
                <w:szCs w:val="21"/>
              </w:rPr>
              <w:t xml:space="preserve">Where it lives</w:t>
            </w:r>
          </w:p>
        </w:tc>
        <w:tc>
          <w:tcPr>
            <w:tcW w:type="pct" w:w="800"/>
            <w:shd w:fill="1B6B7A" w:val="clear"/>
            <w:tcMar>
              <w:top w:type="dxa" w:w="60"/>
              <w:left w:type="dxa" w:w="120"/>
              <w:bottom w:type="dxa" w:w="60"/>
              <w:right w:type="dxa" w:w="120"/>
            </w:tcMar>
          </w:tcPr>
          <w:p>
            <w:pPr>
              <w:spacing w:line="312"/>
              <w:jc w:val="left"/>
            </w:pPr>
            <w:r>
              <w:rPr>
                <w:rFonts w:ascii="Times New Roman" w:eastAsia="SimSun" w:hAnsi="Times New Roman"/>
                <w:b/>
                <w:bCs/>
                <w:color w:val="FFFFFF"/>
                <w:sz w:val="21"/>
                <w:szCs w:val="21"/>
              </w:rPr>
              <w:t xml:space="preserve">Shipped in</w:t>
            </w:r>
          </w:p>
        </w:tc>
      </w:tr>
      <w:tr>
        <w:trPr>
          <w:cantSplit/>
        </w:trPr>
        <w:tc>
          <w:tcPr>
            <w:tcW w:type="pct" w:w="11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Comments, series scope</w:t>
            </w:r>
          </w:p>
        </w:tc>
        <w:tc>
          <w:tcPr>
            <w:tcW w:type="pct" w:w="31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Series page discussion thread below the chapter list</w:t>
            </w:r>
          </w:p>
        </w:tc>
        <w:tc>
          <w:tcPr>
            <w:tcW w:type="pct" w:w="8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B</w:t>
            </w:r>
          </w:p>
        </w:tc>
      </w:tr>
      <w:tr>
        <w:trPr>
          <w:cantSplit/>
        </w:trPr>
        <w:tc>
          <w:tcPr>
            <w:tcW w:type="pct" w:w="11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Comments, chapter scope</w:t>
            </w:r>
          </w:p>
        </w:tc>
        <w:tc>
          <w:tcPr>
            <w:tcW w:type="pct" w:w="31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All three readers: inline at the chapter end for webtoon; header-trigger dialog for manga and novel</w:t>
            </w:r>
          </w:p>
        </w:tc>
        <w:tc>
          <w:tcPr>
            <w:tcW w:type="pct" w:w="8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E</w:t>
            </w:r>
          </w:p>
        </w:tc>
      </w:tr>
      <w:tr>
        <w:trPr>
          <w:cantSplit/>
        </w:trPr>
        <w:tc>
          <w:tcPr>
            <w:tcW w:type="pct" w:w="11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Comment likes</w:t>
            </w:r>
          </w:p>
        </w:tc>
        <w:tc>
          <w:tcPr>
            <w:tcW w:type="pct" w:w="31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Every comment; one like per profile per comment enforced by a compound unique index; optimistic toggle with rollback</w:t>
            </w:r>
          </w:p>
        </w:tc>
        <w:tc>
          <w:tcPr>
            <w:tcW w:type="pct" w:w="8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E</w:t>
            </w:r>
          </w:p>
        </w:tc>
      </w:tr>
      <w:tr>
        <w:trPr>
          <w:cantSplit/>
        </w:trPr>
        <w:tc>
          <w:tcPr>
            <w:tcW w:type="pct" w:w="11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Ratings</w:t>
            </w:r>
          </w:p>
        </w:tc>
        <w:tc>
          <w:tcPr>
            <w:tcW w:type="pct" w:w="31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Series pages; five stars with aggregates recomputed on every write</w:t>
            </w:r>
          </w:p>
        </w:tc>
        <w:tc>
          <w:tcPr>
            <w:tcW w:type="pct" w:w="8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B</w:t>
            </w:r>
          </w:p>
        </w:tc>
      </w:tr>
      <w:tr>
        <w:trPr>
          <w:cantSplit/>
        </w:trPr>
        <w:tc>
          <w:tcPr>
            <w:tcW w:type="pct" w:w="11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Report and moderation</w:t>
            </w:r>
          </w:p>
        </w:tc>
        <w:tc>
          <w:tcPr>
            <w:tcW w:type="pct" w:w="31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Report flow on any comment; admin queue with flagged, hidden and visible states; hide, restore and delete (delete is admin-only)</w:t>
            </w:r>
          </w:p>
        </w:tc>
        <w:tc>
          <w:tcPr>
            <w:tcW w:type="pct" w:w="8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B</w:t>
            </w:r>
          </w:p>
        </w:tc>
      </w:tr>
      <w:tr>
        <w:trPr>
          <w:cantSplit/>
        </w:trPr>
        <w:tc>
          <w:tcPr>
            <w:tcW w:type="pct" w:w="11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Notification center</w:t>
            </w:r>
          </w:p>
        </w:tc>
        <w:tc>
          <w:tcPr>
            <w:tcW w:type="pct" w:w="31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Header bell with unread badge and dropdown feed, full notifications page, mark-read on click and mark-all; server-side fan-out on chapter publish and on comment likes</w:t>
            </w:r>
          </w:p>
        </w:tc>
        <w:tc>
          <w:tcPr>
            <w:tcW w:type="pct" w:w="8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E</w:t>
            </w:r>
          </w:p>
        </w:tc>
      </w:tr>
      <w:tr>
        <w:trPr>
          <w:cantSplit/>
        </w:trPr>
        <w:tc>
          <w:tcPr>
            <w:tcW w:type="pct" w:w="1100"/>
            <w:tcBorders>
              <w:bottom w:val="single" w:color="1B6B7A" w:sz="2"/>
            </w:tcBorders>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Sharing</w:t>
            </w:r>
          </w:p>
        </w:tc>
        <w:tc>
          <w:tcPr>
            <w:tcW w:type="pct" w:w="3100"/>
            <w:tcBorders>
              <w:bottom w:val="single" w:color="1B6B7A" w:sz="2"/>
            </w:tcBorders>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Share sheet on every series (native share, copy link, X, WhatsApp, Telegram) plus a branded per-series Open Graph image</w:t>
            </w:r>
          </w:p>
        </w:tc>
        <w:tc>
          <w:tcPr>
            <w:tcW w:type="pct" w:w="800"/>
            <w:tcBorders>
              <w:bottom w:val="single" w:color="1B6B7A" w:sz="2"/>
            </w:tcBorders>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E</w:t>
            </w:r>
          </w:p>
        </w:tc>
      </w:tr>
    </w:tbl>
    <w:p>
      <w:pPr>
        <w:spacing w:after="0" w:before="0" w:line="40" w:lineRule="exact"/>
      </w:pPr>
      <w:r>
        <w:rPr>
          <w:sz w:val="2"/>
          <w:szCs w:val="2"/>
        </w:rPr>
        <w:t xml:space="preserve"/>
      </w:r>
    </w:p>
    <w:p>
      <w:pPr>
        <w:spacing w:after="120" w:line="312"/>
        <w:jc w:val="both"/>
      </w:pPr>
      <w:r>
        <w:rPr>
          <w:rFonts w:ascii="Times New Roman" w:eastAsia="SimSun" w:hAnsi="Times New Roman"/>
          <w:b w:val="false"/>
          <w:bCs w:val="false"/>
          <w:i w:val="false"/>
          <w:iCs w:val="false"/>
          <w:color w:val="000000"/>
          <w:sz w:val="24"/>
          <w:szCs w:val="24"/>
        </w:rPr>
        <w:t xml:space="preserve">The seed makes this community look real from the first minute: 24 comments including flagged and hidden examples for the moderation demo, 21 ratings, 8 comment likes, 4 notifications for the demo reader in a mix of read and unread states, and 2 moderation reports. Signing in as the demo reader immediately shows an unread bell badge, an active notification feed, and comment threads that can be liked and replied to.</w:t>
      </w:r>
    </w:p>
    <w:p>
      <w:pPr>
        <w:spacing w:after="120" w:line="312"/>
        <w:jc w:val="both"/>
      </w:pPr>
      <w:r>
        <w:rPr>
          <w:rFonts w:ascii="Times New Roman" w:eastAsia="SimSun" w:hAnsi="Times New Roman"/>
          <w:b w:val="false"/>
          <w:bCs w:val="false"/>
          <w:i w:val="false"/>
          <w:iCs w:val="false"/>
          <w:color w:val="000000"/>
          <w:sz w:val="24"/>
          <w:szCs w:val="24"/>
        </w:rPr>
        <w:t xml:space="preserve">It is equally important to state what community does not include, because it was excluded on purpose rather than missed. There is no social graph — no follows, direct messages or forums — since the scope document flagged the non-linear moderation cost, and comments remain the approved community boundary. The notification bell polls every 60 seconds rather than using push, publish fan-out is capped at 500 profiles per trigger with no retry queue, and search relevance is computed in memory; all three are prototype-appropriate choices with documented upgrade paths in Chapter 7.</w:t>
      </w:r>
    </w:p>
    <w:p>
      <w:pPr>
        <w:pStyle w:val="Heading1"/>
        <w:spacing w:after="160" w:before="360" w:line="312"/>
        <w:jc w:val="center"/>
      </w:pPr>
      <w:bookmarkStart w:id="100012" w:name="_Toc100012"/>
      <w:r>
        <w:rPr>
          <w:rFonts w:ascii="Times New Roman" w:eastAsia="SimHei" w:hAnsi="Times New Roman"/>
          <w:b/>
          <w:bCs/>
          <w:color w:val="0A1628"/>
          <w:sz w:val="32"/>
          <w:szCs w:val="32"/>
        </w:rPr>
        <w:t xml:space="preserve">5. Translation Team — Built or Not?</w:t>
      </w:r>
      <w:bookmarkEnd w:id="100012"/>
    </w:p>
    <w:p>
      <w:pPr>
        <w:pStyle w:val="Heading2"/>
        <w:spacing w:after="120" w:before="240" w:line="312"/>
        <w:jc w:val="left"/>
      </w:pPr>
      <w:bookmarkStart w:id="100013" w:name="_Toc100013"/>
      <w:r>
        <w:rPr>
          <w:rFonts w:ascii="Times New Roman" w:eastAsia="SimHei" w:hAnsi="Times New Roman"/>
          <w:b/>
          <w:bCs/>
          <w:color w:val="0A1628"/>
          <w:sz w:val="30"/>
          <w:szCs w:val="30"/>
        </w:rPr>
        <w:t xml:space="preserve">5.1 Current state</w:t>
      </w:r>
      <w:bookmarkEnd w:id="100013"/>
    </w:p>
    <w:p>
      <w:pPr>
        <w:spacing w:after="120" w:line="312"/>
        <w:jc w:val="both"/>
      </w:pPr>
      <w:r>
        <w:rPr>
          <w:rFonts w:ascii="Times New Roman" w:eastAsia="SimSun" w:hAnsi="Times New Roman"/>
          <w:b w:val="false"/>
          <w:bCs w:val="false"/>
          <w:i w:val="false"/>
          <w:iCs w:val="false"/>
          <w:color w:val="000000"/>
          <w:sz w:val="24"/>
          <w:szCs w:val="24"/>
        </w:rPr>
        <w:t xml:space="preserve">No. The Translation Team does not exist in the codebase, and this is the one direct answer in this report that is negative. The only trace of the concept is a translator byline: the series table carries an optional translator field, the admin series forms can edit it, and public series pages render it as a credit line under the author. That is display metadata only — there is no workflow, no role, no queue and no data model for translated content anywhere in the platform. This is consistent with the plan rather than an oversight: docs/PROTOTYPE_SCOPE.md explicitly lists a content translation workflow, described there as drafting chapters in a source language followed by a translation queue, under its Production-Preparation heading, meaning architecturally anticipated but deliberately not built. The platform has three roles today — reader, editor and admin — and none of them represents a translator.</w:t>
      </w:r>
    </w:p>
    <w:p>
      <w:pPr>
        <w:pStyle w:val="Heading2"/>
        <w:spacing w:after="120" w:before="240" w:line="312"/>
        <w:jc w:val="left"/>
      </w:pPr>
      <w:bookmarkStart w:id="100014" w:name="_Toc100014"/>
      <w:r>
        <w:rPr>
          <w:rFonts w:ascii="Times New Roman" w:eastAsia="SimHei" w:hAnsi="Times New Roman"/>
          <w:b/>
          <w:bCs/>
          <w:color w:val="0A1628"/>
          <w:sz w:val="30"/>
          <w:szCs w:val="30"/>
        </w:rPr>
        <w:t xml:space="preserve">5.2 Foundations already in place</w:t>
      </w:r>
      <w:bookmarkEnd w:id="100014"/>
    </w:p>
    <w:p>
      <w:pPr>
        <w:spacing w:after="120" w:line="312"/>
        <w:jc w:val="both"/>
      </w:pPr>
      <w:r>
        <w:rPr>
          <w:rFonts w:ascii="Times New Roman" w:eastAsia="SimSun" w:hAnsi="Times New Roman"/>
          <w:b w:val="false"/>
          <w:bCs w:val="false"/>
          <w:i w:val="false"/>
          <w:iCs w:val="false"/>
          <w:color w:val="000000"/>
          <w:sz w:val="24"/>
          <w:szCs w:val="24"/>
        </w:rPr>
        <w:t xml:space="preserve">Although nothing was built, the platform grew into a strong starting position, because most of the plumbing a translation pipeline needs already exists and is production-tested. The table below maps each existing foundation to its use in the proposed design.</w:t>
      </w:r>
    </w:p>
    <w:p>
      <w:pPr>
        <w:keepNext/>
        <w:spacing w:after="80" w:before="200" w:line="312"/>
        <w:jc w:val="left"/>
      </w:pPr>
      <w:r>
        <w:rPr>
          <w:rFonts w:ascii="Times New Roman" w:eastAsia="SimSun" w:hAnsi="Times New Roman"/>
          <w:b/>
          <w:bCs/>
          <w:color w:val="505A68"/>
          <w:sz w:val="21"/>
          <w:szCs w:val="21"/>
        </w:rPr>
        <w:t xml:space="preserve">Table 9: Existing foundations and how a translation team would use them</w:t>
      </w:r>
    </w:p>
    <w:tbl>
      <w:tblPr>
        <w:tblW w:type="pct" w:w="5000"/>
        <w:tblBorders>
          <w:top w:val="single" w:color="1B6B7A" w:sz="2"/>
          <w:left w:val="none" w:color="FFFFFF" w:sz="0"/>
          <w:bottom w:val="none" w:color="FFFFFF" w:sz="0"/>
          <w:right w:val="none" w:color="FFFFFF" w:sz="0"/>
          <w:insideH w:val="single" w:color="C8DDE2" w:sz="1"/>
          <w:insideV w:val="none" w:color="FFFFFF" w:sz="0"/>
        </w:tblBorders>
      </w:tblPr>
      <w:tblGrid>
        <w:gridCol w:w="1933"/>
        <w:gridCol w:w="3427"/>
        <w:gridCol w:w="3427"/>
      </w:tblGrid>
      <w:tr>
        <w:trPr>
          <w:cantSplit/>
          <w:tblHeader/>
        </w:trPr>
        <w:tc>
          <w:tcPr>
            <w:tcW w:type="pct" w:w="1100"/>
            <w:shd w:fill="1B6B7A" w:val="clear"/>
            <w:tcMar>
              <w:top w:type="dxa" w:w="60"/>
              <w:left w:type="dxa" w:w="120"/>
              <w:bottom w:type="dxa" w:w="60"/>
              <w:right w:type="dxa" w:w="120"/>
            </w:tcMar>
          </w:tcPr>
          <w:p>
            <w:pPr>
              <w:spacing w:line="312"/>
              <w:jc w:val="left"/>
            </w:pPr>
            <w:r>
              <w:rPr>
                <w:rFonts w:ascii="Times New Roman" w:eastAsia="SimSun" w:hAnsi="Times New Roman"/>
                <w:b/>
                <w:bCs/>
                <w:color w:val="FFFFFF"/>
                <w:sz w:val="21"/>
                <w:szCs w:val="21"/>
              </w:rPr>
              <w:t xml:space="preserve">Foundation</w:t>
            </w:r>
          </w:p>
        </w:tc>
        <w:tc>
          <w:tcPr>
            <w:tcW w:type="pct" w:w="1950"/>
            <w:shd w:fill="1B6B7A" w:val="clear"/>
            <w:tcMar>
              <w:top w:type="dxa" w:w="60"/>
              <w:left w:type="dxa" w:w="120"/>
              <w:bottom w:type="dxa" w:w="60"/>
              <w:right w:type="dxa" w:w="120"/>
            </w:tcMar>
          </w:tcPr>
          <w:p>
            <w:pPr>
              <w:spacing w:line="312"/>
              <w:jc w:val="left"/>
            </w:pPr>
            <w:r>
              <w:rPr>
                <w:rFonts w:ascii="Times New Roman" w:eastAsia="SimSun" w:hAnsi="Times New Roman"/>
                <w:b/>
                <w:bCs/>
                <w:color w:val="FFFFFF"/>
                <w:sz w:val="21"/>
                <w:szCs w:val="21"/>
              </w:rPr>
              <w:t xml:space="preserve">What exists today</w:t>
            </w:r>
          </w:p>
        </w:tc>
        <w:tc>
          <w:tcPr>
            <w:tcW w:type="pct" w:w="1950"/>
            <w:shd w:fill="1B6B7A" w:val="clear"/>
            <w:tcMar>
              <w:top w:type="dxa" w:w="60"/>
              <w:left w:type="dxa" w:w="120"/>
              <w:bottom w:type="dxa" w:w="60"/>
              <w:right w:type="dxa" w:w="120"/>
            </w:tcMar>
          </w:tcPr>
          <w:p>
            <w:pPr>
              <w:spacing w:line="312"/>
              <w:jc w:val="left"/>
            </w:pPr>
            <w:r>
              <w:rPr>
                <w:rFonts w:ascii="Times New Roman" w:eastAsia="SimSun" w:hAnsi="Times New Roman"/>
                <w:b/>
                <w:bCs/>
                <w:color w:val="FFFFFF"/>
                <w:sz w:val="21"/>
                <w:szCs w:val="21"/>
              </w:rPr>
              <w:t xml:space="preserve">Use in the translation pipeline</w:t>
            </w:r>
          </w:p>
        </w:tc>
      </w:tr>
      <w:tr>
        <w:trPr>
          <w:cantSplit/>
        </w:trPr>
        <w:tc>
          <w:tcPr>
            <w:tcW w:type="pct" w:w="11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Chapter workflow</w:t>
            </w:r>
          </w:p>
        </w:tc>
        <w:tc>
          <w:tcPr>
            <w:tcW w:type="pct" w:w="195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Native draft, review and published states on every chapter</w:t>
            </w:r>
          </w:p>
        </w:tc>
        <w:tc>
          <w:tcPr>
            <w:tcW w:type="pct" w:w="195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Maps directly onto translated, reviewed and published states</w:t>
            </w:r>
          </w:p>
        </w:tc>
      </w:tr>
      <w:tr>
        <w:trPr>
          <w:cantSplit/>
        </w:trPr>
        <w:tc>
          <w:tcPr>
            <w:tcW w:type="pct" w:w="11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Roles and authorization</w:t>
            </w:r>
          </w:p>
        </w:tc>
        <w:tc>
          <w:tcPr>
            <w:tcW w:type="pct" w:w="195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Editor role with requireRole enforced in every admin query and server action</w:t>
            </w:r>
          </w:p>
        </w:tc>
        <w:tc>
          <w:tcPr>
            <w:tcW w:type="pct" w:w="195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Permission plumbing for translator-scoped surfaces</w:t>
            </w:r>
          </w:p>
        </w:tc>
      </w:tr>
      <w:tr>
        <w:trPr>
          <w:cantSplit/>
        </w:trPr>
        <w:tc>
          <w:tcPr>
            <w:tcW w:type="pct" w:w="11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Publication scheduler</w:t>
            </w:r>
          </w:p>
        </w:tc>
        <w:tc>
          <w:tcPr>
            <w:tcW w:type="pct" w:w="195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Scheduled timestamps with a public coming-soon badge</w:t>
            </w:r>
          </w:p>
        </w:tc>
        <w:tc>
          <w:tcPr>
            <w:tcW w:type="pct" w:w="195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Release cadence for translated chapters</w:t>
            </w:r>
          </w:p>
        </w:tc>
      </w:tr>
      <w:tr>
        <w:trPr>
          <w:cantSplit/>
        </w:trPr>
        <w:tc>
          <w:tcPr>
            <w:tcW w:type="pct" w:w="11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Creator studio</w:t>
            </w:r>
          </w:p>
        </w:tc>
        <w:tc>
          <w:tcPr>
            <w:tcW w:type="pct" w:w="195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Read-only per-series pipeline and top-chapter statistics</w:t>
            </w:r>
          </w:p>
        </w:tc>
        <w:tc>
          <w:tcPr>
            <w:tcW w:type="pct" w:w="195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Extend with translation progress widgets</w:t>
            </w:r>
          </w:p>
        </w:tc>
      </w:tr>
      <w:tr>
        <w:trPr>
          <w:cantSplit/>
        </w:trPr>
        <w:tc>
          <w:tcPr>
            <w:tcW w:type="pct" w:w="11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Server actions with validation</w:t>
            </w:r>
          </w:p>
        </w:tc>
        <w:tc>
          <w:tcPr>
            <w:tcW w:type="pct" w:w="195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Twelve schema-validated write actions in production</w:t>
            </w:r>
          </w:p>
        </w:tc>
        <w:tc>
          <w:tcPr>
            <w:tcW w:type="pct" w:w="195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The established safe-write pattern for new actions</w:t>
            </w:r>
          </w:p>
        </w:tc>
      </w:tr>
      <w:tr>
        <w:trPr>
          <w:cantSplit/>
        </w:trPr>
        <w:tc>
          <w:tcPr>
            <w:tcW w:type="pct" w:w="1100"/>
            <w:tcBorders>
              <w:bottom w:val="single" w:color="1B6B7A" w:sz="2"/>
            </w:tcBorders>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Notifications</w:t>
            </w:r>
          </w:p>
        </w:tc>
        <w:tc>
          <w:tcPr>
            <w:tcW w:type="pct" w:w="1950"/>
            <w:tcBorders>
              <w:bottom w:val="single" w:color="1B6B7A" w:sz="2"/>
            </w:tcBorders>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Batched fan-out with a typed enum</w:t>
            </w:r>
          </w:p>
        </w:tc>
        <w:tc>
          <w:tcPr>
            <w:tcW w:type="pct" w:w="1950"/>
            <w:tcBorders>
              <w:bottom w:val="single" w:color="1B6B7A" w:sz="2"/>
            </w:tcBorders>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Assignment and review notifications reuse it directly</w:t>
            </w:r>
          </w:p>
        </w:tc>
      </w:tr>
    </w:tbl>
    <w:p>
      <w:pPr>
        <w:spacing w:after="0" w:before="0" w:line="40" w:lineRule="exact"/>
      </w:pPr>
      <w:r>
        <w:rPr>
          <w:sz w:val="2"/>
          <w:szCs w:val="2"/>
        </w:rPr>
        <w:t xml:space="preserve"/>
      </w:r>
    </w:p>
    <w:p>
      <w:pPr>
        <w:pStyle w:val="Heading2"/>
        <w:spacing w:after="120" w:before="240" w:line="312"/>
        <w:jc w:val="left"/>
      </w:pPr>
      <w:bookmarkStart w:id="100015" w:name="_Toc100015"/>
      <w:r>
        <w:rPr>
          <w:rFonts w:ascii="Times New Roman" w:eastAsia="SimHei" w:hAnsi="Times New Roman"/>
          <w:b/>
          <w:bCs/>
          <w:color w:val="0A1628"/>
          <w:sz w:val="30"/>
          <w:szCs w:val="30"/>
        </w:rPr>
        <w:t xml:space="preserve">5.3 The legal boundary</w:t>
      </w:r>
      <w:bookmarkEnd w:id="100015"/>
    </w:p>
    <w:p>
      <w:pPr>
        <w:spacing w:after="120" w:line="312"/>
        <w:jc w:val="both"/>
      </w:pPr>
      <w:r>
        <w:rPr>
          <w:rFonts w:ascii="Times New Roman" w:eastAsia="SimSun" w:hAnsi="Times New Roman"/>
          <w:b w:val="false"/>
          <w:bCs w:val="false"/>
          <w:i w:val="false"/>
          <w:iCs w:val="false"/>
          <w:color w:val="000000"/>
          <w:sz w:val="24"/>
          <w:szCs w:val="24"/>
        </w:rPr>
        <w:t xml:space="preserve">Any translation plan must respect the standing guardrails, which are binding: no real or licensed content of any kind — a rule the scope document extends explicitly to public-domain translations — and no change to that posture without lawyer review. In practice, a Translation Team today can work only on the platform's own original Arabic fiction, for example producing English editions of the four seeded novels, or prepare the pipeline so it is ready the day licensing is legally cleared. Translating third-party works, even public-domain ones, requires the lawyer gate first. This boundary directly shapes the proposal below and should be part of the founder's direction decision.</w:t>
      </w:r>
    </w:p>
    <w:p>
      <w:pPr>
        <w:pStyle w:val="Heading2"/>
        <w:spacing w:after="120" w:before="240" w:line="312"/>
        <w:jc w:val="left"/>
      </w:pPr>
      <w:bookmarkStart w:id="100016" w:name="_Toc100016"/>
      <w:r>
        <w:rPr>
          <w:rFonts w:ascii="Times New Roman" w:eastAsia="SimHei" w:hAnsi="Times New Roman"/>
          <w:b/>
          <w:bCs/>
          <w:color w:val="0A1628"/>
          <w:sz w:val="30"/>
          <w:szCs w:val="30"/>
        </w:rPr>
        <w:t xml:space="preserve">5.4 Proposed design — Release G, Translation Team lite</w:t>
      </w:r>
      <w:bookmarkEnd w:id="100016"/>
    </w:p>
    <w:p>
      <w:pPr>
        <w:spacing w:after="120" w:line="312"/>
        <w:jc w:val="both"/>
      </w:pPr>
      <w:r>
        <w:rPr>
          <w:rFonts w:ascii="Times New Roman" w:eastAsia="SimSun" w:hAnsi="Times New Roman"/>
          <w:b w:val="false"/>
          <w:bCs w:val="false"/>
          <w:i w:val="false"/>
          <w:iCs w:val="false"/>
          <w:color w:val="000000"/>
          <w:sz w:val="24"/>
          <w:szCs w:val="24"/>
        </w:rPr>
        <w:t xml:space="preserve">The proposal keeps the release discipline of Releases D and E: one migration at most, seed additions under the same idempotency guards, a browser-verified end-to-end run, and a release report with README updates. The first decision for the founder is the role strategy, and the recommendation is option B for the first pass.</w:t>
      </w:r>
    </w:p>
    <w:p>
      <w:pPr>
        <w:keepNext/>
        <w:spacing w:after="80" w:before="200" w:line="312"/>
        <w:jc w:val="left"/>
      </w:pPr>
      <w:r>
        <w:rPr>
          <w:rFonts w:ascii="Times New Roman" w:eastAsia="SimSun" w:hAnsi="Times New Roman"/>
          <w:b/>
          <w:bCs/>
          <w:color w:val="505A68"/>
          <w:sz w:val="21"/>
          <w:szCs w:val="21"/>
        </w:rPr>
        <w:t xml:space="preserve">Table 10: Role strategy options for the translation team</w:t>
      </w:r>
    </w:p>
    <w:tbl>
      <w:tblPr>
        <w:tblW w:type="pct" w:w="5000"/>
        <w:tblBorders>
          <w:top w:val="single" w:color="1B6B7A" w:sz="2"/>
          <w:left w:val="none" w:color="FFFFFF" w:sz="0"/>
          <w:bottom w:val="none" w:color="FFFFFF" w:sz="0"/>
          <w:right w:val="none" w:color="FFFFFF" w:sz="0"/>
          <w:insideH w:val="single" w:color="C8DDE2" w:sz="1"/>
          <w:insideV w:val="none" w:color="FFFFFF" w:sz="0"/>
        </w:tblBorders>
      </w:tblPr>
      <w:tblGrid>
        <w:gridCol w:w="1230"/>
        <w:gridCol w:w="3515"/>
        <w:gridCol w:w="1582"/>
        <w:gridCol w:w="2461"/>
      </w:tblGrid>
      <w:tr>
        <w:trPr>
          <w:cantSplit/>
          <w:tblHeader/>
        </w:trPr>
        <w:tc>
          <w:tcPr>
            <w:tcW w:type="pct" w:w="700"/>
            <w:shd w:fill="1B6B7A" w:val="clear"/>
            <w:tcMar>
              <w:top w:type="dxa" w:w="60"/>
              <w:left w:type="dxa" w:w="120"/>
              <w:bottom w:type="dxa" w:w="60"/>
              <w:right w:type="dxa" w:w="120"/>
            </w:tcMar>
          </w:tcPr>
          <w:p>
            <w:pPr>
              <w:spacing w:line="312"/>
              <w:jc w:val="left"/>
            </w:pPr>
            <w:r>
              <w:rPr>
                <w:rFonts w:ascii="Times New Roman" w:eastAsia="SimSun" w:hAnsi="Times New Roman"/>
                <w:b/>
                <w:bCs/>
                <w:color w:val="FFFFFF"/>
                <w:sz w:val="21"/>
                <w:szCs w:val="21"/>
              </w:rPr>
              <w:t xml:space="preserve">Option</w:t>
            </w:r>
          </w:p>
        </w:tc>
        <w:tc>
          <w:tcPr>
            <w:tcW w:type="pct" w:w="2000"/>
            <w:shd w:fill="1B6B7A" w:val="clear"/>
            <w:tcMar>
              <w:top w:type="dxa" w:w="60"/>
              <w:left w:type="dxa" w:w="120"/>
              <w:bottom w:type="dxa" w:w="60"/>
              <w:right w:type="dxa" w:w="120"/>
            </w:tcMar>
          </w:tcPr>
          <w:p>
            <w:pPr>
              <w:spacing w:line="312"/>
              <w:jc w:val="left"/>
            </w:pPr>
            <w:r>
              <w:rPr>
                <w:rFonts w:ascii="Times New Roman" w:eastAsia="SimSun" w:hAnsi="Times New Roman"/>
                <w:b/>
                <w:bCs/>
                <w:color w:val="FFFFFF"/>
                <w:sz w:val="21"/>
                <w:szCs w:val="21"/>
              </w:rPr>
              <w:t xml:space="preserve">Approach</w:t>
            </w:r>
          </w:p>
        </w:tc>
        <w:tc>
          <w:tcPr>
            <w:tcW w:type="pct" w:w="900"/>
            <w:shd w:fill="1B6B7A" w:val="clear"/>
            <w:tcMar>
              <w:top w:type="dxa" w:w="60"/>
              <w:left w:type="dxa" w:w="120"/>
              <w:bottom w:type="dxa" w:w="60"/>
              <w:right w:type="dxa" w:w="120"/>
            </w:tcMar>
          </w:tcPr>
          <w:p>
            <w:pPr>
              <w:spacing w:line="312"/>
              <w:jc w:val="left"/>
            </w:pPr>
            <w:r>
              <w:rPr>
                <w:rFonts w:ascii="Times New Roman" w:eastAsia="SimSun" w:hAnsi="Times New Roman"/>
                <w:b/>
                <w:bCs/>
                <w:color w:val="FFFFFF"/>
                <w:sz w:val="21"/>
                <w:szCs w:val="21"/>
              </w:rPr>
              <w:t xml:space="preserve">Migration cost</w:t>
            </w:r>
          </w:p>
        </w:tc>
        <w:tc>
          <w:tcPr>
            <w:tcW w:type="pct" w:w="1400"/>
            <w:shd w:fill="1B6B7A" w:val="clear"/>
            <w:tcMar>
              <w:top w:type="dxa" w:w="60"/>
              <w:left w:type="dxa" w:w="120"/>
              <w:bottom w:type="dxa" w:w="60"/>
              <w:right w:type="dxa" w:w="120"/>
            </w:tcMar>
          </w:tcPr>
          <w:p>
            <w:pPr>
              <w:spacing w:line="312"/>
              <w:jc w:val="left"/>
            </w:pPr>
            <w:r>
              <w:rPr>
                <w:rFonts w:ascii="Times New Roman" w:eastAsia="SimSun" w:hAnsi="Times New Roman"/>
                <w:b/>
                <w:bCs/>
                <w:color w:val="FFFFFF"/>
                <w:sz w:val="21"/>
                <w:szCs w:val="21"/>
              </w:rPr>
              <w:t xml:space="preserve">Trade-off</w:t>
            </w:r>
          </w:p>
        </w:tc>
      </w:tr>
      <w:tr>
        <w:trPr>
          <w:cantSplit/>
        </w:trPr>
        <w:tc>
          <w:tcPr>
            <w:tcW w:type="pct" w:w="7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A</w:t>
            </w:r>
          </w:p>
        </w:tc>
        <w:tc>
          <w:tcPr>
            <w:tcW w:type="pct" w:w="20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Add a translator value to the user role enum and build translator-scoped surfaces</w:t>
            </w:r>
          </w:p>
        </w:tc>
        <w:tc>
          <w:tcPr>
            <w:tcW w:type="pct" w:w="9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One migration</w:t>
            </w:r>
          </w:p>
        </w:tc>
        <w:tc>
          <w:tcPr>
            <w:tcW w:type="pct" w:w="14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Cleanest long-term permissioning, but touches the role enum and every role selector</w:t>
            </w:r>
          </w:p>
        </w:tc>
      </w:tr>
      <w:tr>
        <w:trPr>
          <w:cantSplit/>
        </w:trPr>
        <w:tc>
          <w:tcPr>
            <w:tcW w:type="pct" w:w="700"/>
            <w:tcBorders>
              <w:bottom w:val="single" w:color="1B6B7A" w:sz="2"/>
            </w:tcBorders>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B</w:t>
            </w:r>
          </w:p>
        </w:tc>
        <w:tc>
          <w:tcPr>
            <w:tcW w:type="pct" w:w="2000"/>
            <w:tcBorders>
              <w:bottom w:val="single" w:color="1B6B7A" w:sz="2"/>
            </w:tcBorders>
            <w:tcMar>
              <w:top w:type="dxa" w:w="60"/>
              <w:left w:type="dxa" w:w="120"/>
              <w:bottom w:type="dxa" w:w="60"/>
              <w:right w:type="dxa" w:w="120"/>
            </w:tcMar>
          </w:tcPr>
          <w:p>
            <w:pPr>
              <w:spacing w:after="20" w:line="312"/>
              <w:jc w:val="left"/>
            </w:pPr>
            <w:r>
              <w:rPr>
                <w:rFonts w:ascii="Times New Roman" w:eastAsia="SimSun" w:hAnsi="Times New Roman"/>
                <w:b/>
                <w:bCs/>
                <w:i w:val="false"/>
                <w:iCs w:val="false"/>
                <w:color w:val="000000"/>
                <w:sz w:val="21"/>
                <w:szCs w:val="21"/>
              </w:rPr>
              <w:t xml:space="preserve">Recommended: </w:t>
            </w:r>
            <w:r>
              <w:rPr>
                <w:rFonts w:ascii="Times New Roman" w:eastAsia="SimSun" w:hAnsi="Times New Roman"/>
                <w:b w:val="false"/>
                <w:bCs w:val="false"/>
                <w:i w:val="false"/>
                <w:iCs w:val="false"/>
                <w:color w:val="000000"/>
                <w:sz w:val="21"/>
                <w:szCs w:val="21"/>
              </w:rPr>
              <w:t xml:space="preserve">reuse the editor role and scope translation actions to assigned translators in the application layer</w:t>
            </w:r>
          </w:p>
        </w:tc>
        <w:tc>
          <w:tcPr>
            <w:tcW w:type="pct" w:w="900"/>
            <w:tcBorders>
              <w:bottom w:val="single" w:color="1B6B7A" w:sz="2"/>
            </w:tcBorders>
            <w:tcMar>
              <w:top w:type="dxa" w:w="60"/>
              <w:left w:type="dxa" w:w="120"/>
              <w:bottom w:type="dxa" w:w="60"/>
              <w:right w:type="dxa" w:w="120"/>
            </w:tcMar>
          </w:tcPr>
          <w:p>
            <w:pPr>
              <w:spacing w:after="20" w:line="312"/>
              <w:jc w:val="left"/>
            </w:pPr>
            <w:r>
              <w:rPr>
                <w:rFonts w:ascii="Times New Roman" w:eastAsia="SimSun" w:hAnsi="Times New Roman"/>
                <w:b/>
                <w:bCs/>
                <w:i w:val="false"/>
                <w:iCs w:val="false"/>
                <w:color w:val="000000"/>
                <w:sz w:val="21"/>
                <w:szCs w:val="21"/>
              </w:rPr>
              <w:t xml:space="preserve">Zero schema change</w:t>
            </w:r>
          </w:p>
        </w:tc>
        <w:tc>
          <w:tcPr>
            <w:tcW w:type="pct" w:w="1400"/>
            <w:tcBorders>
              <w:bottom w:val="single" w:color="1B6B7A" w:sz="2"/>
            </w:tcBorders>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Ships fastest; permissioning is enforced in code exactly as admin authorization is today</w:t>
            </w:r>
          </w:p>
        </w:tc>
      </w:tr>
    </w:tbl>
    <w:p>
      <w:pPr>
        <w:spacing w:after="0" w:before="0" w:line="40" w:lineRule="exact"/>
      </w:pPr>
      <w:r>
        <w:rPr>
          <w:sz w:val="2"/>
          <w:szCs w:val="2"/>
        </w:rPr>
        <w:t xml:space="preserve"/>
      </w:r>
    </w:p>
    <w:p>
      <w:pPr>
        <w:spacing w:after="120" w:line="312"/>
        <w:jc w:val="both"/>
      </w:pPr>
      <w:r>
        <w:rPr>
          <w:rFonts w:ascii="Times New Roman" w:eastAsia="SimSun" w:hAnsi="Times New Roman"/>
          <w:b w:val="false"/>
          <w:bCs w:val="false"/>
          <w:i w:val="false"/>
          <w:iCs w:val="false"/>
          <w:color w:val="000000"/>
          <w:sz w:val="24"/>
          <w:szCs w:val="24"/>
        </w:rPr>
        <w:t xml:space="preserve">The lite scope would then add one translation table holding the chapter reference, target language, body text, workflow status, translator, reviewer and timestamps; an assignment queue in the admin area; a side-by-side source and translation editor for novel prose; a small glossary term base; translation progress widgets in the creator studio; and assignment notifications reusing the existing fan-out. Workflow states follow the existing draft-review-published semantics, so moderation, scheduling and publishing need no new concepts. The estimate is one working session at the established quality bar, comparable in size to Release E.</w:t>
      </w:r>
    </w:p>
    <w:p>
      <w:pPr>
        <w:pStyle w:val="Heading1"/>
        <w:spacing w:after="160" w:before="360" w:line="312"/>
        <w:jc w:val="center"/>
      </w:pPr>
      <w:bookmarkStart w:id="100017" w:name="_Toc100017"/>
      <w:r>
        <w:rPr>
          <w:rFonts w:ascii="Times New Roman" w:eastAsia="SimHei" w:hAnsi="Times New Roman"/>
          <w:b/>
          <w:bCs/>
          <w:color w:val="0A1628"/>
          <w:sz w:val="32"/>
          <w:szCs w:val="32"/>
        </w:rPr>
        <w:t xml:space="preserve">6. Deployment Readiness Audit</w:t>
      </w:r>
      <w:bookmarkEnd w:id="100017"/>
    </w:p>
    <w:p>
      <w:pPr>
        <w:spacing w:after="120" w:line="312"/>
        <w:jc w:val="both"/>
      </w:pPr>
      <w:r>
        <w:rPr>
          <w:rFonts w:ascii="Times New Roman" w:eastAsia="SimSun" w:hAnsi="Times New Roman"/>
          <w:b w:val="false"/>
          <w:bCs w:val="false"/>
          <w:i w:val="false"/>
          <w:iCs w:val="false"/>
          <w:color w:val="000000"/>
          <w:sz w:val="24"/>
          <w:szCs w:val="24"/>
        </w:rPr>
        <w:t xml:space="preserve">This chapter converts the status evidence into a deployment decision. The conclusion up front: the codebase is deploy-ready, the runbook is written and documented in the README, and the remaining work is a short, owner-assigned checklist rather than engineering uncertainty. Nothing in the audit surfaced a defect; the findings are logistical.</w:t>
      </w:r>
    </w:p>
    <w:p>
      <w:pPr>
        <w:pStyle w:val="Heading2"/>
        <w:spacing w:after="120" w:before="240" w:line="312"/>
        <w:jc w:val="left"/>
      </w:pPr>
      <w:bookmarkStart w:id="100018" w:name="_Toc100018"/>
      <w:r>
        <w:rPr>
          <w:rFonts w:ascii="Times New Roman" w:eastAsia="SimHei" w:hAnsi="Times New Roman"/>
          <w:b/>
          <w:bCs/>
          <w:color w:val="0A1628"/>
          <w:sz w:val="30"/>
          <w:szCs w:val="30"/>
        </w:rPr>
        <w:t xml:space="preserve">6.1 What is already green</w:t>
      </w:r>
      <w:bookmarkEnd w:id="100018"/>
    </w:p>
    <w:p>
      <w:pPr>
        <w:keepNext/>
        <w:spacing w:after="80" w:before="200" w:line="312"/>
        <w:jc w:val="left"/>
      </w:pPr>
      <w:r>
        <w:rPr>
          <w:rFonts w:ascii="Times New Roman" w:eastAsia="SimSun" w:hAnsi="Times New Roman"/>
          <w:b/>
          <w:bCs/>
          <w:color w:val="505A68"/>
          <w:sz w:val="21"/>
          <w:szCs w:val="21"/>
        </w:rPr>
        <w:t xml:space="preserve">Table 11: Deployment readiness — verified green areas</w:t>
      </w:r>
    </w:p>
    <w:tbl>
      <w:tblPr>
        <w:tblW w:type="pct" w:w="5000"/>
        <w:tblBorders>
          <w:top w:val="single" w:color="1B6B7A" w:sz="2"/>
          <w:left w:val="none" w:color="FFFFFF" w:sz="0"/>
          <w:bottom w:val="none" w:color="FFFFFF" w:sz="0"/>
          <w:right w:val="none" w:color="FFFFFF" w:sz="0"/>
          <w:insideH w:val="single" w:color="C8DDE2" w:sz="1"/>
          <w:insideV w:val="none" w:color="FFFFFF" w:sz="0"/>
        </w:tblBorders>
      </w:tblPr>
      <w:tblGrid>
        <w:gridCol w:w="1933"/>
        <w:gridCol w:w="6855"/>
      </w:tblGrid>
      <w:tr>
        <w:trPr>
          <w:cantSplit/>
          <w:tblHeader/>
        </w:trPr>
        <w:tc>
          <w:tcPr>
            <w:tcW w:type="pct" w:w="1100"/>
            <w:shd w:fill="1B6B7A" w:val="clear"/>
            <w:tcMar>
              <w:top w:type="dxa" w:w="60"/>
              <w:left w:type="dxa" w:w="120"/>
              <w:bottom w:type="dxa" w:w="60"/>
              <w:right w:type="dxa" w:w="120"/>
            </w:tcMar>
          </w:tcPr>
          <w:p>
            <w:pPr>
              <w:spacing w:line="312"/>
              <w:jc w:val="left"/>
            </w:pPr>
            <w:r>
              <w:rPr>
                <w:rFonts w:ascii="Times New Roman" w:eastAsia="SimSun" w:hAnsi="Times New Roman"/>
                <w:b/>
                <w:bCs/>
                <w:color w:val="FFFFFF"/>
                <w:sz w:val="21"/>
                <w:szCs w:val="21"/>
              </w:rPr>
              <w:t xml:space="preserve">Area</w:t>
            </w:r>
          </w:p>
        </w:tc>
        <w:tc>
          <w:tcPr>
            <w:tcW w:type="pct" w:w="3900"/>
            <w:shd w:fill="1B6B7A" w:val="clear"/>
            <w:tcMar>
              <w:top w:type="dxa" w:w="60"/>
              <w:left w:type="dxa" w:w="120"/>
              <w:bottom w:type="dxa" w:w="60"/>
              <w:right w:type="dxa" w:w="120"/>
            </w:tcMar>
          </w:tcPr>
          <w:p>
            <w:pPr>
              <w:spacing w:line="312"/>
              <w:jc w:val="left"/>
            </w:pPr>
            <w:r>
              <w:rPr>
                <w:rFonts w:ascii="Times New Roman" w:eastAsia="SimSun" w:hAnsi="Times New Roman"/>
                <w:b/>
                <w:bCs/>
                <w:color w:val="FFFFFF"/>
                <w:sz w:val="21"/>
                <w:szCs w:val="21"/>
              </w:rPr>
              <w:t xml:space="preserve">Evidence</w:t>
            </w:r>
          </w:p>
        </w:tc>
      </w:tr>
      <w:tr>
        <w:trPr>
          <w:cantSplit/>
        </w:trPr>
        <w:tc>
          <w:tcPr>
            <w:tcW w:type="pct" w:w="11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Code health</w:t>
            </w:r>
          </w:p>
        </w:tc>
        <w:tc>
          <w:tcPr>
            <w:tcW w:type="pct" w:w="39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Typecheck 0 errors; lint 0 errors with 2 pre-existing warnings; production build green with standalone output</w:t>
            </w:r>
          </w:p>
        </w:tc>
      </w:tr>
      <w:tr>
        <w:trPr>
          <w:cantSplit/>
        </w:trPr>
        <w:tc>
          <w:tcPr>
            <w:tcW w:type="pct" w:w="11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Security</w:t>
            </w:r>
          </w:p>
        </w:tc>
        <w:tc>
          <w:tcPr>
            <w:tcW w:type="pct" w:w="39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Nonce-based strict-dynamic CSP verified 13 of 13 checks; security headers on every route; dependency audit removed 46 unused packages; production vulnerabilities at 6 high, 0 critical</w:t>
            </w:r>
          </w:p>
        </w:tc>
      </w:tr>
      <w:tr>
        <w:trPr>
          <w:cantSplit/>
        </w:trPr>
        <w:tc>
          <w:tcPr>
            <w:tcW w:type="pct" w:w="11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Schema and data</w:t>
            </w:r>
          </w:p>
        </w:tc>
        <w:tc>
          <w:tcPr>
            <w:tcW w:type="pct" w:w="39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Four versioned migrations applied and verified on real PostgreSQL 18; failsafe checks prove the application fails loudly on wrong or missing database URLs</w:t>
            </w:r>
          </w:p>
        </w:tc>
      </w:tr>
      <w:tr>
        <w:trPr>
          <w:cantSplit/>
        </w:trPr>
        <w:tc>
          <w:tcPr>
            <w:tcW w:type="pct" w:w="11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Content pipeline</w:t>
            </w:r>
          </w:p>
        </w:tc>
        <w:tc>
          <w:tcPr>
            <w:tcW w:type="pct" w:w="39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Seed verified idempotent twice over; 307 original art assets committed, so a fresh clone renders completely without regeneration</w:t>
            </w:r>
          </w:p>
        </w:tc>
      </w:tr>
      <w:tr>
        <w:trPr>
          <w:cantSplit/>
        </w:trPr>
        <w:tc>
          <w:tcPr>
            <w:tcW w:type="pct" w:w="11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Operations</w:t>
            </w:r>
          </w:p>
        </w:tc>
        <w:tc>
          <w:tcPr>
            <w:tcW w:type="pct" w:w="39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Health endpoint with liveness and database probes; rollback paths documented for both migrations and deployments</w:t>
            </w:r>
          </w:p>
        </w:tc>
      </w:tr>
      <w:tr>
        <w:trPr>
          <w:cantSplit/>
        </w:trPr>
        <w:tc>
          <w:tcPr>
            <w:tcW w:type="pct" w:w="1100"/>
            <w:tcBorders>
              <w:bottom w:val="single" w:color="1B6B7A" w:sz="2"/>
            </w:tcBorders>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Documentation</w:t>
            </w:r>
          </w:p>
        </w:tc>
        <w:tc>
          <w:tcPr>
            <w:tcW w:type="pct" w:w="3900"/>
            <w:tcBorders>
              <w:bottom w:val="single" w:color="1B6B7A" w:sz="2"/>
            </w:tcBorders>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Deploy runbook targeting a 30-minute clone-to-live path; five release reports; security audit; founder decision log</w:t>
            </w:r>
          </w:p>
        </w:tc>
      </w:tr>
    </w:tbl>
    <w:p>
      <w:pPr>
        <w:spacing w:after="0" w:before="0" w:line="40" w:lineRule="exact"/>
      </w:pPr>
      <w:r>
        <w:rPr>
          <w:sz w:val="2"/>
          <w:szCs w:val="2"/>
        </w:rPr>
        <w:t xml:space="preserve"/>
      </w:r>
    </w:p>
    <w:p>
      <w:pPr>
        <w:pStyle w:val="Heading2"/>
        <w:spacing w:after="120" w:before="240" w:line="312"/>
        <w:jc w:val="left"/>
      </w:pPr>
      <w:bookmarkStart w:id="100019" w:name="_Toc100019"/>
      <w:r>
        <w:rPr>
          <w:rFonts w:ascii="Times New Roman" w:eastAsia="SimHei" w:hAnsi="Times New Roman"/>
          <w:b/>
          <w:bCs/>
          <w:color w:val="0A1628"/>
          <w:sz w:val="30"/>
          <w:szCs w:val="30"/>
        </w:rPr>
        <w:t xml:space="preserve">6.2 Blockers and pending items</w:t>
      </w:r>
      <w:bookmarkEnd w:id="100019"/>
    </w:p>
    <w:p>
      <w:pPr>
        <w:spacing w:after="120" w:line="312"/>
        <w:jc w:val="both"/>
      </w:pPr>
      <w:r>
        <w:rPr>
          <w:rFonts w:ascii="Times New Roman" w:eastAsia="SimSun" w:hAnsi="Times New Roman"/>
          <w:b w:val="false"/>
          <w:bCs w:val="false"/>
          <w:i w:val="false"/>
          <w:iCs w:val="false"/>
          <w:color w:val="000000"/>
          <w:sz w:val="24"/>
          <w:szCs w:val="24"/>
        </w:rPr>
        <w:t xml:space="preserve">Six items remain, and only the first two genuinely gate the deployment. Each has an owner and an effort estimate; none requires new engineering decisions.</w:t>
      </w:r>
    </w:p>
    <w:p>
      <w:pPr>
        <w:keepNext/>
        <w:spacing w:after="80" w:before="200" w:line="312"/>
        <w:jc w:val="left"/>
      </w:pPr>
      <w:r>
        <w:rPr>
          <w:rFonts w:ascii="Times New Roman" w:eastAsia="SimSun" w:hAnsi="Times New Roman"/>
          <w:b/>
          <w:bCs/>
          <w:color w:val="505A68"/>
          <w:sz w:val="21"/>
          <w:szCs w:val="21"/>
        </w:rPr>
        <w:t xml:space="preserve">Table 12: Open items with owners and effort</w:t>
      </w:r>
    </w:p>
    <w:tbl>
      <w:tblPr>
        <w:tblW w:type="pct" w:w="5000"/>
        <w:tblBorders>
          <w:top w:val="single" w:color="1B6B7A" w:sz="2"/>
          <w:left w:val="none" w:color="FFFFFF" w:sz="0"/>
          <w:bottom w:val="none" w:color="FFFFFF" w:sz="0"/>
          <w:right w:val="none" w:color="FFFFFF" w:sz="0"/>
          <w:insideH w:val="single" w:color="C8DDE2" w:sz="1"/>
          <w:insideV w:val="none" w:color="FFFFFF" w:sz="0"/>
        </w:tblBorders>
      </w:tblPr>
      <w:tblGrid>
        <w:gridCol w:w="439"/>
        <w:gridCol w:w="3427"/>
        <w:gridCol w:w="1406"/>
        <w:gridCol w:w="1230"/>
        <w:gridCol w:w="2285"/>
      </w:tblGrid>
      <w:tr>
        <w:trPr>
          <w:cantSplit/>
          <w:tblHeader/>
        </w:trPr>
        <w:tc>
          <w:tcPr>
            <w:tcW w:type="pct" w:w="250"/>
            <w:shd w:fill="1B6B7A" w:val="clear"/>
            <w:tcMar>
              <w:top w:type="dxa" w:w="60"/>
              <w:left w:type="dxa" w:w="120"/>
              <w:bottom w:type="dxa" w:w="60"/>
              <w:right w:type="dxa" w:w="120"/>
            </w:tcMar>
          </w:tcPr>
          <w:p>
            <w:pPr>
              <w:spacing w:line="312"/>
              <w:jc w:val="left"/>
            </w:pPr>
            <w:r>
              <w:rPr>
                <w:rFonts w:ascii="Times New Roman" w:eastAsia="SimSun" w:hAnsi="Times New Roman"/>
                <w:b/>
                <w:bCs/>
                <w:color w:val="FFFFFF"/>
                <w:sz w:val="21"/>
                <w:szCs w:val="21"/>
              </w:rPr>
              <w:t xml:space="preserve">#</w:t>
            </w:r>
          </w:p>
        </w:tc>
        <w:tc>
          <w:tcPr>
            <w:tcW w:type="pct" w:w="1950"/>
            <w:shd w:fill="1B6B7A" w:val="clear"/>
            <w:tcMar>
              <w:top w:type="dxa" w:w="60"/>
              <w:left w:type="dxa" w:w="120"/>
              <w:bottom w:type="dxa" w:w="60"/>
              <w:right w:type="dxa" w:w="120"/>
            </w:tcMar>
          </w:tcPr>
          <w:p>
            <w:pPr>
              <w:spacing w:line="312"/>
              <w:jc w:val="left"/>
            </w:pPr>
            <w:r>
              <w:rPr>
                <w:rFonts w:ascii="Times New Roman" w:eastAsia="SimSun" w:hAnsi="Times New Roman"/>
                <w:b/>
                <w:bCs/>
                <w:color w:val="FFFFFF"/>
                <w:sz w:val="21"/>
                <w:szCs w:val="21"/>
              </w:rPr>
              <w:t xml:space="preserve">Item</w:t>
            </w:r>
          </w:p>
        </w:tc>
        <w:tc>
          <w:tcPr>
            <w:tcW w:type="pct" w:w="800"/>
            <w:shd w:fill="1B6B7A" w:val="clear"/>
            <w:tcMar>
              <w:top w:type="dxa" w:w="60"/>
              <w:left w:type="dxa" w:w="120"/>
              <w:bottom w:type="dxa" w:w="60"/>
              <w:right w:type="dxa" w:w="120"/>
            </w:tcMar>
          </w:tcPr>
          <w:p>
            <w:pPr>
              <w:spacing w:line="312"/>
              <w:jc w:val="left"/>
            </w:pPr>
            <w:r>
              <w:rPr>
                <w:rFonts w:ascii="Times New Roman" w:eastAsia="SimSun" w:hAnsi="Times New Roman"/>
                <w:b/>
                <w:bCs/>
                <w:color w:val="FFFFFF"/>
                <w:sz w:val="21"/>
                <w:szCs w:val="21"/>
              </w:rPr>
              <w:t xml:space="preserve">Owner</w:t>
            </w:r>
          </w:p>
        </w:tc>
        <w:tc>
          <w:tcPr>
            <w:tcW w:type="pct" w:w="700"/>
            <w:shd w:fill="1B6B7A" w:val="clear"/>
            <w:tcMar>
              <w:top w:type="dxa" w:w="60"/>
              <w:left w:type="dxa" w:w="120"/>
              <w:bottom w:type="dxa" w:w="60"/>
              <w:right w:type="dxa" w:w="120"/>
            </w:tcMar>
          </w:tcPr>
          <w:p>
            <w:pPr>
              <w:spacing w:line="312"/>
              <w:jc w:val="left"/>
            </w:pPr>
            <w:r>
              <w:rPr>
                <w:rFonts w:ascii="Times New Roman" w:eastAsia="SimSun" w:hAnsi="Times New Roman"/>
                <w:b/>
                <w:bCs/>
                <w:color w:val="FFFFFF"/>
                <w:sz w:val="21"/>
                <w:szCs w:val="21"/>
              </w:rPr>
              <w:t xml:space="preserve">Effort</w:t>
            </w:r>
          </w:p>
        </w:tc>
        <w:tc>
          <w:tcPr>
            <w:tcW w:type="pct" w:w="1300"/>
            <w:shd w:fill="1B6B7A" w:val="clear"/>
            <w:tcMar>
              <w:top w:type="dxa" w:w="60"/>
              <w:left w:type="dxa" w:w="120"/>
              <w:bottom w:type="dxa" w:w="60"/>
              <w:right w:type="dxa" w:w="120"/>
            </w:tcMar>
          </w:tcPr>
          <w:p>
            <w:pPr>
              <w:spacing w:line="312"/>
              <w:jc w:val="left"/>
            </w:pPr>
            <w:r>
              <w:rPr>
                <w:rFonts w:ascii="Times New Roman" w:eastAsia="SimSun" w:hAnsi="Times New Roman"/>
                <w:b/>
                <w:bCs/>
                <w:color w:val="FFFFFF"/>
                <w:sz w:val="21"/>
                <w:szCs w:val="21"/>
              </w:rPr>
              <w:t xml:space="preserve">Notes</w:t>
            </w:r>
          </w:p>
        </w:tc>
      </w:tr>
      <w:tr>
        <w:trPr>
          <w:cantSplit/>
        </w:trPr>
        <w:tc>
          <w:tcPr>
            <w:tcW w:type="pct" w:w="25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1</w:t>
            </w:r>
          </w:p>
        </w:tc>
        <w:tc>
          <w:tcPr>
            <w:tcW w:type="pct" w:w="195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Rotate the Neon credentials and deliver both connection strings — pooled to DATABASE_URL, direct to DIRECT_URL — through the secure channel</w:t>
            </w:r>
          </w:p>
        </w:tc>
        <w:tc>
          <w:tcPr>
            <w:tcW w:type="pct" w:w="8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Founder</w:t>
            </w:r>
          </w:p>
        </w:tc>
        <w:tc>
          <w:tcPr>
            <w:tcW w:type="pct" w:w="7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About 15 minutes</w:t>
            </w:r>
          </w:p>
        </w:tc>
        <w:tc>
          <w:tcPr>
            <w:tcW w:type="pct" w:w="13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The database itself is unaffected; rotation closes the incident recorded in the security audit</w:t>
            </w:r>
          </w:p>
        </w:tc>
      </w:tr>
      <w:tr>
        <w:trPr>
          <w:cantSplit/>
        </w:trPr>
        <w:tc>
          <w:tcPr>
            <w:tcW w:type="pct" w:w="25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2</w:t>
            </w:r>
          </w:p>
        </w:tc>
        <w:tc>
          <w:tcPr>
            <w:tcW w:type="pct" w:w="195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Create the git remote (GitHub or GitLab) and push main, or grant an existing target</w:t>
            </w:r>
          </w:p>
        </w:tc>
        <w:tc>
          <w:tcPr>
            <w:tcW w:type="pct" w:w="8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Founder</w:t>
            </w:r>
          </w:p>
        </w:tc>
        <w:tc>
          <w:tcPr>
            <w:tcW w:type="pct" w:w="7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About 10 minutes</w:t>
            </w:r>
          </w:p>
        </w:tc>
        <w:tc>
          <w:tcPr>
            <w:tcW w:type="pct" w:w="13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The hosting import requires a remote; none is configured today</w:t>
            </w:r>
          </w:p>
        </w:tc>
      </w:tr>
      <w:tr>
        <w:trPr>
          <w:cantSplit/>
        </w:trPr>
        <w:tc>
          <w:tcPr>
            <w:tcW w:type="pct" w:w="25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3</w:t>
            </w:r>
          </w:p>
        </w:tc>
        <w:tc>
          <w:tcPr>
            <w:tcW w:type="pct" w:w="195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Extend the database constraint verifier for the Release E tables and enum</w:t>
            </w:r>
          </w:p>
        </w:tc>
        <w:tc>
          <w:tcPr>
            <w:tcW w:type="pct" w:w="8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Engineering</w:t>
            </w:r>
          </w:p>
        </w:tc>
        <w:tc>
          <w:tcPr>
            <w:tcW w:type="pct" w:w="7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About 30 minutes</w:t>
            </w:r>
          </w:p>
        </w:tc>
        <w:tc>
          <w:tcPr>
            <w:tcW w:type="pct" w:w="13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The verifier covers 41 checks from earlier releases; notifications and comment likes need coverage before the post-migration run</w:t>
            </w:r>
          </w:p>
        </w:tc>
      </w:tr>
      <w:tr>
        <w:trPr>
          <w:cantSplit/>
        </w:trPr>
        <w:tc>
          <w:tcPr>
            <w:tcW w:type="pct" w:w="25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4</w:t>
            </w:r>
          </w:p>
        </w:tc>
        <w:tc>
          <w:tcPr>
            <w:tcW w:type="pct" w:w="195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Complete the deferred strict-CSP end-to-end pass (sign-in POST and server actions against a live database)</w:t>
            </w:r>
          </w:p>
        </w:tc>
        <w:tc>
          <w:tcPr>
            <w:tcW w:type="pct" w:w="8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Engineering</w:t>
            </w:r>
          </w:p>
        </w:tc>
        <w:tc>
          <w:tcPr>
            <w:tcW w:type="pct" w:w="7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About 15 minutes after item 1</w:t>
            </w:r>
          </w:p>
        </w:tc>
        <w:tc>
          <w:tcPr>
            <w:tcW w:type="pct" w:w="13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Blocked only by credentials; everything else was verified</w:t>
            </w:r>
          </w:p>
        </w:tc>
      </w:tr>
      <w:tr>
        <w:trPr>
          <w:cantSplit/>
        </w:trPr>
        <w:tc>
          <w:tcPr>
            <w:tcW w:type="pct" w:w="25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5</w:t>
            </w:r>
          </w:p>
        </w:tc>
        <w:tc>
          <w:tcPr>
            <w:tcW w:type="pct" w:w="195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Decide on monitoring activation (Sentry, PostHog) and provide keys, or keep placeholders</w:t>
            </w:r>
          </w:p>
        </w:tc>
        <w:tc>
          <w:tcPr>
            <w:tcW w:type="pct" w:w="8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Founder</w:t>
            </w:r>
          </w:p>
        </w:tc>
        <w:tc>
          <w:tcPr>
            <w:tcW w:type="pct" w:w="7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Decision only</w:t>
            </w:r>
          </w:p>
        </w:tc>
        <w:tc>
          <w:tcPr>
            <w:tcW w:type="pct" w:w="13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Stubs are wired with one-step activation notes</w:t>
            </w:r>
          </w:p>
        </w:tc>
      </w:tr>
      <w:tr>
        <w:trPr>
          <w:cantSplit/>
        </w:trPr>
        <w:tc>
          <w:tcPr>
            <w:tcW w:type="pct" w:w="250"/>
            <w:tcBorders>
              <w:bottom w:val="single" w:color="1B6B7A" w:sz="2"/>
            </w:tcBorders>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6</w:t>
            </w:r>
          </w:p>
        </w:tc>
        <w:tc>
          <w:tcPr>
            <w:tcW w:type="pct" w:w="1950"/>
            <w:tcBorders>
              <w:bottom w:val="single" w:color="1B6B7A" w:sz="2"/>
            </w:tcBorders>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Set the production origin (NEXTAUTH_URL and the domain)</w:t>
            </w:r>
          </w:p>
        </w:tc>
        <w:tc>
          <w:tcPr>
            <w:tcW w:type="pct" w:w="800"/>
            <w:tcBorders>
              <w:bottom w:val="single" w:color="1B6B7A" w:sz="2"/>
            </w:tcBorders>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Founder</w:t>
            </w:r>
          </w:p>
        </w:tc>
        <w:tc>
          <w:tcPr>
            <w:tcW w:type="pct" w:w="700"/>
            <w:tcBorders>
              <w:bottom w:val="single" w:color="1B6B7A" w:sz="2"/>
            </w:tcBorders>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With hosting setup</w:t>
            </w:r>
          </w:p>
        </w:tc>
        <w:tc>
          <w:tcPr>
            <w:tcW w:type="pct" w:w="1300"/>
            <w:tcBorders>
              <w:bottom w:val="single" w:color="1B6B7A" w:sz="2"/>
            </w:tcBorders>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Required by authentication in production</w:t>
            </w:r>
          </w:p>
        </w:tc>
      </w:tr>
    </w:tbl>
    <w:p>
      <w:pPr>
        <w:spacing w:after="0" w:before="0" w:line="40" w:lineRule="exact"/>
      </w:pPr>
      <w:r>
        <w:rPr>
          <w:sz w:val="2"/>
          <w:szCs w:val="2"/>
        </w:rPr>
        <w:t xml:space="preserve"/>
      </w:r>
    </w:p>
    <w:p>
      <w:pPr>
        <w:pStyle w:val="Heading2"/>
        <w:spacing w:after="120" w:before="240" w:line="312"/>
        <w:jc w:val="left"/>
      </w:pPr>
      <w:bookmarkStart w:id="100020" w:name="_Toc100020"/>
      <w:r>
        <w:rPr>
          <w:rFonts w:ascii="Times New Roman" w:eastAsia="SimHei" w:hAnsi="Times New Roman"/>
          <w:b/>
          <w:bCs/>
          <w:color w:val="0A1628"/>
          <w:sz w:val="30"/>
          <w:szCs w:val="30"/>
        </w:rPr>
        <w:t xml:space="preserve">6.3 Go-live runbook (condensed)</w:t>
      </w:r>
      <w:bookmarkEnd w:id="100020"/>
    </w:p>
    <w:p>
      <w:pPr>
        <w:spacing w:after="120" w:line="312"/>
        <w:jc w:val="both"/>
      </w:pPr>
      <w:r>
        <w:rPr>
          <w:rFonts w:ascii="Times New Roman" w:eastAsia="SimSun" w:hAnsi="Times New Roman"/>
          <w:b w:val="false"/>
          <w:bCs w:val="false"/>
          <w:i w:val="false"/>
          <w:iCs w:val="false"/>
          <w:color w:val="000000"/>
          <w:sz w:val="24"/>
          <w:szCs w:val="24"/>
        </w:rPr>
        <w:t xml:space="preserve">The full runbook lives in the README and targets a new-developer clone-to-live path of thirty minutes. In condensed form, with owners from the table above, the sequence is:</w:t>
      </w:r>
    </w:p>
    <w:p>
      <w:pPr>
        <w:pStyle w:val="ListParagraph"/>
        <w:numPr>
          <w:ilvl w:val="0"/>
          <w:numId w:val="2"/>
        </w:numPr>
        <w:spacing w:after="60" w:line="312"/>
        <w:jc w:val="left"/>
      </w:pPr>
      <w:r>
        <w:rPr>
          <w:rFonts w:ascii="Times New Roman" w:eastAsia="SimSun" w:hAnsi="Times New Roman"/>
          <w:b w:val="false"/>
          <w:bCs w:val="false"/>
          <w:i w:val="false"/>
          <w:iCs w:val="false"/>
          <w:color w:val="000000"/>
          <w:sz w:val="24"/>
          <w:szCs w:val="24"/>
        </w:rPr>
        <w:t xml:space="preserve">Neon: create or open the project and copy both connection strings — pooled (pooler toggle on) and direct (toggle off).</w:t>
      </w:r>
    </w:p>
    <w:p>
      <w:pPr>
        <w:pStyle w:val="ListParagraph"/>
        <w:numPr>
          <w:ilvl w:val="0"/>
          <w:numId w:val="2"/>
        </w:numPr>
        <w:spacing w:after="60" w:line="312"/>
        <w:jc w:val="left"/>
      </w:pPr>
      <w:r>
        <w:rPr>
          <w:rFonts w:ascii="Times New Roman" w:eastAsia="SimSun" w:hAnsi="Times New Roman"/>
          <w:b w:val="false"/>
          <w:bCs w:val="false"/>
          <w:i w:val="false"/>
          <w:iCs w:val="false"/>
          <w:color w:val="000000"/>
          <w:sz w:val="24"/>
          <w:szCs w:val="24"/>
        </w:rPr>
        <w:t xml:space="preserve">Secrets: write them into the local environment file (never committed); add DATABASE_URL, DIRECT_URL, NEXTAUTH_SECRET and NEXTAUTH_URL in the hosting project settings.</w:t>
      </w:r>
    </w:p>
    <w:p>
      <w:pPr>
        <w:pStyle w:val="ListParagraph"/>
        <w:numPr>
          <w:ilvl w:val="0"/>
          <w:numId w:val="2"/>
        </w:numPr>
        <w:spacing w:after="60" w:line="312"/>
        <w:jc w:val="left"/>
      </w:pPr>
      <w:r>
        <w:rPr>
          <w:rFonts w:ascii="Times New Roman" w:eastAsia="SimSun" w:hAnsi="Times New Roman"/>
          <w:b w:val="false"/>
          <w:bCs w:val="false"/>
          <w:i w:val="false"/>
          <w:iCs w:val="false"/>
          <w:color w:val="000000"/>
          <w:sz w:val="24"/>
          <w:szCs w:val="24"/>
        </w:rPr>
        <w:t xml:space="preserve">Schema: install dependencies, generate the Prisma client, apply the versioned migrations using the direct URL.</w:t>
      </w:r>
    </w:p>
    <w:p>
      <w:pPr>
        <w:pStyle w:val="ListParagraph"/>
        <w:numPr>
          <w:ilvl w:val="0"/>
          <w:numId w:val="2"/>
        </w:numPr>
        <w:spacing w:after="60" w:line="312"/>
        <w:jc w:val="left"/>
      </w:pPr>
      <w:r>
        <w:rPr>
          <w:rFonts w:ascii="Times New Roman" w:eastAsia="SimSun" w:hAnsi="Times New Roman"/>
          <w:b w:val="false"/>
          <w:bCs w:val="false"/>
          <w:i w:val="false"/>
          <w:iCs w:val="false"/>
          <w:color w:val="000000"/>
          <w:sz w:val="24"/>
          <w:szCs w:val="24"/>
        </w:rPr>
        <w:t xml:space="preserve">Content: run the seed twice — the second run must change nothing; art is already committed, regeneration is optional.</w:t>
      </w:r>
    </w:p>
    <w:p>
      <w:pPr>
        <w:pStyle w:val="ListParagraph"/>
        <w:numPr>
          <w:ilvl w:val="0"/>
          <w:numId w:val="2"/>
        </w:numPr>
        <w:spacing w:after="60" w:line="312"/>
        <w:jc w:val="left"/>
      </w:pPr>
      <w:r>
        <w:rPr>
          <w:rFonts w:ascii="Times New Roman" w:eastAsia="SimSun" w:hAnsi="Times New Roman"/>
          <w:b w:val="false"/>
          <w:bCs w:val="false"/>
          <w:i w:val="false"/>
          <w:iCs w:val="false"/>
          <w:color w:val="000000"/>
          <w:sz w:val="24"/>
          <w:szCs w:val="24"/>
        </w:rPr>
        <w:t xml:space="preserve">Deploy: import the repository at the hosting provider, confirm the four environment variables, and deploy the standalone build.</w:t>
      </w:r>
    </w:p>
    <w:p>
      <w:pPr>
        <w:pStyle w:val="ListParagraph"/>
        <w:numPr>
          <w:ilvl w:val="0"/>
          <w:numId w:val="2"/>
        </w:numPr>
        <w:spacing w:after="60" w:line="312"/>
        <w:jc w:val="left"/>
      </w:pPr>
      <w:r>
        <w:rPr>
          <w:rFonts w:ascii="Times New Roman" w:eastAsia="SimSun" w:hAnsi="Times New Roman"/>
          <w:b w:val="false"/>
          <w:bCs w:val="false"/>
          <w:i w:val="false"/>
          <w:iCs w:val="false"/>
          <w:color w:val="000000"/>
          <w:sz w:val="24"/>
          <w:szCs w:val="24"/>
        </w:rPr>
        <w:t xml:space="preserve">Smoke: open the home page (12 series, right-to-left), check the health endpoint, sign in as each demo account, and confirm the admin dashboard.</w:t>
      </w:r>
    </w:p>
    <w:p>
      <w:pPr>
        <w:pStyle w:val="Heading2"/>
        <w:spacing w:after="120" w:before="240" w:line="312"/>
        <w:jc w:val="left"/>
      </w:pPr>
      <w:bookmarkStart w:id="100021" w:name="_Toc100021"/>
      <w:r>
        <w:rPr>
          <w:rFonts w:ascii="Times New Roman" w:eastAsia="SimHei" w:hAnsi="Times New Roman"/>
          <w:b/>
          <w:bCs/>
          <w:color w:val="0A1628"/>
          <w:sz w:val="30"/>
          <w:szCs w:val="30"/>
        </w:rPr>
        <w:t xml:space="preserve">6.4 Post-deployment verification chain</w:t>
      </w:r>
      <w:bookmarkEnd w:id="100021"/>
    </w:p>
    <w:p>
      <w:pPr>
        <w:spacing w:after="120" w:line="312"/>
        <w:jc w:val="both"/>
      </w:pPr>
      <w:r>
        <w:rPr>
          <w:rFonts w:ascii="Times New Roman" w:eastAsia="SimSun" w:hAnsi="Times New Roman"/>
          <w:b w:val="false"/>
          <w:bCs w:val="false"/>
          <w:i w:val="false"/>
          <w:iCs w:val="false"/>
          <w:color w:val="000000"/>
          <w:sz w:val="24"/>
          <w:szCs w:val="24"/>
        </w:rPr>
        <w:t xml:space="preserve">After the rotated credentials arrive, the same chain restores full database QA locally before deployment, and it repeats verbatim against production afterwards. Expected outcomes are listed so any deviation is immediately visible:</w:t>
      </w:r>
    </w:p>
    <w:p>
      <w:pPr>
        <w:pStyle w:val="ListParagraph"/>
        <w:numPr>
          <w:ilvl w:val="0"/>
          <w:numId w:val="3"/>
        </w:numPr>
        <w:spacing w:after="60" w:line="312"/>
        <w:jc w:val="left"/>
      </w:pPr>
      <w:r>
        <w:rPr>
          <w:rFonts w:ascii="Times New Roman" w:eastAsia="SimSun" w:hAnsi="Times New Roman"/>
          <w:b w:val="false"/>
          <w:bCs w:val="false"/>
          <w:i w:val="false"/>
          <w:iCs w:val="false"/>
          <w:color w:val="000000"/>
          <w:sz w:val="24"/>
          <w:szCs w:val="24"/>
        </w:rPr>
        <w:t xml:space="preserve">Migration status: four migrations recognized; the deploy run applies them, and a second run reports the database as up to date.</w:t>
      </w:r>
    </w:p>
    <w:p>
      <w:pPr>
        <w:pStyle w:val="ListParagraph"/>
        <w:numPr>
          <w:ilvl w:val="0"/>
          <w:numId w:val="3"/>
        </w:numPr>
        <w:spacing w:after="60" w:line="312"/>
        <w:jc w:val="left"/>
      </w:pPr>
      <w:r>
        <w:rPr>
          <w:rFonts w:ascii="Times New Roman" w:eastAsia="SimSun" w:hAnsi="Times New Roman"/>
          <w:b w:val="false"/>
          <w:bCs w:val="false"/>
          <w:i w:val="false"/>
          <w:iCs w:val="false"/>
          <w:color w:val="000000"/>
          <w:sz w:val="24"/>
          <w:szCs w:val="24"/>
        </w:rPr>
        <w:t xml:space="preserve">Constraint verifier, after its Release E extension: every check passes.</w:t>
      </w:r>
    </w:p>
    <w:p>
      <w:pPr>
        <w:pStyle w:val="ListParagraph"/>
        <w:numPr>
          <w:ilvl w:val="0"/>
          <w:numId w:val="3"/>
        </w:numPr>
        <w:spacing w:after="60" w:line="312"/>
        <w:jc w:val="left"/>
      </w:pPr>
      <w:r>
        <w:rPr>
          <w:rFonts w:ascii="Times New Roman" w:eastAsia="SimSun" w:hAnsi="Times New Roman"/>
          <w:b w:val="false"/>
          <w:bCs w:val="false"/>
          <w:i w:val="false"/>
          <w:iCs w:val="false"/>
          <w:color w:val="000000"/>
          <w:sz w:val="24"/>
          <w:szCs w:val="24"/>
        </w:rPr>
        <w:t xml:space="preserve">Seed twice: byte-identical counts, including 348 analytics events, 24 comments, 8 comment likes and 4 notifications.</w:t>
      </w:r>
    </w:p>
    <w:p>
      <w:pPr>
        <w:pStyle w:val="ListParagraph"/>
        <w:numPr>
          <w:ilvl w:val="0"/>
          <w:numId w:val="3"/>
        </w:numPr>
        <w:spacing w:after="60" w:line="312"/>
        <w:jc w:val="left"/>
      </w:pPr>
      <w:r>
        <w:rPr>
          <w:rFonts w:ascii="Times New Roman" w:eastAsia="SimSun" w:hAnsi="Times New Roman"/>
          <w:b w:val="false"/>
          <w:bCs w:val="false"/>
          <w:i w:val="false"/>
          <w:iCs w:val="false"/>
          <w:color w:val="000000"/>
          <w:sz w:val="24"/>
          <w:szCs w:val="24"/>
        </w:rPr>
        <w:t xml:space="preserve">Spot checks: the For You rail with Arabic reason anchors, profile streak and badges, the notification bell, an Arabic search typo case, a per-series Open Graph image, and one moderation action.</w:t>
      </w:r>
    </w:p>
    <w:p>
      <w:pPr>
        <w:pStyle w:val="ListParagraph"/>
        <w:numPr>
          <w:ilvl w:val="0"/>
          <w:numId w:val="3"/>
        </w:numPr>
        <w:spacing w:after="60" w:line="312"/>
        <w:jc w:val="left"/>
      </w:pPr>
      <w:r>
        <w:rPr>
          <w:rFonts w:ascii="Times New Roman" w:eastAsia="SimSun" w:hAnsi="Times New Roman"/>
          <w:b w:val="false"/>
          <w:bCs w:val="false"/>
          <w:i w:val="false"/>
          <w:iCs w:val="false"/>
          <w:color w:val="000000"/>
          <w:sz w:val="24"/>
          <w:szCs w:val="24"/>
        </w:rPr>
        <w:t xml:space="preserve">Strict-CSP completion: sign-in POST and a server action exercised in a real browser with zero console violations.</w:t>
      </w:r>
    </w:p>
    <w:p>
      <w:pPr>
        <w:pStyle w:val="Heading1"/>
        <w:spacing w:after="160" w:before="360" w:line="312"/>
        <w:jc w:val="center"/>
      </w:pPr>
      <w:bookmarkStart w:id="100022" w:name="_Toc100022"/>
      <w:r>
        <w:rPr>
          <w:rFonts w:ascii="Times New Roman" w:eastAsia="SimHei" w:hAnsi="Times New Roman"/>
          <w:b/>
          <w:bCs/>
          <w:color w:val="0A1628"/>
          <w:sz w:val="32"/>
          <w:szCs w:val="32"/>
        </w:rPr>
        <w:t xml:space="preserve">7. Continuation Plan — Phases 0 to 3</w:t>
      </w:r>
      <w:bookmarkEnd w:id="100022"/>
    </w:p>
    <w:p>
      <w:pPr>
        <w:spacing w:after="120" w:line="312"/>
        <w:jc w:val="both"/>
      </w:pPr>
      <w:r>
        <w:rPr>
          <w:rFonts w:ascii="Times New Roman" w:eastAsia="SimSun" w:hAnsi="Times New Roman"/>
          <w:b w:val="false"/>
          <w:bCs w:val="false"/>
          <w:i w:val="false"/>
          <w:iCs w:val="false"/>
          <w:color w:val="000000"/>
          <w:sz w:val="24"/>
          <w:szCs w:val="24"/>
        </w:rPr>
        <w:t xml:space="preserve">The plan below is sequenced so that deployment is unblocked first, hardening lands immediately after, and the Translation Team ships as the next feature release. The founder's approval of this sequence, plus the two direction decisions in it, should be recorded as FD-14 in docs/FOUNDER_DECISIONS.md, keeping the decision log continuous from FD-1.</w:t>
      </w:r>
    </w:p>
    <w:p>
      <w:pPr>
        <w:pStyle w:val="Heading2"/>
        <w:spacing w:after="120" w:before="240" w:line="312"/>
        <w:jc w:val="left"/>
      </w:pPr>
      <w:bookmarkStart w:id="100023" w:name="_Toc100023"/>
      <w:r>
        <w:rPr>
          <w:rFonts w:ascii="Times New Roman" w:eastAsia="SimHei" w:hAnsi="Times New Roman"/>
          <w:b/>
          <w:bCs/>
          <w:color w:val="0A1628"/>
          <w:sz w:val="30"/>
          <w:szCs w:val="30"/>
        </w:rPr>
        <w:t xml:space="preserve">7.1 Phase 0 — Go-live unblock</w:t>
      </w:r>
      <w:bookmarkEnd w:id="100023"/>
    </w:p>
    <w:p>
      <w:pPr>
        <w:spacing w:after="120" w:line="312"/>
        <w:jc w:val="both"/>
      </w:pPr>
      <w:r>
        <w:rPr>
          <w:rFonts w:ascii="Times New Roman" w:eastAsia="SimSun" w:hAnsi="Times New Roman"/>
          <w:b w:val="false"/>
          <w:bCs w:val="false"/>
          <w:i w:val="false"/>
          <w:iCs w:val="false"/>
          <w:color w:val="000000"/>
          <w:sz w:val="24"/>
          <w:szCs w:val="24"/>
        </w:rPr>
        <w:t xml:space="preserve">Phase 0 exists to convert the blocker list into a live URL. It needs roughly one hour of combined effort once the rotated credentials exist, and it ends with the prototype publicly reachable, fully seeded and verified in its production environment.</w:t>
      </w:r>
    </w:p>
    <w:p>
      <w:pPr>
        <w:keepNext/>
        <w:spacing w:after="80" w:before="200" w:line="312"/>
        <w:jc w:val="left"/>
      </w:pPr>
      <w:r>
        <w:rPr>
          <w:rFonts w:ascii="Times New Roman" w:eastAsia="SimSun" w:hAnsi="Times New Roman"/>
          <w:b/>
          <w:bCs/>
          <w:color w:val="505A68"/>
          <w:sz w:val="21"/>
          <w:szCs w:val="21"/>
        </w:rPr>
        <w:t xml:space="preserve">Table 13: Phase 0 steps, owners and outputs</w:t>
      </w:r>
    </w:p>
    <w:tbl>
      <w:tblPr>
        <w:tblW w:type="pct" w:w="5000"/>
        <w:tblBorders>
          <w:top w:val="single" w:color="1B6B7A" w:sz="2"/>
          <w:left w:val="none" w:color="FFFFFF" w:sz="0"/>
          <w:bottom w:val="none" w:color="FFFFFF" w:sz="0"/>
          <w:right w:val="none" w:color="FFFFFF" w:sz="0"/>
          <w:insideH w:val="single" w:color="C8DDE2" w:sz="1"/>
          <w:insideV w:val="none" w:color="FFFFFF" w:sz="0"/>
        </w:tblBorders>
      </w:tblPr>
      <w:tblGrid>
        <w:gridCol w:w="4042"/>
        <w:gridCol w:w="1933"/>
        <w:gridCol w:w="2812"/>
      </w:tblGrid>
      <w:tr>
        <w:trPr>
          <w:cantSplit/>
          <w:tblHeader/>
        </w:trPr>
        <w:tc>
          <w:tcPr>
            <w:tcW w:type="pct" w:w="2300"/>
            <w:shd w:fill="1B6B7A" w:val="clear"/>
            <w:tcMar>
              <w:top w:type="dxa" w:w="60"/>
              <w:left w:type="dxa" w:w="120"/>
              <w:bottom w:type="dxa" w:w="60"/>
              <w:right w:type="dxa" w:w="120"/>
            </w:tcMar>
          </w:tcPr>
          <w:p>
            <w:pPr>
              <w:spacing w:line="312"/>
              <w:jc w:val="left"/>
            </w:pPr>
            <w:r>
              <w:rPr>
                <w:rFonts w:ascii="Times New Roman" w:eastAsia="SimSun" w:hAnsi="Times New Roman"/>
                <w:b/>
                <w:bCs/>
                <w:color w:val="FFFFFF"/>
                <w:sz w:val="21"/>
                <w:szCs w:val="21"/>
              </w:rPr>
              <w:t xml:space="preserve">Step</w:t>
            </w:r>
          </w:p>
        </w:tc>
        <w:tc>
          <w:tcPr>
            <w:tcW w:type="pct" w:w="1100"/>
            <w:shd w:fill="1B6B7A" w:val="clear"/>
            <w:tcMar>
              <w:top w:type="dxa" w:w="60"/>
              <w:left w:type="dxa" w:w="120"/>
              <w:bottom w:type="dxa" w:w="60"/>
              <w:right w:type="dxa" w:w="120"/>
            </w:tcMar>
          </w:tcPr>
          <w:p>
            <w:pPr>
              <w:spacing w:line="312"/>
              <w:jc w:val="left"/>
            </w:pPr>
            <w:r>
              <w:rPr>
                <w:rFonts w:ascii="Times New Roman" w:eastAsia="SimSun" w:hAnsi="Times New Roman"/>
                <w:b/>
                <w:bCs/>
                <w:color w:val="FFFFFF"/>
                <w:sz w:val="21"/>
                <w:szCs w:val="21"/>
              </w:rPr>
              <w:t xml:space="preserve">Owner</w:t>
            </w:r>
          </w:p>
        </w:tc>
        <w:tc>
          <w:tcPr>
            <w:tcW w:type="pct" w:w="1600"/>
            <w:shd w:fill="1B6B7A" w:val="clear"/>
            <w:tcMar>
              <w:top w:type="dxa" w:w="60"/>
              <w:left w:type="dxa" w:w="120"/>
              <w:bottom w:type="dxa" w:w="60"/>
              <w:right w:type="dxa" w:w="120"/>
            </w:tcMar>
          </w:tcPr>
          <w:p>
            <w:pPr>
              <w:spacing w:line="312"/>
              <w:jc w:val="left"/>
            </w:pPr>
            <w:r>
              <w:rPr>
                <w:rFonts w:ascii="Times New Roman" w:eastAsia="SimSun" w:hAnsi="Times New Roman"/>
                <w:b/>
                <w:bCs/>
                <w:color w:val="FFFFFF"/>
                <w:sz w:val="21"/>
                <w:szCs w:val="21"/>
              </w:rPr>
              <w:t xml:space="preserve">Output</w:t>
            </w:r>
          </w:p>
        </w:tc>
      </w:tr>
      <w:tr>
        <w:trPr>
          <w:cantSplit/>
        </w:trPr>
        <w:tc>
          <w:tcPr>
            <w:tcW w:type="pct" w:w="23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Deliver rotated pooled and direct connection strings</w:t>
            </w:r>
          </w:p>
        </w:tc>
        <w:tc>
          <w:tcPr>
            <w:tcW w:type="pct" w:w="11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Founder</w:t>
            </w:r>
          </w:p>
        </w:tc>
        <w:tc>
          <w:tcPr>
            <w:tcW w:type="pct" w:w="16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Credentials in the local environment file, never in chat</w:t>
            </w:r>
          </w:p>
        </w:tc>
      </w:tr>
      <w:tr>
        <w:trPr>
          <w:cantSplit/>
        </w:trPr>
        <w:tc>
          <w:tcPr>
            <w:tcW w:type="pct" w:w="23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Extend the constraint verifier for Release E tables</w:t>
            </w:r>
          </w:p>
        </w:tc>
        <w:tc>
          <w:tcPr>
            <w:tcW w:type="pct" w:w="11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Engineering</w:t>
            </w:r>
          </w:p>
        </w:tc>
        <w:tc>
          <w:tcPr>
            <w:tcW w:type="pct" w:w="16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Verifier ready for the post-migration run</w:t>
            </w:r>
          </w:p>
        </w:tc>
      </w:tr>
      <w:tr>
        <w:trPr>
          <w:cantSplit/>
        </w:trPr>
        <w:tc>
          <w:tcPr>
            <w:tcW w:type="pct" w:w="23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Create the remote and push main</w:t>
            </w:r>
          </w:p>
        </w:tc>
        <w:tc>
          <w:tcPr>
            <w:tcW w:type="pct" w:w="11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Founder and engineering</w:t>
            </w:r>
          </w:p>
        </w:tc>
        <w:tc>
          <w:tcPr>
            <w:tcW w:type="pct" w:w="16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Repository importable by the hosting provider</w:t>
            </w:r>
          </w:p>
        </w:tc>
      </w:tr>
      <w:tr>
        <w:trPr>
          <w:cantSplit/>
        </w:trPr>
        <w:tc>
          <w:tcPr>
            <w:tcW w:type="pct" w:w="23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Run the post-deployment verification chain locally</w:t>
            </w:r>
          </w:p>
        </w:tc>
        <w:tc>
          <w:tcPr>
            <w:tcW w:type="pct" w:w="11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Engineering</w:t>
            </w:r>
          </w:p>
        </w:tc>
        <w:tc>
          <w:tcPr>
            <w:tcW w:type="pct" w:w="16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Migrations applied; seed identical twice</w:t>
            </w:r>
          </w:p>
        </w:tc>
      </w:tr>
      <w:tr>
        <w:trPr>
          <w:cantSplit/>
        </w:trPr>
        <w:tc>
          <w:tcPr>
            <w:tcW w:type="pct" w:w="23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Deploy and run the smoke checks</w:t>
            </w:r>
          </w:p>
        </w:tc>
        <w:tc>
          <w:tcPr>
            <w:tcW w:type="pct" w:w="11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Founder and engineering</w:t>
            </w:r>
          </w:p>
        </w:tc>
        <w:tc>
          <w:tcPr>
            <w:tcW w:type="pct" w:w="16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Production URL with a healthy endpoint</w:t>
            </w:r>
          </w:p>
        </w:tc>
      </w:tr>
      <w:tr>
        <w:trPr>
          <w:cantSplit/>
        </w:trPr>
        <w:tc>
          <w:tcPr>
            <w:tcW w:type="pct" w:w="2300"/>
            <w:tcBorders>
              <w:bottom w:val="single" w:color="1B6B7A" w:sz="2"/>
            </w:tcBorders>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Complete the strict-CSP end-to-end pass in production</w:t>
            </w:r>
          </w:p>
        </w:tc>
        <w:tc>
          <w:tcPr>
            <w:tcW w:type="pct" w:w="1100"/>
            <w:tcBorders>
              <w:bottom w:val="single" w:color="1B6B7A" w:sz="2"/>
            </w:tcBorders>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Engineering</w:t>
            </w:r>
          </w:p>
        </w:tc>
        <w:tc>
          <w:tcPr>
            <w:tcW w:type="pct" w:w="1600"/>
            <w:tcBorders>
              <w:bottom w:val="single" w:color="1B6B7A" w:sz="2"/>
            </w:tcBorders>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Zero console violations on sign-in and server actions</w:t>
            </w:r>
          </w:p>
        </w:tc>
      </w:tr>
    </w:tbl>
    <w:p>
      <w:pPr>
        <w:spacing w:after="0" w:before="0" w:line="40" w:lineRule="exact"/>
      </w:pPr>
      <w:r>
        <w:rPr>
          <w:sz w:val="2"/>
          <w:szCs w:val="2"/>
        </w:rPr>
        <w:t xml:space="preserve"/>
      </w:r>
    </w:p>
    <w:p>
      <w:pPr>
        <w:pStyle w:val="Heading2"/>
        <w:spacing w:after="120" w:before="240" w:line="312"/>
        <w:jc w:val="left"/>
      </w:pPr>
      <w:bookmarkStart w:id="100024" w:name="_Toc100024"/>
      <w:r>
        <w:rPr>
          <w:rFonts w:ascii="Times New Roman" w:eastAsia="SimHei" w:hAnsi="Times New Roman"/>
          <w:b/>
          <w:bCs/>
          <w:color w:val="0A1628"/>
          <w:sz w:val="30"/>
          <w:szCs w:val="30"/>
        </w:rPr>
        <w:t xml:space="preserve">7.2 Phase 1 — Release F, production hardening (one engineering session)</w:t>
      </w:r>
      <w:bookmarkEnd w:id="100024"/>
    </w:p>
    <w:p>
      <w:pPr>
        <w:spacing w:after="120" w:line="312"/>
        <w:jc w:val="both"/>
      </w:pPr>
      <w:r>
        <w:rPr>
          <w:rFonts w:ascii="Times New Roman" w:eastAsia="SimSun" w:hAnsi="Times New Roman"/>
          <w:b w:val="false"/>
          <w:bCs w:val="false"/>
          <w:i w:val="false"/>
          <w:iCs w:val="false"/>
          <w:color w:val="000000"/>
          <w:sz w:val="24"/>
          <w:szCs w:val="24"/>
        </w:rPr>
        <w:t xml:space="preserve">Release F hardens the platform for real users without changing scope. The work items, in priority order, are: login and comment-posting rate limiting at the middleware and action layers; per-type notification preferences on the profile; deterministic tie-breaking in the For You rail by ordering anchors on recency, which is a one-line change; timezone-aware streak buckets once real users exist; cleanup of the two manga-reader lint warnings; an admin password-change capability; and monitoring activation behind the existing stubs if keys are provided. Exit criteria mirror the house convention: typecheck and lint clean, production build green, browser-verified end to end, report and README updated, one commit.</w:t>
      </w:r>
    </w:p>
    <w:p>
      <w:pPr>
        <w:pStyle w:val="Heading2"/>
        <w:spacing w:after="120" w:before="240" w:line="312"/>
        <w:jc w:val="left"/>
      </w:pPr>
      <w:bookmarkStart w:id="100025" w:name="_Toc100025"/>
      <w:r>
        <w:rPr>
          <w:rFonts w:ascii="Times New Roman" w:eastAsia="SimHei" w:hAnsi="Times New Roman"/>
          <w:b/>
          <w:bCs/>
          <w:color w:val="0A1628"/>
          <w:sz w:val="30"/>
          <w:szCs w:val="30"/>
        </w:rPr>
        <w:t xml:space="preserve">7.3 Phase 2 — Release G, Translation Team lite (one engineering session, gated)</w:t>
      </w:r>
      <w:bookmarkEnd w:id="100025"/>
    </w:p>
    <w:p>
      <w:pPr>
        <w:spacing w:after="120" w:line="312"/>
        <w:jc w:val="both"/>
      </w:pPr>
      <w:r>
        <w:rPr>
          <w:rFonts w:ascii="Times New Roman" w:eastAsia="SimSun" w:hAnsi="Times New Roman"/>
          <w:b w:val="false"/>
          <w:bCs w:val="false"/>
          <w:i w:val="false"/>
          <w:iCs w:val="false"/>
          <w:color w:val="000000"/>
          <w:sz w:val="24"/>
          <w:szCs w:val="24"/>
        </w:rPr>
        <w:t xml:space="preserve">As designed in Chapter 5, this phase is gated on two founder decisions: the direction — English editions of original fiction first, or pipeline preparation only — and the role strategy, where option B reuses the editor role with zero schema change. Deliverables follow the D and E pattern: the translation table and assignment queue, the side-by-side editor for novel prose, studio progress widgets, assignment notifications, seed additions under the idempotency guards, a browser-verified end-to-end run, and a release report.</w:t>
      </w:r>
    </w:p>
    <w:p>
      <w:pPr>
        <w:pStyle w:val="Heading2"/>
        <w:spacing w:after="120" w:before="240" w:line="312"/>
        <w:jc w:val="left"/>
      </w:pPr>
      <w:bookmarkStart w:id="100026" w:name="_Toc100026"/>
      <w:r>
        <w:rPr>
          <w:rFonts w:ascii="Times New Roman" w:eastAsia="SimHei" w:hAnsi="Times New Roman"/>
          <w:b/>
          <w:bCs/>
          <w:color w:val="0A1628"/>
          <w:sz w:val="30"/>
          <w:szCs w:val="30"/>
        </w:rPr>
        <w:t xml:space="preserve">7.4 Phase 3 — Growth backlog (trigger-driven)</w:t>
      </w:r>
      <w:bookmarkEnd w:id="100026"/>
    </w:p>
    <w:p>
      <w:pPr>
        <w:spacing w:after="120" w:line="312"/>
        <w:jc w:val="both"/>
      </w:pPr>
      <w:r>
        <w:rPr>
          <w:rFonts w:ascii="Times New Roman" w:eastAsia="SimSun" w:hAnsi="Times New Roman"/>
          <w:b w:val="false"/>
          <w:bCs w:val="false"/>
          <w:i w:val="false"/>
          <w:iCs w:val="false"/>
          <w:color w:val="000000"/>
          <w:sz w:val="24"/>
          <w:szCs w:val="24"/>
        </w:rPr>
        <w:t xml:space="preserve">The backlog items below stay parked until their trigger fires, which keeps the roadmap honest about what the current scale does not yet need.</w:t>
      </w:r>
    </w:p>
    <w:p>
      <w:pPr>
        <w:keepNext/>
        <w:spacing w:after="80" w:before="200" w:line="312"/>
        <w:jc w:val="left"/>
      </w:pPr>
      <w:r>
        <w:rPr>
          <w:rFonts w:ascii="Times New Roman" w:eastAsia="SimSun" w:hAnsi="Times New Roman"/>
          <w:b/>
          <w:bCs/>
          <w:color w:val="505A68"/>
          <w:sz w:val="21"/>
          <w:szCs w:val="21"/>
        </w:rPr>
        <w:t xml:space="preserve">Table 14: Growth backlog and start triggers</w:t>
      </w:r>
    </w:p>
    <w:tbl>
      <w:tblPr>
        <w:tblW w:type="pct" w:w="5000"/>
        <w:tblBorders>
          <w:top w:val="single" w:color="1B6B7A" w:sz="2"/>
          <w:left w:val="none" w:color="FFFFFF" w:sz="0"/>
          <w:bottom w:val="none" w:color="FFFFFF" w:sz="0"/>
          <w:right w:val="none" w:color="FFFFFF" w:sz="0"/>
          <w:insideH w:val="single" w:color="C8DDE2" w:sz="1"/>
          <w:insideV w:val="none" w:color="FFFFFF" w:sz="0"/>
        </w:tblBorders>
      </w:tblPr>
      <w:tblGrid>
        <w:gridCol w:w="4570"/>
        <w:gridCol w:w="4218"/>
      </w:tblGrid>
      <w:tr>
        <w:trPr>
          <w:cantSplit/>
          <w:tblHeader/>
        </w:trPr>
        <w:tc>
          <w:tcPr>
            <w:tcW w:type="pct" w:w="2600"/>
            <w:shd w:fill="1B6B7A" w:val="clear"/>
            <w:tcMar>
              <w:top w:type="dxa" w:w="60"/>
              <w:left w:type="dxa" w:w="120"/>
              <w:bottom w:type="dxa" w:w="60"/>
              <w:right w:type="dxa" w:w="120"/>
            </w:tcMar>
          </w:tcPr>
          <w:p>
            <w:pPr>
              <w:spacing w:line="312"/>
              <w:jc w:val="left"/>
            </w:pPr>
            <w:r>
              <w:rPr>
                <w:rFonts w:ascii="Times New Roman" w:eastAsia="SimSun" w:hAnsi="Times New Roman"/>
                <w:b/>
                <w:bCs/>
                <w:color w:val="FFFFFF"/>
                <w:sz w:val="21"/>
                <w:szCs w:val="21"/>
              </w:rPr>
              <w:t xml:space="preserve">Item</w:t>
            </w:r>
          </w:p>
        </w:tc>
        <w:tc>
          <w:tcPr>
            <w:tcW w:type="pct" w:w="2400"/>
            <w:shd w:fill="1B6B7A" w:val="clear"/>
            <w:tcMar>
              <w:top w:type="dxa" w:w="60"/>
              <w:left w:type="dxa" w:w="120"/>
              <w:bottom w:type="dxa" w:w="60"/>
              <w:right w:type="dxa" w:w="120"/>
            </w:tcMar>
          </w:tcPr>
          <w:p>
            <w:pPr>
              <w:spacing w:line="312"/>
              <w:jc w:val="left"/>
            </w:pPr>
            <w:r>
              <w:rPr>
                <w:rFonts w:ascii="Times New Roman" w:eastAsia="SimSun" w:hAnsi="Times New Roman"/>
                <w:b/>
                <w:bCs/>
                <w:color w:val="FFFFFF"/>
                <w:sz w:val="21"/>
                <w:szCs w:val="21"/>
              </w:rPr>
              <w:t xml:space="preserve">Trigger to start</w:t>
            </w:r>
          </w:p>
        </w:tc>
      </w:tr>
      <w:tr>
        <w:trPr>
          <w:cantSplit/>
        </w:trPr>
        <w:tc>
          <w:tcPr>
            <w:tcW w:type="pct" w:w="26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Database-backed search index (trigram or full-text)</w:t>
            </w:r>
          </w:p>
        </w:tc>
        <w:tc>
          <w:tcPr>
            <w:tcW w:type="pct" w:w="24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Catalog grows beyond the low thousands of series</w:t>
            </w:r>
          </w:p>
        </w:tc>
      </w:tr>
      <w:tr>
        <w:trPr>
          <w:cantSplit/>
        </w:trPr>
        <w:tc>
          <w:tcPr>
            <w:tcW w:type="pct" w:w="26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Push notifications replacing 60-second polling</w:t>
            </w:r>
          </w:p>
        </w:tc>
        <w:tc>
          <w:tcPr>
            <w:tcW w:type="pct" w:w="24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Retention data shows notification-driven return visits</w:t>
            </w:r>
          </w:p>
        </w:tc>
      </w:tr>
      <w:tr>
        <w:trPr>
          <w:cantSplit/>
        </w:trPr>
        <w:tc>
          <w:tcPr>
            <w:tcW w:type="pct" w:w="26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Image CDN and responsive variants</w:t>
            </w:r>
          </w:p>
        </w:tc>
        <w:tc>
          <w:tcPr>
            <w:tcW w:type="pct" w:w="24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Real traffic on the art assets</w:t>
            </w:r>
          </w:p>
        </w:tc>
      </w:tr>
      <w:tr>
        <w:trPr>
          <w:cantSplit/>
        </w:trPr>
        <w:tc>
          <w:tcPr>
            <w:tcW w:type="pct" w:w="26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PDPL, Terms of Service, DMCA templates and consent banner</w:t>
            </w:r>
          </w:p>
        </w:tc>
        <w:tc>
          <w:tcPr>
            <w:tcW w:type="pct" w:w="24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Public launch at scale, with the lawyer</w:t>
            </w:r>
          </w:p>
        </w:tc>
      </w:tr>
      <w:tr>
        <w:trPr>
          <w:cantSplit/>
        </w:trPr>
        <w:tc>
          <w:tcPr>
            <w:tcW w:type="pct" w:w="26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Social graph (follows and feeds)</w:t>
            </w:r>
          </w:p>
        </w:tc>
        <w:tc>
          <w:tcPr>
            <w:tcW w:type="pct" w:w="24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Founder scope decision — moderation surface grows non-linearly</w:t>
            </w:r>
          </w:p>
        </w:tc>
      </w:tr>
      <w:tr>
        <w:trPr>
          <w:cantSplit/>
        </w:trPr>
        <w:tc>
          <w:tcPr>
            <w:tcW w:type="pct" w:w="2600"/>
            <w:tcBorders>
              <w:bottom w:val="single" w:color="1B6B7A" w:sz="2"/>
            </w:tcBorders>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Mobile applications</w:t>
            </w:r>
          </w:p>
        </w:tc>
        <w:tc>
          <w:tcPr>
            <w:tcW w:type="pct" w:w="2400"/>
            <w:tcBorders>
              <w:bottom w:val="single" w:color="1B6B7A" w:sz="2"/>
            </w:tcBorders>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Remains deferred; web first</w:t>
            </w:r>
          </w:p>
        </w:tc>
      </w:tr>
    </w:tbl>
    <w:p>
      <w:pPr>
        <w:spacing w:after="0" w:before="0" w:line="40" w:lineRule="exact"/>
      </w:pPr>
      <w:r>
        <w:rPr>
          <w:sz w:val="2"/>
          <w:szCs w:val="2"/>
        </w:rPr>
        <w:t xml:space="preserve"/>
      </w:r>
    </w:p>
    <w:p>
      <w:pPr>
        <w:pStyle w:val="Heading1"/>
        <w:spacing w:after="160" w:before="360" w:line="312"/>
        <w:jc w:val="center"/>
      </w:pPr>
      <w:bookmarkStart w:id="100027" w:name="_Toc100027"/>
      <w:r>
        <w:rPr>
          <w:rFonts w:ascii="Times New Roman" w:eastAsia="SimHei" w:hAnsi="Times New Roman"/>
          <w:b/>
          <w:bCs/>
          <w:color w:val="0A1628"/>
          <w:sz w:val="32"/>
          <w:szCs w:val="32"/>
        </w:rPr>
        <w:t xml:space="preserve">8. Risks, Constraints and Accepted Limitations</w:t>
      </w:r>
      <w:bookmarkEnd w:id="100027"/>
    </w:p>
    <w:p>
      <w:pPr>
        <w:spacing w:after="120" w:line="312"/>
        <w:jc w:val="both"/>
      </w:pPr>
      <w:r>
        <w:rPr>
          <w:rFonts w:ascii="Times New Roman" w:eastAsia="SimSun" w:hAnsi="Times New Roman"/>
          <w:b w:val="false"/>
          <w:bCs w:val="false"/>
          <w:i w:val="false"/>
          <w:iCs w:val="false"/>
          <w:color w:val="000000"/>
          <w:sz w:val="24"/>
          <w:szCs w:val="24"/>
        </w:rPr>
        <w:t xml:space="preserve">Every limitation below is already documented in the repository rather than discovered here, which is the correct posture for a prototype heading to deployment. Severity labels reflect the demo context; a production launch with real users would raise several of them, and the continuation plan already schedules the corresponding work.</w:t>
      </w:r>
    </w:p>
    <w:p>
      <w:pPr>
        <w:keepNext/>
        <w:spacing w:after="80" w:before="200" w:line="312"/>
        <w:jc w:val="left"/>
      </w:pPr>
      <w:r>
        <w:rPr>
          <w:rFonts w:ascii="Times New Roman" w:eastAsia="SimSun" w:hAnsi="Times New Roman"/>
          <w:b/>
          <w:bCs/>
          <w:color w:val="505A68"/>
          <w:sz w:val="21"/>
          <w:szCs w:val="21"/>
        </w:rPr>
        <w:t xml:space="preserve">Table 15: Risk register with mitigation status</w:t>
      </w:r>
    </w:p>
    <w:tbl>
      <w:tblPr>
        <w:tblW w:type="pct" w:w="5000"/>
        <w:tblBorders>
          <w:top w:val="single" w:color="1B6B7A" w:sz="2"/>
          <w:left w:val="none" w:color="FFFFFF" w:sz="0"/>
          <w:bottom w:val="none" w:color="FFFFFF" w:sz="0"/>
          <w:right w:val="none" w:color="FFFFFF" w:sz="0"/>
          <w:insideH w:val="single" w:color="C8DDE2" w:sz="1"/>
          <w:insideV w:val="none" w:color="FFFFFF" w:sz="0"/>
        </w:tblBorders>
      </w:tblPr>
      <w:tblGrid>
        <w:gridCol w:w="4042"/>
        <w:gridCol w:w="1230"/>
        <w:gridCol w:w="3515"/>
      </w:tblGrid>
      <w:tr>
        <w:trPr>
          <w:cantSplit/>
          <w:tblHeader/>
        </w:trPr>
        <w:tc>
          <w:tcPr>
            <w:tcW w:type="pct" w:w="2300"/>
            <w:shd w:fill="1B6B7A" w:val="clear"/>
            <w:tcMar>
              <w:top w:type="dxa" w:w="60"/>
              <w:left w:type="dxa" w:w="120"/>
              <w:bottom w:type="dxa" w:w="60"/>
              <w:right w:type="dxa" w:w="120"/>
            </w:tcMar>
          </w:tcPr>
          <w:p>
            <w:pPr>
              <w:spacing w:line="312"/>
              <w:jc w:val="left"/>
            </w:pPr>
            <w:r>
              <w:rPr>
                <w:rFonts w:ascii="Times New Roman" w:eastAsia="SimSun" w:hAnsi="Times New Roman"/>
                <w:b/>
                <w:bCs/>
                <w:color w:val="FFFFFF"/>
                <w:sz w:val="21"/>
                <w:szCs w:val="21"/>
              </w:rPr>
              <w:t xml:space="preserve">Risk</w:t>
            </w:r>
          </w:p>
        </w:tc>
        <w:tc>
          <w:tcPr>
            <w:tcW w:type="pct" w:w="700"/>
            <w:shd w:fill="1B6B7A" w:val="clear"/>
            <w:tcMar>
              <w:top w:type="dxa" w:w="60"/>
              <w:left w:type="dxa" w:w="120"/>
              <w:bottom w:type="dxa" w:w="60"/>
              <w:right w:type="dxa" w:w="120"/>
            </w:tcMar>
          </w:tcPr>
          <w:p>
            <w:pPr>
              <w:spacing w:line="312"/>
              <w:jc w:val="left"/>
            </w:pPr>
            <w:r>
              <w:rPr>
                <w:rFonts w:ascii="Times New Roman" w:eastAsia="SimSun" w:hAnsi="Times New Roman"/>
                <w:b/>
                <w:bCs/>
                <w:color w:val="FFFFFF"/>
                <w:sz w:val="21"/>
                <w:szCs w:val="21"/>
              </w:rPr>
              <w:t xml:space="preserve">Severity</w:t>
            </w:r>
          </w:p>
        </w:tc>
        <w:tc>
          <w:tcPr>
            <w:tcW w:type="pct" w:w="2000"/>
            <w:shd w:fill="1B6B7A" w:val="clear"/>
            <w:tcMar>
              <w:top w:type="dxa" w:w="60"/>
              <w:left w:type="dxa" w:w="120"/>
              <w:bottom w:type="dxa" w:w="60"/>
              <w:right w:type="dxa" w:w="120"/>
            </w:tcMar>
          </w:tcPr>
          <w:p>
            <w:pPr>
              <w:spacing w:line="312"/>
              <w:jc w:val="left"/>
            </w:pPr>
            <w:r>
              <w:rPr>
                <w:rFonts w:ascii="Times New Roman" w:eastAsia="SimSun" w:hAnsi="Times New Roman"/>
                <w:b/>
                <w:bCs/>
                <w:color w:val="FFFFFF"/>
                <w:sz w:val="21"/>
                <w:szCs w:val="21"/>
              </w:rPr>
              <w:t xml:space="preserve">Mitigation and status</w:t>
            </w:r>
          </w:p>
        </w:tc>
      </w:tr>
      <w:tr>
        <w:trPr>
          <w:cantSplit/>
        </w:trPr>
        <w:tc>
          <w:tcPr>
            <w:tcW w:type="pct" w:w="23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No database-level row-level security; authorization enforced in the application (middleware, layout guard, requireRole)</w:t>
            </w:r>
          </w:p>
        </w:tc>
        <w:tc>
          <w:tcPr>
            <w:tcW w:type="pct" w:w="7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Accepted</w:t>
            </w:r>
          </w:p>
        </w:tc>
        <w:tc>
          <w:tcPr>
            <w:tcW w:type="pct" w:w="20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Documented enforcement table in the README; keep credential hygiene and activate monitoring in Phase 1</w:t>
            </w:r>
          </w:p>
        </w:tc>
      </w:tr>
      <w:tr>
        <w:trPr>
          <w:cantSplit/>
        </w:trPr>
        <w:tc>
          <w:tcPr>
            <w:tcW w:type="pct" w:w="23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CSP style source retains unsafe-inline (framework critical CSS and component style attributes)</w:t>
            </w:r>
          </w:p>
        </w:tc>
        <w:tc>
          <w:tcPr>
            <w:tcW w:type="pct" w:w="7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Low</w:t>
            </w:r>
          </w:p>
        </w:tc>
        <w:tc>
          <w:tcPr>
            <w:tcW w:type="pct" w:w="20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Scripts are strictly nonce-gated and verified 13 of 13; residual exposure is style injection only</w:t>
            </w:r>
          </w:p>
        </w:tc>
      </w:tr>
      <w:tr>
        <w:trPr>
          <w:cantSplit/>
        </w:trPr>
        <w:tc>
          <w:tcPr>
            <w:tcW w:type="pct" w:w="23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Open Graph image renderer has no bidi support; Arabic strings are word-reversed as a workaround</w:t>
            </w:r>
          </w:p>
        </w:tc>
        <w:tc>
          <w:tcPr>
            <w:tcW w:type="pct" w:w="7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Low</w:t>
            </w:r>
          </w:p>
        </w:tc>
        <w:tc>
          <w:tcPr>
            <w:tcW w:type="pct" w:w="20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Pure-Arabic rows visually verified; mixed-direction runs use direction-agnostic formatting; a headless-browser renderer is the documented upgrade if ever needed</w:t>
            </w:r>
          </w:p>
        </w:tc>
      </w:tr>
      <w:tr>
        <w:trPr>
          <w:cantSplit/>
        </w:trPr>
        <w:tc>
          <w:tcPr>
            <w:tcW w:type="pct" w:w="23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Notification fan-out capped at 500 profiles per publish with no retry queue</w:t>
            </w:r>
          </w:p>
        </w:tc>
        <w:tc>
          <w:tcPr>
            <w:tcW w:type="pct" w:w="7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Low at demo scale</w:t>
            </w:r>
          </w:p>
        </w:tc>
        <w:tc>
          <w:tcPr>
            <w:tcW w:type="pct" w:w="20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Queue infrastructure sits in the growth backlog</w:t>
            </w:r>
          </w:p>
        </w:tc>
      </w:tr>
      <w:tr>
        <w:trPr>
          <w:cantSplit/>
        </w:trPr>
        <w:tc>
          <w:tcPr>
            <w:tcW w:type="pct" w:w="23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Bell uses 60-second polling, not push</w:t>
            </w:r>
          </w:p>
        </w:tc>
        <w:tc>
          <w:tcPr>
            <w:tcW w:type="pct" w:w="7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Low</w:t>
            </w:r>
          </w:p>
        </w:tc>
        <w:tc>
          <w:tcPr>
            <w:tcW w:type="pct" w:w="20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Documented upgrade path; acceptable while the audience is small</w:t>
            </w:r>
          </w:p>
        </w:tc>
      </w:tr>
      <w:tr>
        <w:trPr>
          <w:cantSplit/>
        </w:trPr>
        <w:tc>
          <w:tcPr>
            <w:tcW w:type="pct" w:w="23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Search relevance is computed in memory</w:t>
            </w:r>
          </w:p>
        </w:tc>
        <w:tc>
          <w:tcPr>
            <w:tcW w:type="pct" w:w="7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Low at demo scale</w:t>
            </w:r>
          </w:p>
        </w:tc>
        <w:tc>
          <w:tcPr>
            <w:tcW w:type="pct" w:w="20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Normalization is isolated and portable to SQL; index in the backlog</w:t>
            </w:r>
          </w:p>
        </w:tc>
      </w:tr>
      <w:tr>
        <w:trPr>
          <w:cantSplit/>
        </w:trPr>
        <w:tc>
          <w:tcPr>
            <w:tcW w:type="pct" w:w="23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Neon credentials pending rotation since the sandbox-reset incident</w:t>
            </w:r>
          </w:p>
        </w:tc>
        <w:tc>
          <w:tcPr>
            <w:tcW w:type="pct" w:w="700"/>
            <w:tcMar>
              <w:top w:type="dxa" w:w="60"/>
              <w:left w:type="dxa" w:w="120"/>
              <w:bottom w:type="dxa" w:w="60"/>
              <w:right w:type="dxa" w:w="120"/>
            </w:tcMar>
          </w:tcPr>
          <w:p>
            <w:pPr>
              <w:spacing w:after="20" w:line="312"/>
              <w:jc w:val="left"/>
            </w:pPr>
            <w:r>
              <w:rPr>
                <w:rFonts w:ascii="Times New Roman" w:eastAsia="SimSun" w:hAnsi="Times New Roman"/>
                <w:b/>
                <w:bCs/>
                <w:i w:val="false"/>
                <w:iCs w:val="false"/>
                <w:color w:val="000000"/>
                <w:sz w:val="21"/>
                <w:szCs w:val="21"/>
              </w:rPr>
              <w:t xml:space="preserve">Blocker — founder</w:t>
            </w:r>
          </w:p>
        </w:tc>
        <w:tc>
          <w:tcPr>
            <w:tcW w:type="pct" w:w="20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Database unaffected; the verification chain is documented and rehearsed on embedded PostgreSQL 18</w:t>
            </w:r>
          </w:p>
        </w:tc>
      </w:tr>
      <w:tr>
        <w:trPr>
          <w:cantSplit/>
        </w:trPr>
        <w:tc>
          <w:tcPr>
            <w:tcW w:type="pct" w:w="23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Strict-CSP sign-in and server-action end-to-end deferred pending credentials</w:t>
            </w:r>
          </w:p>
        </w:tc>
        <w:tc>
          <w:tcPr>
            <w:tcW w:type="pct" w:w="7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Low</w:t>
            </w:r>
          </w:p>
        </w:tc>
        <w:tc>
          <w:tcPr>
            <w:tcW w:type="pct" w:w="20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Scheduled as the final Phase 0 step</w:t>
            </w:r>
          </w:p>
        </w:tc>
      </w:tr>
      <w:tr>
        <w:trPr>
          <w:cantSplit/>
        </w:trPr>
        <w:tc>
          <w:tcPr>
            <w:tcW w:type="pct" w:w="2300"/>
            <w:tcBorders>
              <w:bottom w:val="single" w:color="1B6B7A" w:sz="2"/>
            </w:tcBorders>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Single-founder dependency for credentials, domain and monitoring decisions</w:t>
            </w:r>
          </w:p>
        </w:tc>
        <w:tc>
          <w:tcPr>
            <w:tcW w:type="pct" w:w="700"/>
            <w:tcBorders>
              <w:bottom w:val="single" w:color="1B6B7A" w:sz="2"/>
            </w:tcBorders>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Process risk</w:t>
            </w:r>
          </w:p>
        </w:tc>
        <w:tc>
          <w:tcPr>
            <w:tcW w:type="pct" w:w="2000"/>
            <w:tcBorders>
              <w:bottom w:val="single" w:color="1B6B7A" w:sz="2"/>
            </w:tcBorders>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All remaining founder actions take minutes and carry owners in Chapter 6</w:t>
            </w:r>
          </w:p>
        </w:tc>
      </w:tr>
    </w:tbl>
    <w:p>
      <w:pPr>
        <w:spacing w:after="0" w:before="0" w:line="40" w:lineRule="exact"/>
      </w:pPr>
      <w:r>
        <w:rPr>
          <w:sz w:val="2"/>
          <w:szCs w:val="2"/>
        </w:rPr>
        <w:t xml:space="preserve"/>
      </w:r>
    </w:p>
    <w:p>
      <w:pPr>
        <w:pStyle w:val="Heading1"/>
        <w:spacing w:after="160" w:before="360" w:line="312"/>
        <w:jc w:val="center"/>
      </w:pPr>
      <w:bookmarkStart w:id="100028" w:name="_Toc100028"/>
      <w:r>
        <w:rPr>
          <w:rFonts w:ascii="Times New Roman" w:eastAsia="SimHei" w:hAnsi="Times New Roman"/>
          <w:b/>
          <w:bCs/>
          <w:color w:val="0A1628"/>
          <w:sz w:val="32"/>
          <w:szCs w:val="32"/>
        </w:rPr>
        <w:t xml:space="preserve">9. Conclusions and Immediate Next Actions</w:t>
      </w:r>
      <w:bookmarkEnd w:id="100028"/>
    </w:p>
    <w:p>
      <w:pPr>
        <w:spacing w:after="120" w:line="312"/>
        <w:jc w:val="both"/>
      </w:pPr>
      <w:r>
        <w:rPr>
          <w:rFonts w:ascii="Times New Roman" w:eastAsia="SimSun" w:hAnsi="Times New Roman"/>
          <w:b w:val="false"/>
          <w:bCs w:val="false"/>
          <w:i w:val="false"/>
          <w:iCs w:val="false"/>
          <w:color w:val="000000"/>
          <w:sz w:val="24"/>
          <w:szCs w:val="24"/>
        </w:rPr>
        <w:t xml:space="preserve">The platform is in the strongest state of its history: five releases committed, the full verification suite green on the day of this report, a documented deploy runbook, and honest written records of every accepted limitation. The four founder questions therefore receive direct answers, and none of the remaining work is engineering uncertainty — it is a short list of founder-side actions followed by two well-scoped sessions.</w:t>
      </w:r>
    </w:p>
    <w:p>
      <w:pPr>
        <w:keepNext/>
        <w:spacing w:after="80" w:before="200" w:line="312"/>
        <w:jc w:val="left"/>
      </w:pPr>
      <w:r>
        <w:rPr>
          <w:rFonts w:ascii="Times New Roman" w:eastAsia="SimSun" w:hAnsi="Times New Roman"/>
          <w:b/>
          <w:bCs/>
          <w:color w:val="505A68"/>
          <w:sz w:val="21"/>
          <w:szCs w:val="21"/>
        </w:rPr>
        <w:t xml:space="preserve">Table 16: Final verdicts on the founder questions</w:t>
      </w:r>
    </w:p>
    <w:tbl>
      <w:tblPr>
        <w:tblW w:type="pct" w:w="5000"/>
        <w:tblBorders>
          <w:top w:val="single" w:color="1B6B7A" w:sz="2"/>
          <w:left w:val="none" w:color="FFFFFF" w:sz="0"/>
          <w:bottom w:val="none" w:color="FFFFFF" w:sz="0"/>
          <w:right w:val="none" w:color="FFFFFF" w:sz="0"/>
          <w:insideH w:val="single" w:color="C8DDE2" w:sz="1"/>
          <w:insideV w:val="none" w:color="FFFFFF" w:sz="0"/>
        </w:tblBorders>
      </w:tblPr>
      <w:tblGrid>
        <w:gridCol w:w="2988"/>
        <w:gridCol w:w="5800"/>
      </w:tblGrid>
      <w:tr>
        <w:trPr>
          <w:cantSplit/>
          <w:tblHeader/>
        </w:trPr>
        <w:tc>
          <w:tcPr>
            <w:tcW w:type="pct" w:w="1700"/>
            <w:shd w:fill="1B6B7A" w:val="clear"/>
            <w:tcMar>
              <w:top w:type="dxa" w:w="60"/>
              <w:left w:type="dxa" w:w="120"/>
              <w:bottom w:type="dxa" w:w="60"/>
              <w:right w:type="dxa" w:w="120"/>
            </w:tcMar>
          </w:tcPr>
          <w:p>
            <w:pPr>
              <w:spacing w:line="312"/>
              <w:jc w:val="left"/>
            </w:pPr>
            <w:r>
              <w:rPr>
                <w:rFonts w:ascii="Times New Roman" w:eastAsia="SimSun" w:hAnsi="Times New Roman"/>
                <w:b/>
                <w:bCs/>
                <w:color w:val="FFFFFF"/>
                <w:sz w:val="21"/>
                <w:szCs w:val="21"/>
              </w:rPr>
              <w:t xml:space="preserve">Question</w:t>
            </w:r>
          </w:p>
        </w:tc>
        <w:tc>
          <w:tcPr>
            <w:tcW w:type="pct" w:w="3300"/>
            <w:shd w:fill="1B6B7A" w:val="clear"/>
            <w:tcMar>
              <w:top w:type="dxa" w:w="60"/>
              <w:left w:type="dxa" w:w="120"/>
              <w:bottom w:type="dxa" w:w="60"/>
              <w:right w:type="dxa" w:w="120"/>
            </w:tcMar>
          </w:tcPr>
          <w:p>
            <w:pPr>
              <w:spacing w:line="312"/>
              <w:jc w:val="left"/>
            </w:pPr>
            <w:r>
              <w:rPr>
                <w:rFonts w:ascii="Times New Roman" w:eastAsia="SimSun" w:hAnsi="Times New Roman"/>
                <w:b/>
                <w:bCs/>
                <w:color w:val="FFFFFF"/>
                <w:sz w:val="21"/>
                <w:szCs w:val="21"/>
              </w:rPr>
              <w:t xml:space="preserve">Answer</w:t>
            </w:r>
          </w:p>
        </w:tc>
      </w:tr>
      <w:tr>
        <w:trPr>
          <w:cantSplit/>
        </w:trPr>
        <w:tc>
          <w:tcPr>
            <w:tcW w:type="pct" w:w="17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Is the project ready?</w:t>
            </w:r>
          </w:p>
        </w:tc>
        <w:tc>
          <w:tcPr>
            <w:tcW w:type="pct" w:w="33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Yes — Releases A through E complete, clean tree, verification re-run green on 28 September 2026</w:t>
            </w:r>
          </w:p>
        </w:tc>
      </w:tr>
      <w:tr>
        <w:trPr>
          <w:cantSplit/>
        </w:trPr>
        <w:tc>
          <w:tcPr>
            <w:tcW w:type="pct" w:w="17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Are we ready to deploy?</w:t>
            </w:r>
          </w:p>
        </w:tc>
        <w:tc>
          <w:tcPr>
            <w:tcW w:type="pct" w:w="33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Yes, pending two items: rotated Neon credentials and a git remote — about one hour of combined effort</w:t>
            </w:r>
          </w:p>
        </w:tc>
      </w:tr>
      <w:tr>
        <w:trPr>
          <w:cantSplit/>
        </w:trPr>
        <w:tc>
          <w:tcPr>
            <w:tcW w:type="pct" w:w="17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Is the MVP finished?</w:t>
            </w:r>
          </w:p>
        </w:tc>
        <w:tc>
          <w:tcPr>
            <w:tcW w:type="pct" w:w="33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Yes, per the approved prototype scope; the remainder is hardening and legal-gated work, not MVP features</w:t>
            </w:r>
          </w:p>
        </w:tc>
      </w:tr>
      <w:tr>
        <w:trPr>
          <w:cantSplit/>
        </w:trPr>
        <w:tc>
          <w:tcPr>
            <w:tcW w:type="pct" w:w="17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Was the Community made?</w:t>
            </w:r>
          </w:p>
        </w:tc>
        <w:tc>
          <w:tcPr>
            <w:tcW w:type="pct" w:w="3300"/>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Yes — comments, chapter comments, likes, ratings, moderation and notifications, all browser-verified</w:t>
            </w:r>
          </w:p>
        </w:tc>
      </w:tr>
      <w:tr>
        <w:trPr>
          <w:cantSplit/>
        </w:trPr>
        <w:tc>
          <w:tcPr>
            <w:tcW w:type="pct" w:w="1700"/>
            <w:tcBorders>
              <w:bottom w:val="single" w:color="1B6B7A" w:sz="2"/>
            </w:tcBorders>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Was the Translation Team made?</w:t>
            </w:r>
          </w:p>
        </w:tc>
        <w:tc>
          <w:tcPr>
            <w:tcW w:type="pct" w:w="3300"/>
            <w:tcBorders>
              <w:bottom w:val="single" w:color="1B6B7A" w:sz="2"/>
            </w:tcBorders>
            <w:tcMar>
              <w:top w:type="dxa" w:w="60"/>
              <w:left w:type="dxa" w:w="120"/>
              <w:bottom w:type="dxa" w:w="60"/>
              <w:right w:type="dxa" w:w="120"/>
            </w:tcMar>
          </w:tcPr>
          <w:p>
            <w:pPr>
              <w:spacing w:after="20" w:line="312"/>
              <w:jc w:val="left"/>
            </w:pPr>
            <w:r>
              <w:rPr>
                <w:rFonts w:ascii="Times New Roman" w:eastAsia="SimSun" w:hAnsi="Times New Roman"/>
                <w:b w:val="false"/>
                <w:bCs w:val="false"/>
                <w:i w:val="false"/>
                <w:iCs w:val="false"/>
                <w:color w:val="000000"/>
                <w:sz w:val="21"/>
                <w:szCs w:val="21"/>
              </w:rPr>
              <w:t xml:space="preserve">No — byline metadata only; a costed Release G proposal is ready and needs two decisions</w:t>
            </w:r>
          </w:p>
        </w:tc>
      </w:tr>
    </w:tbl>
    <w:p>
      <w:pPr>
        <w:spacing w:after="0" w:before="0" w:line="40" w:lineRule="exact"/>
      </w:pPr>
      <w:r>
        <w:rPr>
          <w:sz w:val="2"/>
          <w:szCs w:val="2"/>
        </w:rPr>
        <w:t xml:space="preserve"/>
      </w:r>
    </w:p>
    <w:p>
      <w:pPr>
        <w:spacing w:after="120" w:line="312"/>
        <w:jc w:val="both"/>
      </w:pPr>
      <w:r>
        <w:rPr>
          <w:rFonts w:ascii="Times New Roman" w:eastAsia="SimSun" w:hAnsi="Times New Roman"/>
          <w:b w:val="false"/>
          <w:bCs w:val="false"/>
          <w:i w:val="false"/>
          <w:iCs w:val="false"/>
          <w:color w:val="000000"/>
          <w:sz w:val="24"/>
          <w:szCs w:val="24"/>
        </w:rPr>
        <w:t xml:space="preserve">The immediate next actions, in order, with owners:</w:t>
      </w:r>
    </w:p>
    <w:p>
      <w:pPr>
        <w:pStyle w:val="ListParagraph"/>
        <w:numPr>
          <w:ilvl w:val="0"/>
          <w:numId w:val="4"/>
        </w:numPr>
        <w:spacing w:after="60" w:line="312"/>
        <w:jc w:val="left"/>
      </w:pPr>
      <w:r>
        <w:rPr>
          <w:rFonts w:ascii="Times New Roman" w:eastAsia="SimSun" w:hAnsi="Times New Roman"/>
          <w:b w:val="false"/>
          <w:bCs w:val="false"/>
          <w:i w:val="false"/>
          <w:iCs w:val="false"/>
          <w:color w:val="000000"/>
          <w:sz w:val="24"/>
          <w:szCs w:val="24"/>
        </w:rPr>
        <w:t xml:space="preserve">Founder: rotate the database owner password and deliver the pooled and direct connection strings through the secure channel — never in chat.</w:t>
      </w:r>
    </w:p>
    <w:p>
      <w:pPr>
        <w:pStyle w:val="ListParagraph"/>
        <w:numPr>
          <w:ilvl w:val="0"/>
          <w:numId w:val="4"/>
        </w:numPr>
        <w:spacing w:after="60" w:line="312"/>
        <w:jc w:val="left"/>
      </w:pPr>
      <w:r>
        <w:rPr>
          <w:rFonts w:ascii="Times New Roman" w:eastAsia="SimSun" w:hAnsi="Times New Roman"/>
          <w:b w:val="false"/>
          <w:bCs w:val="false"/>
          <w:i w:val="false"/>
          <w:iCs w:val="false"/>
          <w:color w:val="000000"/>
          <w:sz w:val="24"/>
          <w:szCs w:val="24"/>
        </w:rPr>
        <w:t xml:space="preserve">Founder: create the git remote, or approve an existing target, and authorize the push of main.</w:t>
      </w:r>
    </w:p>
    <w:p>
      <w:pPr>
        <w:pStyle w:val="ListParagraph"/>
        <w:numPr>
          <w:ilvl w:val="0"/>
          <w:numId w:val="4"/>
        </w:numPr>
        <w:spacing w:after="60" w:line="312"/>
        <w:jc w:val="left"/>
      </w:pPr>
      <w:r>
        <w:rPr>
          <w:rFonts w:ascii="Times New Roman" w:eastAsia="SimSun" w:hAnsi="Times New Roman"/>
          <w:b w:val="false"/>
          <w:bCs w:val="false"/>
          <w:i w:val="false"/>
          <w:iCs w:val="false"/>
          <w:color w:val="000000"/>
          <w:sz w:val="24"/>
          <w:szCs w:val="24"/>
        </w:rPr>
        <w:t xml:space="preserve">Founder: approve the Phase 0-3 sequence and choose the Translation Team direction and role option, recorded as FD-14.</w:t>
      </w:r>
    </w:p>
    <w:p>
      <w:pPr>
        <w:pStyle w:val="ListParagraph"/>
        <w:numPr>
          <w:ilvl w:val="0"/>
          <w:numId w:val="4"/>
        </w:numPr>
        <w:spacing w:after="60" w:line="312"/>
        <w:jc w:val="left"/>
      </w:pPr>
      <w:r>
        <w:rPr>
          <w:rFonts w:ascii="Times New Roman" w:eastAsia="SimSun" w:hAnsi="Times New Roman"/>
          <w:b w:val="false"/>
          <w:bCs w:val="false"/>
          <w:i w:val="false"/>
          <w:iCs w:val="false"/>
          <w:color w:val="000000"/>
          <w:sz w:val="24"/>
          <w:szCs w:val="24"/>
        </w:rPr>
        <w:t xml:space="preserve">Engineering: on receipt of the first two items, execute Phase 0 end to end and start Release F immediately after.</w:t>
      </w:r>
    </w:p>
    <w:p>
      <w:pPr>
        <w:spacing w:after="0" w:line="312"/>
        <w:jc w:val="both"/>
      </w:pPr>
      <w:r>
        <w:rPr>
          <w:rFonts w:ascii="Times New Roman" w:eastAsia="SimSun" w:hAnsi="Times New Roman"/>
          <w:b w:val="false"/>
          <w:bCs w:val="false"/>
          <w:i w:val="false"/>
          <w:iCs w:val="false"/>
          <w:color w:val="000000"/>
          <w:sz w:val="24"/>
          <w:szCs w:val="24"/>
        </w:rPr>
        <w:t xml:space="preserve">From there the platform moves from a verified prototype to a deployed one without new scope, and the next feature release — the Translation Team — starts from foundations that already exist. The decision log, release reports and runbook in the repository carry everything a future collaborator needs to continue exactly where this report ends.</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eastAsia="SimSun" w:hAnsi="Times New Roman"/>
        <w:color w:val="808080"/>
        <w:sz w:val="18"/>
        <w:szCs w:val="18"/>
      </w:rPr>
      <w:t xml:space="preserve">Bunny Library — Deployment Readiness and Go-Live Plan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eastAsia="SimSun" w:hAnsi="Times New Roman"/>
        <w:color w:val="808080"/>
        <w:sz w:val="18"/>
        <w:szCs w:val="18"/>
      </w:rPr>
      <w:t xml:space="preserve">Bunny Library — Deployment Readiness and Go-Live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olor w:val="000000"/>
        <w:sz w:val="24"/>
        <w:szCs w:val="24"/>
      </w:rPr>
    </w:rPrDefault>
    <w:pPrDefault>
      <w:pPr>
        <w:spacing w:line="312"/>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2026-09-28T11:21:23.469Z</dcterms:created>
  <dcterms:modified xsi:type="dcterms:W3CDTF">2026-09-28T11:21:23.469Z</dcterms:modified>
</cp:coreProperties>
</file>

<file path=docProps/custom.xml><?xml version="1.0" encoding="utf-8"?>
<Properties xmlns="http://schemas.openxmlformats.org/officeDocument/2006/custom-properties" xmlns:vt="http://schemas.openxmlformats.org/officeDocument/2006/docPropsVTypes"/>
</file>