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Amena Mahmoud</w:t>
      </w:r>
    </w:p>
    <w:p>
      <w:r>
        <w:br w:type="page"/>
      </w:r>
    </w:p>
    <w:p>
      <w:bookmarkStart w:id="1914848954" w:name="bm_table_of_contents"/>
      <w:pPr>
        <w:pStyle w:val="Heading1"/>
        <w:keepNext/>
      </w:pPr>
      <w:r>
        <w:t>Table of Contents</w:t>
      </w:r>
      <w:bookmarkEnd w:id="1914848954"/>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56774133" w:name="bm_list_of_figures"/>
      <w:pPr>
        <w:pStyle w:val="Heading1"/>
        <w:keepNext/>
      </w:pPr>
      <w:r>
        <w:t>List of Figures</w:t>
      </w:r>
      <w:bookmarkEnd w:id="256774133"/>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AI CV Analyzer runtime flow.</w:t>
        </w:r>
      </w:hyperlink>
    </w:p>
    <w:p>
      <w:pPr>
        <w:pStyle w:val="ListBullet"/>
      </w:pPr>
      <w:hyperlink w:anchor="bm_figure_10">
        <w:r>
          <w:rPr>
            <w:color w:val="0563C1"/>
            <w:u w:val="single"/>
          </w:rPr>
          <w:t>Figure 10. AI CV Analyzer model-training workflow.</w:t>
        </w:r>
      </w:hyperlink>
    </w:p>
    <w:p>
      <w:pPr>
        <w:pStyle w:val="ListBullet"/>
      </w:pPr>
      <w:hyperlink w:anchor="bm_figure_11">
        <w:r>
          <w:rPr>
            <w:color w:val="0563C1"/>
            <w:u w:val="single"/>
          </w:rPr>
          <w:t>Figure 11. AI CV Analyzer extraction components.</w:t>
        </w:r>
      </w:hyperlink>
    </w:p>
    <w:p>
      <w:pPr>
        <w:pStyle w:val="ListBullet"/>
      </w:pPr>
      <w:hyperlink w:anchor="bm_figure_12">
        <w:r>
          <w:rPr>
            <w:color w:val="0563C1"/>
            <w:u w:val="single"/>
          </w:rPr>
          <w:t>Figure 12. Layer 1 CV understanding pipeline.</w:t>
        </w:r>
      </w:hyperlink>
    </w:p>
    <w:p>
      <w:pPr>
        <w:pStyle w:val="ListBullet"/>
      </w:pPr>
      <w:hyperlink w:anchor="bm_figure_13">
        <w:r>
          <w:rPr>
            <w:color w:val="0563C1"/>
            <w:u w:val="single"/>
          </w:rPr>
          <w:t>Figure 13. Layer 2 classification flow.</w:t>
        </w:r>
      </w:hyperlink>
    </w:p>
    <w:p>
      <w:pPr>
        <w:pStyle w:val="ListBullet"/>
      </w:pPr>
      <w:hyperlink w:anchor="bm_figure_14">
        <w:r>
          <w:rPr>
            <w:color w:val="0563C1"/>
            <w:u w:val="single"/>
          </w:rPr>
          <w:t>Figure 14. Layer 3 matching engine.</w:t>
        </w:r>
      </w:hyperlink>
    </w:p>
    <w:p>
      <w:pPr>
        <w:pStyle w:val="ListBullet"/>
      </w:pPr>
      <w:hyperlink w:anchor="bm_figure_15">
        <w:r>
          <w:rPr>
            <w:color w:val="0563C1"/>
            <w:u w:val="single"/>
          </w:rPr>
          <w:t>Figure 15. NER token processing and BIO tagging.</w:t>
        </w:r>
      </w:hyperlink>
    </w:p>
    <w:p>
      <w:pPr>
        <w:pStyle w:val="ListBullet"/>
      </w:pPr>
      <w:hyperlink w:anchor="bm_figure_16">
        <w:r>
          <w:rPr>
            <w:color w:val="0563C1"/>
            <w:u w:val="single"/>
          </w:rPr>
          <w:t>Figure 16. Seniority decision logic.</w:t>
        </w:r>
      </w:hyperlink>
    </w:p>
    <w:p>
      <w:pPr>
        <w:pStyle w:val="ListBullet"/>
      </w:pPr>
      <w:hyperlink w:anchor="bm_figure_17">
        <w:r>
          <w:rPr>
            <w:color w:val="0563C1"/>
            <w:u w:val="single"/>
          </w:rPr>
          <w:t>Figure 17. Skill canonicalization chain.</w:t>
        </w:r>
      </w:hyperlink>
    </w:p>
    <w:p>
      <w:pPr>
        <w:pStyle w:val="ListBullet"/>
      </w:pPr>
      <w:hyperlink w:anchor="bm_figure_18">
        <w:r>
          <w:rPr>
            <w:color w:val="0563C1"/>
            <w:u w:val="single"/>
          </w:rPr>
          <w:t>Figure 18. Layer 3 score collapse logic.</w:t>
        </w:r>
      </w:hyperlink>
    </w:p>
    <w:p>
      <w:pPr>
        <w:pStyle w:val="ListBullet"/>
      </w:pPr>
      <w:hyperlink w:anchor="bm_figure_19">
        <w:r>
          <w:rPr>
            <w:color w:val="0563C1"/>
            <w:u w:val="single"/>
          </w:rPr>
          <w:t>Figure 19. Home page.</w:t>
        </w:r>
      </w:hyperlink>
    </w:p>
    <w:p>
      <w:pPr>
        <w:pStyle w:val="ListBullet"/>
      </w:pPr>
      <w:hyperlink w:anchor="bm_figure_20">
        <w:r>
          <w:rPr>
            <w:color w:val="0563C1"/>
            <w:u w:val="single"/>
          </w:rPr>
          <w:t>Figure 20. Register page.</w:t>
        </w:r>
      </w:hyperlink>
    </w:p>
    <w:p>
      <w:pPr>
        <w:pStyle w:val="ListBullet"/>
      </w:pPr>
      <w:hyperlink w:anchor="bm_figure_21">
        <w:r>
          <w:rPr>
            <w:color w:val="0563C1"/>
            <w:u w:val="single"/>
          </w:rPr>
          <w:t>Figure 21. Login page.</w:t>
        </w:r>
      </w:hyperlink>
    </w:p>
    <w:p>
      <w:pPr>
        <w:pStyle w:val="ListBullet"/>
      </w:pPr>
      <w:hyperlink w:anchor="bm_figure_22">
        <w:r>
          <w:rPr>
            <w:color w:val="0563C1"/>
            <w:u w:val="single"/>
          </w:rPr>
          <w:t>Figure 22. Student dashboard before CV upload.</w:t>
        </w:r>
      </w:hyperlink>
    </w:p>
    <w:p>
      <w:pPr>
        <w:pStyle w:val="ListBullet"/>
      </w:pPr>
      <w:hyperlink w:anchor="bm_figure_23">
        <w:r>
          <w:rPr>
            <w:color w:val="0563C1"/>
            <w:u w:val="single"/>
          </w:rPr>
          <w:t>Figure 23. CV upload user interface.</w:t>
        </w:r>
      </w:hyperlink>
    </w:p>
    <w:p>
      <w:pPr>
        <w:pStyle w:val="ListBullet"/>
      </w:pPr>
      <w:hyperlink w:anchor="bm_figure_24">
        <w:r>
          <w:rPr>
            <w:color w:val="0563C1"/>
            <w:u w:val="single"/>
          </w:rPr>
          <w:t>Figure 24. Dashboard after successful CV parsing.</w:t>
        </w:r>
      </w:hyperlink>
    </w:p>
    <w:p>
      <w:pPr>
        <w:pStyle w:val="ListBullet"/>
      </w:pPr>
      <w:hyperlink w:anchor="bm_figure_25">
        <w:r>
          <w:rPr>
            <w:color w:val="0563C1"/>
            <w:u w:val="single"/>
          </w:rPr>
          <w:t>Figure 25. Extracted profile and skills page.</w:t>
        </w:r>
      </w:hyperlink>
    </w:p>
    <w:p>
      <w:pPr>
        <w:pStyle w:val="ListBullet"/>
      </w:pPr>
      <w:hyperlink w:anchor="bm_figure_26">
        <w:r>
          <w:rPr>
            <w:color w:val="0563C1"/>
            <w:u w:val="single"/>
          </w:rPr>
          <w:t>Figure 26. Jobs recommendations page.</w:t>
        </w:r>
      </w:hyperlink>
    </w:p>
    <w:p>
      <w:pPr>
        <w:pStyle w:val="ListBullet"/>
      </w:pPr>
      <w:hyperlink w:anchor="bm_figure_27">
        <w:r>
          <w:rPr>
            <w:color w:val="0563C1"/>
            <w:u w:val="single"/>
          </w:rPr>
          <w:t>Figure 27. Job detail and inline gap panel.</w:t>
        </w:r>
      </w:hyperlink>
    </w:p>
    <w:p>
      <w:pPr>
        <w:pStyle w:val="ListBullet"/>
      </w:pPr>
      <w:hyperlink w:anchor="bm_figure_28">
        <w:r>
          <w:rPr>
            <w:color w:val="0563C1"/>
            <w:u w:val="single"/>
          </w:rPr>
          <w:t>Figure 28. Gap analysis page.</w:t>
        </w:r>
      </w:hyperlink>
    </w:p>
    <w:p>
      <w:pPr>
        <w:pStyle w:val="ListBullet"/>
      </w:pPr>
      <w:hyperlink w:anchor="bm_figure_29">
        <w:r>
          <w:rPr>
            <w:color w:val="0563C1"/>
            <w:u w:val="single"/>
          </w:rPr>
          <w:t>Figure 29. Applications tracker page.</w:t>
        </w:r>
      </w:hyperlink>
    </w:p>
    <w:p>
      <w:pPr>
        <w:pStyle w:val="ListBullet"/>
      </w:pPr>
      <w:hyperlink w:anchor="bm_figure_30">
        <w:r>
          <w:rPr>
            <w:color w:val="0563C1"/>
            <w:u w:val="single"/>
          </w:rPr>
          <w:t>Figure 30. Tools Hub preview page.</w:t>
        </w:r>
      </w:hyperlink>
    </w:p>
    <w:p>
      <w:pPr>
        <w:pStyle w:val="ListBullet"/>
      </w:pPr>
      <w:hyperlink w:anchor="bm_figure_31">
        <w:r>
          <w:rPr>
            <w:color w:val="0563C1"/>
            <w:u w:val="single"/>
          </w:rPr>
          <w:t>Figure 31. System status page.</w:t>
        </w:r>
      </w:hyperlink>
    </w:p>
    <w:p>
      <w:pPr>
        <w:pStyle w:val="ListBullet"/>
      </w:pPr>
      <w:hyperlink w:anchor="bm_figure_32">
        <w:r>
          <w:rPr>
            <w:color w:val="0563C1"/>
            <w:u w:val="single"/>
          </w:rPr>
          <w:t>Figure 32. Admin dashboard.</w:t>
        </w:r>
      </w:hyperlink>
    </w:p>
    <w:p>
      <w:pPr>
        <w:pStyle w:val="ListBullet"/>
      </w:pPr>
      <w:hyperlink w:anchor="bm_figure_33">
        <w:r>
          <w:rPr>
            <w:color w:val="0563C1"/>
            <w:u w:val="single"/>
          </w:rPr>
          <w:t>Figure 33. Admin jobs page.</w:t>
        </w:r>
      </w:hyperlink>
    </w:p>
    <w:p>
      <w:pPr>
        <w:pStyle w:val="ListBullet"/>
      </w:pPr>
      <w:hyperlink w:anchor="bm_figure_34">
        <w:r>
          <w:rPr>
            <w:color w:val="0563C1"/>
            <w:u w:val="single"/>
          </w:rPr>
          <w:t>Figure 34. Admin sources diagnostics page.</w:t>
        </w:r>
      </w:hyperlink>
    </w:p>
    <w:p>
      <w:pPr>
        <w:pStyle w:val="ListBullet"/>
      </w:pPr>
      <w:hyperlink w:anchor="bm_figure_35">
        <w:r>
          <w:rPr>
            <w:color w:val="0563C1"/>
            <w:u w:val="single"/>
          </w:rPr>
          <w:t>Figure 35. Admin target roles page.</w:t>
        </w:r>
      </w:hyperlink>
    </w:p>
    <w:p>
      <w:pPr>
        <w:pStyle w:val="ListBullet"/>
      </w:pPr>
      <w:hyperlink w:anchor="bm_figure_36">
        <w:r>
          <w:rPr>
            <w:color w:val="0563C1"/>
            <w:u w:val="single"/>
          </w:rPr>
          <w:t>Figure 36. Docker services evidence.</w:t>
        </w:r>
      </w:hyperlink>
    </w:p>
    <w:p>
      <w:pPr>
        <w:pStyle w:val="ListBullet"/>
      </w:pPr>
      <w:hyperlink w:anchor="bm_figure_37">
        <w:r>
          <w:rPr>
            <w:color w:val="0563C1"/>
            <w:u w:val="single"/>
          </w:rPr>
          <w:t>Figure 37. Validation command evidence.</w:t>
        </w:r>
      </w:hyperlink>
    </w:p>
    <w:p>
      <w:r>
        <w:br w:type="page"/>
      </w:r>
    </w:p>
    <w:p>
      <w:bookmarkStart w:id="1821912567" w:name="bm_list_of_tables"/>
      <w:pPr>
        <w:pStyle w:val="Heading1"/>
        <w:keepNext/>
      </w:pPr>
      <w:r>
        <w:t>List of Tables</w:t>
      </w:r>
      <w:bookmarkEnd w:id="1821912567"/>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AI CV Analyzer components.</w:t>
        </w:r>
      </w:hyperlink>
    </w:p>
    <w:p>
      <w:pPr>
        <w:pStyle w:val="ListBullet"/>
      </w:pPr>
      <w:hyperlink w:anchor="bm_table_7">
        <w:r>
          <w:rPr>
            <w:color w:val="0563C1"/>
            <w:u w:val="single"/>
          </w:rPr>
          <w:t>Table 7. NER entity label schema.</w:t>
        </w:r>
      </w:hyperlink>
    </w:p>
    <w:p>
      <w:pPr>
        <w:pStyle w:val="ListBullet"/>
      </w:pPr>
      <w:hyperlink w:anchor="bm_table_8">
        <w:r>
          <w:rPr>
            <w:color w:val="0563C1"/>
            <w:u w:val="single"/>
          </w:rPr>
          <w:t>Table 8. Synthetic dataset generation workflow.</w:t>
        </w:r>
      </w:hyperlink>
    </w:p>
    <w:p>
      <w:pPr>
        <w:pStyle w:val="ListBullet"/>
      </w:pPr>
      <w:hyperlink w:anchor="bm_table_9">
        <w:r>
          <w:rPr>
            <w:color w:val="0563C1"/>
            <w:u w:val="single"/>
          </w:rPr>
          <w:t>Table 9. Model training configuration.</w:t>
        </w:r>
      </w:hyperlink>
    </w:p>
    <w:p>
      <w:pPr>
        <w:pStyle w:val="ListBullet"/>
      </w:pPr>
      <w:hyperlink w:anchor="bm_table_10">
        <w:r>
          <w:rPr>
            <w:color w:val="0563C1"/>
            <w:u w:val="single"/>
          </w:rPr>
          <w:t>Table 10. Layer 1 component details.</w:t>
        </w:r>
      </w:hyperlink>
    </w:p>
    <w:p>
      <w:pPr>
        <w:pStyle w:val="ListBullet"/>
      </w:pPr>
      <w:hyperlink w:anchor="bm_table_11">
        <w:r>
          <w:rPr>
            <w:color w:val="0563C1"/>
            <w:u w:val="single"/>
          </w:rPr>
          <w:t>Table 11. Layer 2 classification engine details.</w:t>
        </w:r>
      </w:hyperlink>
    </w:p>
    <w:p>
      <w:pPr>
        <w:pStyle w:val="ListBullet"/>
      </w:pPr>
      <w:hyperlink w:anchor="bm_table_12">
        <w:r>
          <w:rPr>
            <w:color w:val="0563C1"/>
            <w:u w:val="single"/>
          </w:rPr>
          <w:t>Table 12. Layer 3 matching engine details.</w:t>
        </w:r>
      </w:hyperlink>
    </w:p>
    <w:p>
      <w:pPr>
        <w:pStyle w:val="ListBullet"/>
      </w:pPr>
      <w:hyperlink w:anchor="bm_table_13">
        <w:r>
          <w:rPr>
            <w:color w:val="0563C1"/>
            <w:u w:val="single"/>
          </w:rPr>
          <w:t>Table 13. Semantic embedding and TF-IDF fallback comparison.</w:t>
        </w:r>
      </w:hyperlink>
    </w:p>
    <w:p>
      <w:pPr>
        <w:pStyle w:val="ListBullet"/>
      </w:pPr>
      <w:hyperlink w:anchor="bm_table_14">
        <w:r>
          <w:rPr>
            <w:color w:val="0563C1"/>
            <w:u w:val="single"/>
          </w:rPr>
          <w:t>Table 14. Simplified BIO tagging example.</w:t>
        </w:r>
      </w:hyperlink>
    </w:p>
    <w:p>
      <w:pPr>
        <w:pStyle w:val="ListBullet"/>
      </w:pPr>
      <w:hyperlink w:anchor="bm_table_15">
        <w:r>
          <w:rPr>
            <w:color w:val="0563C1"/>
            <w:u w:val="single"/>
          </w:rPr>
          <w:t>Table 15. AI CV Analyzer source inventory summary.</w:t>
        </w:r>
      </w:hyperlink>
    </w:p>
    <w:p>
      <w:pPr>
        <w:pStyle w:val="ListBullet"/>
      </w:pPr>
      <w:hyperlink w:anchor="bm_table_16">
        <w:r>
          <w:rPr>
            <w:color w:val="0563C1"/>
            <w:u w:val="single"/>
          </w:rPr>
          <w:t>Table 16. Algorithm-to-file mapping.</w:t>
        </w:r>
      </w:hyperlink>
    </w:p>
    <w:p>
      <w:pPr>
        <w:pStyle w:val="ListBullet"/>
      </w:pPr>
      <w:hyperlink w:anchor="bm_table_17">
        <w:r>
          <w:rPr>
            <w:color w:val="0563C1"/>
            <w:u w:val="single"/>
          </w:rPr>
          <w:t>Table 17. Model evaluation evidence.</w:t>
        </w:r>
      </w:hyperlink>
    </w:p>
    <w:p>
      <w:pPr>
        <w:pStyle w:val="ListBullet"/>
      </w:pPr>
      <w:hyperlink w:anchor="bm_table_18">
        <w:r>
          <w:rPr>
            <w:color w:val="0563C1"/>
            <w:u w:val="single"/>
          </w:rPr>
          <w:t>Table 18. NER extraction examples.</w:t>
        </w:r>
      </w:hyperlink>
    </w:p>
    <w:p>
      <w:pPr>
        <w:pStyle w:val="ListBullet"/>
      </w:pPr>
      <w:hyperlink w:anchor="bm_table_19">
        <w:r>
          <w:rPr>
            <w:color w:val="0563C1"/>
            <w:u w:val="single"/>
          </w:rPr>
          <w:t>Table 19. Semantic matching and TF-IDF example results.</w:t>
        </w:r>
      </w:hyperlink>
    </w:p>
    <w:p>
      <w:pPr>
        <w:pStyle w:val="ListBullet"/>
      </w:pPr>
      <w:hyperlink w:anchor="bm_table_20">
        <w:r>
          <w:rPr>
            <w:color w:val="0563C1"/>
            <w:u w:val="single"/>
          </w:rPr>
          <w:t>Table 20. Mini CV dataset.</w:t>
        </w:r>
      </w:hyperlink>
    </w:p>
    <w:p>
      <w:pPr>
        <w:pStyle w:val="ListBullet"/>
      </w:pPr>
      <w:hyperlink w:anchor="bm_table_21">
        <w:r>
          <w:rPr>
            <w:color w:val="0563C1"/>
            <w:u w:val="single"/>
          </w:rPr>
          <w:t>Table 21. Mini job dataset.</w:t>
        </w:r>
      </w:hyperlink>
    </w:p>
    <w:p>
      <w:pPr>
        <w:pStyle w:val="ListBullet"/>
      </w:pPr>
      <w:hyperlink w:anchor="bm_table_22">
        <w:r>
          <w:rPr>
            <w:color w:val="0563C1"/>
            <w:u w:val="single"/>
          </w:rPr>
          <w:t>Table 22. Mini evaluation metrics.</w:t>
        </w:r>
      </w:hyperlink>
    </w:p>
    <w:p>
      <w:pPr>
        <w:pStyle w:val="ListBullet"/>
      </w:pPr>
      <w:hyperlink w:anchor="bm_table_23">
        <w:r>
          <w:rPr>
            <w:color w:val="0563C1"/>
            <w:u w:val="single"/>
          </w:rPr>
          <w:t>Table 23. Recommendation ranking details.</w:t>
        </w:r>
      </w:hyperlink>
    </w:p>
    <w:p>
      <w:pPr>
        <w:pStyle w:val="ListBullet"/>
      </w:pPr>
      <w:hyperlink w:anchor="bm_table_24">
        <w:r>
          <w:rPr>
            <w:color w:val="0563C1"/>
            <w:u w:val="single"/>
          </w:rPr>
          <w:t>Table 24. Gap analysis pair details.</w:t>
        </w:r>
      </w:hyperlink>
    </w:p>
    <w:p>
      <w:pPr>
        <w:pStyle w:val="ListBullet"/>
      </w:pPr>
      <w:hyperlink w:anchor="bm_table_25">
        <w:r>
          <w:rPr>
            <w:color w:val="0563C1"/>
            <w:u w:val="single"/>
          </w:rPr>
          <w:t>Table 25. Automated validation results.</w:t>
        </w:r>
      </w:hyperlink>
    </w:p>
    <w:p>
      <w:pPr>
        <w:pStyle w:val="ListBullet"/>
      </w:pPr>
      <w:hyperlink w:anchor="bm_table_26">
        <w:r>
          <w:rPr>
            <w:color w:val="0563C1"/>
            <w:u w:val="single"/>
          </w:rPr>
          <w:t>Table 26. Manual functional evaluation matrix.</w:t>
        </w:r>
      </w:hyperlink>
    </w:p>
    <w:p>
      <w:pPr>
        <w:pStyle w:val="ListBullet"/>
      </w:pPr>
      <w:hyperlink w:anchor="bm_table_27">
        <w:r>
          <w:rPr>
            <w:color w:val="0563C1"/>
            <w:u w:val="single"/>
          </w:rPr>
          <w:t>Table 27. Manual functional observations.</w:t>
        </w:r>
      </w:hyperlink>
    </w:p>
    <w:p>
      <w:pPr>
        <w:pStyle w:val="ListBullet"/>
      </w:pPr>
      <w:hyperlink w:anchor="bm_table_28">
        <w:r>
          <w:rPr>
            <w:color w:val="0563C1"/>
            <w:u w:val="single"/>
          </w:rPr>
          <w:t>Table 28. Security and privacy controls.</w:t>
        </w:r>
      </w:hyperlink>
    </w:p>
    <w:p>
      <w:pPr>
        <w:pStyle w:val="ListBullet"/>
      </w:pPr>
      <w:hyperlink w:anchor="bm_table_29">
        <w:r>
          <w:rPr>
            <w:color w:val="0563C1"/>
            <w:u w:val="single"/>
          </w:rPr>
          <w:t>Table 29. API endpoint summary.</w:t>
        </w:r>
      </w:hyperlink>
    </w:p>
    <w:p>
      <w:pPr>
        <w:pStyle w:val="ListBullet"/>
      </w:pPr>
      <w:hyperlink w:anchor="bm_table_30">
        <w:r>
          <w:rPr>
            <w:color w:val="0563C1"/>
            <w:u w:val="single"/>
          </w:rPr>
          <w:t>Table 30. Database tables summary.</w:t>
        </w:r>
      </w:hyperlink>
    </w:p>
    <w:p>
      <w:pPr>
        <w:pStyle w:val="ListBullet"/>
      </w:pPr>
      <w:hyperlink w:anchor="bm_table_31">
        <w:r>
          <w:rPr>
            <w:color w:val="0563C1"/>
            <w:u w:val="single"/>
          </w:rPr>
          <w:t>Table 31. Docker services summary.</w:t>
        </w:r>
      </w:hyperlink>
    </w:p>
    <w:p>
      <w:pPr>
        <w:pStyle w:val="ListBullet"/>
      </w:pPr>
      <w:hyperlink w:anchor="bm_table_32">
        <w:r>
          <w:rPr>
            <w:color w:val="0563C1"/>
            <w:u w:val="single"/>
          </w:rPr>
          <w:t>Table 32. AI CV Analyzer function inventory summary.</w:t>
        </w:r>
      </w:hyperlink>
    </w:p>
    <w:p>
      <w:r>
        <w:br w:type="page"/>
      </w:r>
    </w:p>
    <w:p>
      <w:bookmarkStart w:id="1100617153" w:name="bm_acknowledgment"/>
      <w:pPr>
        <w:pStyle w:val="Heading1"/>
        <w:keepNext/>
      </w:pPr>
      <w:r>
        <w:t>Acknowledgment</w:t>
      </w:r>
      <w:bookmarkEnd w:id="1100617153"/>
    </w:p>
    <w:p>
      <w:r>
        <w:t>The project team would like to express sincere appreciation to Dr. Amena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1786164384" w:name="bm_abstract"/>
      <w:pPr>
        <w:pStyle w:val="Heading1"/>
        <w:keepNext/>
      </w:pPr>
      <w:r>
        <w:t>Abstract</w:t>
      </w:r>
      <w:bookmarkEnd w:id="1786164384"/>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AI CV Analyzer is documented as a hybrid implementation rather than a single opaque model. It combines PDF/image text extraction, OCR fallback, section segmentation, a BERT-family token-classification path for named-entity recognition, rule-based contact/date/experience extraction, skill canonicalization, domain and seniority classification, sentence embeddings, and TF-IDF-style matching. The runtime code can load an exported local NER artifact when that ignored deployment folder is present, and a Colab-oriented training notebook documents how the artifact is produced. The committed notebook did not contain final metric output cells, and the model weights are ignored by Git; therefore, the report separates reproducible repository evidence from local deployment metadata and model-training intent.</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247419233" w:name="bm_abbreviations"/>
      <w:pPr>
        <w:pStyle w:val="Heading1"/>
        <w:keepNext/>
      </w:pPr>
      <w:r>
        <w:t>Abbreviations</w:t>
      </w:r>
      <w:bookmarkEnd w:id="124741923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376459471" w:name="bm_chapter_1_introduction"/>
      <w:pPr>
        <w:pStyle w:val="Heading1"/>
        <w:keepNext/>
      </w:pPr>
      <w:r>
        <w:t>Chapter 1: Introduction</w:t>
      </w:r>
      <w:bookmarkEnd w:id="376459471"/>
    </w:p>
    <w:p>
      <w:bookmarkStart w:id="1619871437" w:name="bm_1_1_introduction_to_the_project"/>
      <w:pPr>
        <w:pStyle w:val="Heading2"/>
        <w:keepNext/>
      </w:pPr>
      <w:r>
        <w:t>1.1 Introduction to the Project</w:t>
      </w:r>
      <w:bookmarkEnd w:id="1619871437"/>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914638913" w:name="bm_1_2_background_and_motivation"/>
      <w:pPr>
        <w:pStyle w:val="Heading2"/>
        <w:keepNext/>
      </w:pPr>
      <w:r>
        <w:t>1.2 Background and Motivation</w:t>
      </w:r>
      <w:bookmarkEnd w:id="914638913"/>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621138547" w:name="bm_1_3_problem_statement"/>
      <w:pPr>
        <w:pStyle w:val="Heading2"/>
        <w:keepNext/>
      </w:pPr>
      <w:r>
        <w:t>1.3 Problem Statement</w:t>
      </w:r>
      <w:bookmarkEnd w:id="621138547"/>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930679101" w:name="bm_1_4_purpose_of_the_project"/>
      <w:pPr>
        <w:pStyle w:val="Heading2"/>
        <w:keepNext/>
      </w:pPr>
      <w:r>
        <w:t>1.4 Purpose of the Project</w:t>
      </w:r>
      <w:bookmarkEnd w:id="930679101"/>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1201149700" w:name="bm_1_5_project_objectives"/>
      <w:pPr>
        <w:pStyle w:val="Heading2"/>
        <w:keepNext/>
      </w:pPr>
      <w:r>
        <w:t>1.5 Project Objectives</w:t>
      </w:r>
      <w:bookmarkEnd w:id="1201149700"/>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2101856957" w:name="bm_1_6_proposed_solution"/>
      <w:pPr>
        <w:pStyle w:val="Heading2"/>
        <w:keepNext/>
      </w:pPr>
      <w:r>
        <w:t>1.6 Proposed Solution</w:t>
      </w:r>
      <w:bookmarkEnd w:id="2101856957"/>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206309485" w:name="bm_1_7_project_scope"/>
      <w:pPr>
        <w:pStyle w:val="Heading2"/>
        <w:keepNext/>
      </w:pPr>
      <w:r>
        <w:t>1.7 Project Scope</w:t>
      </w:r>
      <w:bookmarkEnd w:id="206309485"/>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554217796" w:name="bm_1_8_graduation_demo_positioning"/>
      <w:pPr>
        <w:pStyle w:val="Heading2"/>
        <w:keepNext/>
      </w:pPr>
      <w:r>
        <w:t>1.8 Graduation Demo Positioning</w:t>
      </w:r>
      <w:bookmarkEnd w:id="1554217796"/>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832701532" w:name="bm_1_9_report_organization"/>
      <w:pPr>
        <w:pStyle w:val="Heading2"/>
        <w:keepNext/>
      </w:pPr>
      <w:r>
        <w:t>1.9 Report Organization</w:t>
      </w:r>
      <w:bookmarkEnd w:id="832701532"/>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1540483781" w:name="bm_chapter_2_system_analysis"/>
      <w:pPr>
        <w:pStyle w:val="Heading1"/>
        <w:keepNext/>
      </w:pPr>
      <w:r>
        <w:t>Chapter 2: System Analysis</w:t>
      </w:r>
      <w:bookmarkEnd w:id="1540483781"/>
    </w:p>
    <w:p>
      <w:bookmarkStart w:id="681208697" w:name="bm_2_1_introduction"/>
      <w:pPr>
        <w:pStyle w:val="Heading2"/>
        <w:keepNext/>
      </w:pPr>
      <w:r>
        <w:t>2.1 Introduction</w:t>
      </w:r>
      <w:bookmarkEnd w:id="681208697"/>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360184151" w:name="bm_2_2_development_methodology"/>
      <w:pPr>
        <w:pStyle w:val="Heading2"/>
        <w:keepNext/>
      </w:pPr>
      <w:r>
        <w:t>2.2 Development Methodology</w:t>
      </w:r>
      <w:bookmarkEnd w:id="360184151"/>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664733319" w:name="bm_2_3_existing_career_guidance_problems"/>
      <w:pPr>
        <w:pStyle w:val="Heading2"/>
        <w:keepNext/>
      </w:pPr>
      <w:r>
        <w:t>2.3 Existing Career Guidance Problems</w:t>
      </w:r>
      <w:bookmarkEnd w:id="664733319"/>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52081132" w:name="bm_2_4_target_users_and_stakeholders"/>
      <w:pPr>
        <w:pStyle w:val="Heading2"/>
        <w:keepNext/>
      </w:pPr>
      <w:r>
        <w:t>2.4 Target Users and Stakeholders</w:t>
      </w:r>
      <w:bookmarkEnd w:id="5208113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851803110" w:name="bm_table_1"/>
      <w:pPr>
        <w:jc w:val="center"/>
      </w:pPr>
      <w:r>
        <w:rPr>
          <w:i/>
        </w:rPr>
        <w:t>Table 1. Stakeholder summary.</w:t>
      </w:r>
      <w:bookmarkEnd w:id="851803110"/>
    </w:p>
    <w:p>
      <w:bookmarkStart w:id="1527084475" w:name="bm_2_5_user_roles"/>
      <w:pPr>
        <w:pStyle w:val="Heading2"/>
        <w:keepNext/>
      </w:pPr>
      <w:r>
        <w:t>2.5 User Roles</w:t>
      </w:r>
      <w:bookmarkEnd w:id="1527084475"/>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2056885245" w:name="bm_2_6_functional_requirements"/>
      <w:pPr>
        <w:pStyle w:val="Heading2"/>
        <w:keepNext/>
      </w:pPr>
      <w:r>
        <w:t>2.6 Functional Requirements</w:t>
      </w:r>
      <w:bookmarkEnd w:id="205688524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1104615543" w:name="bm_table_2"/>
      <w:pPr>
        <w:jc w:val="center"/>
      </w:pPr>
      <w:r>
        <w:rPr>
          <w:i/>
        </w:rPr>
        <w:t>Table 2. Functional requirements summary.</w:t>
      </w:r>
      <w:bookmarkEnd w:id="1104615543"/>
    </w:p>
    <w:p>
      <w:bookmarkStart w:id="1995683161" w:name="bm_2_7_non_functional_requirements"/>
      <w:pPr>
        <w:pStyle w:val="Heading2"/>
        <w:keepNext/>
      </w:pPr>
      <w:r>
        <w:t>2.7 Non-Functional Requirements</w:t>
      </w:r>
      <w:bookmarkEnd w:id="199568316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1046961994" w:name="bm_table_3"/>
      <w:pPr>
        <w:jc w:val="center"/>
      </w:pPr>
      <w:r>
        <w:rPr>
          <w:i/>
        </w:rPr>
        <w:t>Table 3. Non-functional requirements summary.</w:t>
      </w:r>
      <w:bookmarkEnd w:id="1046961994"/>
    </w:p>
    <w:p>
      <w:bookmarkStart w:id="317345725" w:name="bm_2_8_hardware_requirements"/>
      <w:pPr>
        <w:pStyle w:val="Heading2"/>
        <w:keepNext/>
      </w:pPr>
      <w:r>
        <w:t>2.8 Hardware Requirements</w:t>
      </w:r>
      <w:bookmarkEnd w:id="317345725"/>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382520317" w:name="bm_2_9_software_requirements"/>
      <w:pPr>
        <w:pStyle w:val="Heading2"/>
        <w:keepNext/>
      </w:pPr>
      <w:r>
        <w:t>2.9 Software Requirements</w:t>
      </w:r>
      <w:bookmarkEnd w:id="3825203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094112252" w:name="bm_table_4"/>
      <w:pPr>
        <w:jc w:val="center"/>
      </w:pPr>
      <w:r>
        <w:rPr>
          <w:i/>
        </w:rPr>
        <w:t>Table 4. Hardware and software environment.</w:t>
      </w:r>
      <w:bookmarkEnd w:id="1094112252"/>
    </w:p>
    <w:p>
      <w:bookmarkStart w:id="218506260" w:name="bm_2_10_input_and_output_flow"/>
      <w:pPr>
        <w:pStyle w:val="Heading2"/>
        <w:keepNext/>
      </w:pPr>
      <w:r>
        <w:t>2.10 Input and Output Flow</w:t>
      </w:r>
      <w:bookmarkEnd w:id="218506260"/>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935366014" w:name="bm_2_11_use_case_summary"/>
      <w:pPr>
        <w:pStyle w:val="Heading2"/>
        <w:keepNext/>
      </w:pPr>
      <w:r>
        <w:t>2.11 Use Case Summary</w:t>
      </w:r>
      <w:bookmarkEnd w:id="935366014"/>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281087846" w:name="bm_figure_5"/>
      <w:pPr>
        <w:jc w:val="center"/>
      </w:pPr>
      <w:r>
        <w:rPr>
          <w:i/>
        </w:rPr>
        <w:t>Figure 5. UML use case diagram.</w:t>
      </w:r>
      <w:bookmarkEnd w:id="281087846"/>
    </w:p>
    <w:p>
      <w:r>
        <w:br w:type="page"/>
      </w:r>
    </w:p>
    <w:p>
      <w:bookmarkStart w:id="437885844" w:name="bm_chapter_3_system_design_and_architecture"/>
      <w:pPr>
        <w:pStyle w:val="Heading1"/>
        <w:keepNext/>
      </w:pPr>
      <w:r>
        <w:t>Chapter 3: System Design and Architecture</w:t>
      </w:r>
      <w:bookmarkEnd w:id="437885844"/>
    </w:p>
    <w:p>
      <w:bookmarkStart w:id="1613337274" w:name="bm_3_1_introduction"/>
      <w:pPr>
        <w:pStyle w:val="Heading2"/>
        <w:keepNext/>
      </w:pPr>
      <w:r>
        <w:t>3.1 Introduction</w:t>
      </w:r>
      <w:bookmarkEnd w:id="1613337274"/>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479486119" w:name="bm_3_2_high_level_system_architecture"/>
      <w:pPr>
        <w:pStyle w:val="Heading2"/>
        <w:keepNext/>
      </w:pPr>
      <w:r>
        <w:t>3.2 High-Level System Architecture</w:t>
      </w:r>
      <w:bookmarkEnd w:id="479486119"/>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2084094710" w:name="bm_figure_1"/>
      <w:pPr>
        <w:jc w:val="center"/>
      </w:pPr>
      <w:r>
        <w:rPr>
          <w:i/>
        </w:rPr>
        <w:t>Figure 1. High-level architecture of CareerCompass.</w:t>
      </w:r>
      <w:bookmarkEnd w:id="2084094710"/>
    </w:p>
    <w:p>
      <w:bookmarkStart w:id="1478824374" w:name="bm_3_3_frontend_architecture"/>
      <w:pPr>
        <w:pStyle w:val="Heading2"/>
        <w:keepNext/>
      </w:pPr>
      <w:r>
        <w:t>3.3 Frontend Architecture</w:t>
      </w:r>
      <w:bookmarkEnd w:id="1478824374"/>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1558225436" w:name="bm_3_4_backend_api_architecture"/>
      <w:pPr>
        <w:pStyle w:val="Heading2"/>
        <w:keepNext/>
      </w:pPr>
      <w:r>
        <w:t>3.4 Backend API Architecture</w:t>
      </w:r>
      <w:bookmarkEnd w:id="1558225436"/>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2102191721" w:name="bm_3_5_ai_cv_analyzer_architecture"/>
      <w:pPr>
        <w:pStyle w:val="Heading2"/>
        <w:keepNext/>
      </w:pPr>
      <w:r>
        <w:t>3.5 AI CV Analyzer Architecture</w:t>
      </w:r>
      <w:bookmarkEnd w:id="2102191721"/>
    </w:p>
    <w:p>
      <w:r>
        <w:t>The AI CV Analyzer is a FastAPI service. Laravel sends CV files to this service for parsing through /api/parse-cv. The analyzer routes PDFs and images differently, enforces timeout/error fallbacks, extracts readable text, runs structured extraction, and returns fields such as predicted role, seniority, domain, skills, strengths, gaps, red flags, confidence, document statistics, and parsing status. The backend handles statuses such as success, OCR fallback, timeout, error, empty file, and no text.</w:t>
      </w:r>
    </w:p>
    <w:p>
      <w:r>
        <w:t>The analyzer is not a pure pretrained-model wrapper and not a model built entirely from scratch. It is a hybrid pipeline. The runtime prefers a local exported token-classification model under ai-cv-analyzer/models/ner_weights/career_compass_ner_final when that ignored deployment artifact exists; if the local artifact is unavailable, the NER engine has a fallback model path. Around that model-loading path, the team implemented practical CV-specific logic: spatial PDF parsing, OCR fallback, semantic sectioning, contact extraction, date/experience parsing, noisy-skill filtering, canonicalization, domain inference, seniority inference, and hybrid matching. PDF and OCR-related libraries are supported by external tools such as PyMuPDF, pdfplumber, and EasyOCR [22], [23], [24]. Transformer token classification and training concepts follow Hugging Face documentation [31], [32], [33].</w:t>
      </w:r>
    </w:p>
    <w:p>
      <w:r>
        <w:t>Figure 9 summarizes the runtime path from the browser upload to Laravel persistence, FastAPI parsing, model/rule extraction, and dashboard output.</w:t>
      </w:r>
    </w:p>
    <w:p>
      <w:pPr>
        <w:jc w:val="center"/>
      </w:pPr>
      <w:r>
        <w:drawing>
          <wp:inline xmlns:a="http://schemas.openxmlformats.org/drawingml/2006/main" xmlns:pic="http://schemas.openxmlformats.org/drawingml/2006/picture">
            <wp:extent cx="5577840" cy="3486150"/>
            <wp:docPr id="5" name="Picture 5"/>
            <wp:cNvGraphicFramePr>
              <a:graphicFrameLocks noChangeAspect="1"/>
            </wp:cNvGraphicFramePr>
            <a:graphic>
              <a:graphicData uri="http://schemas.openxmlformats.org/drawingml/2006/picture">
                <pic:pic>
                  <pic:nvPicPr>
                    <pic:cNvPr id="0" name="09_cv_analyzer_runtime_flow.png"/>
                    <pic:cNvPicPr/>
                  </pic:nvPicPr>
                  <pic:blipFill>
                    <a:blip r:embed="rId14"/>
                    <a:stretch>
                      <a:fillRect/>
                    </a:stretch>
                  </pic:blipFill>
                  <pic:spPr>
                    <a:xfrm>
                      <a:off x="0" y="0"/>
                      <a:ext cx="5577840" cy="3486150"/>
                    </a:xfrm>
                    <a:prstGeom prst="rect"/>
                  </pic:spPr>
                </pic:pic>
              </a:graphicData>
            </a:graphic>
          </wp:inline>
        </w:drawing>
      </w:r>
    </w:p>
    <w:p>
      <w:bookmarkStart w:id="1661956917" w:name="bm_figure_9"/>
      <w:pPr>
        <w:jc w:val="center"/>
      </w:pPr>
      <w:r>
        <w:rPr>
          <w:i/>
        </w:rPr>
        <w:t>Figure 9. AI CV Analyzer runtime flow.</w:t>
      </w:r>
      <w:bookmarkEnd w:id="1661956917"/>
    </w:p>
    <w:p>
      <w:bookmarkStart w:id="552303935" w:name="bm_3_6_ai_job_miner_architecture"/>
      <w:pPr>
        <w:pStyle w:val="Heading2"/>
        <w:keepNext/>
      </w:pPr>
      <w:r>
        <w:t>3.6 AI Job Miner Architecture</w:t>
      </w:r>
      <w:bookmarkEnd w:id="552303935"/>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719331696" w:name="bm_3_7_database_design"/>
      <w:pPr>
        <w:pStyle w:val="Heading2"/>
        <w:keepNext/>
      </w:pPr>
      <w:r>
        <w:t>3.7 Database Design</w:t>
      </w:r>
      <w:bookmarkEnd w:id="1719331696"/>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1525765320" w:name="bm_3_8_erd"/>
      <w:pPr>
        <w:pStyle w:val="Heading2"/>
        <w:keepNext/>
      </w:pPr>
      <w:r>
        <w:t>3.8 ERD</w:t>
      </w:r>
      <w:bookmarkEnd w:id="1525765320"/>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6" name="Picture 6"/>
            <wp:cNvGraphicFramePr>
              <a:graphicFrameLocks noChangeAspect="1"/>
            </wp:cNvGraphicFramePr>
            <a:graphic>
              <a:graphicData uri="http://schemas.openxmlformats.org/drawingml/2006/picture">
                <pic:pic>
                  <pic:nvPicPr>
                    <pic:cNvPr id="0" name="08_erd.png"/>
                    <pic:cNvPicPr/>
                  </pic:nvPicPr>
                  <pic:blipFill>
                    <a:blip r:embed="rId15"/>
                    <a:stretch>
                      <a:fillRect/>
                    </a:stretch>
                  </pic:blipFill>
                  <pic:spPr>
                    <a:xfrm>
                      <a:off x="0" y="0"/>
                      <a:ext cx="5577840" cy="3718560"/>
                    </a:xfrm>
                    <a:prstGeom prst="rect"/>
                  </pic:spPr>
                </pic:pic>
              </a:graphicData>
            </a:graphic>
          </wp:inline>
        </w:drawing>
      </w:r>
    </w:p>
    <w:p>
      <w:bookmarkStart w:id="679959759" w:name="bm_figure_8"/>
      <w:pPr>
        <w:jc w:val="center"/>
      </w:pPr>
      <w:r>
        <w:rPr>
          <w:i/>
        </w:rPr>
        <w:t>Figure 8. ERD and database summary diagram.</w:t>
      </w:r>
      <w:bookmarkEnd w:id="679959759"/>
    </w:p>
    <w:p>
      <w:bookmarkStart w:id="1882987035" w:name="bm_3_9_data_flow_diagrams"/>
      <w:pPr>
        <w:pStyle w:val="Heading2"/>
        <w:keepNext/>
      </w:pPr>
      <w:r>
        <w:t>3.9 Data Flow Diagrams</w:t>
      </w:r>
      <w:bookmarkEnd w:id="1882987035"/>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3_dfd_level_0.png"/>
                    <pic:cNvPicPr/>
                  </pic:nvPicPr>
                  <pic:blipFill>
                    <a:blip r:embed="rId16"/>
                    <a:stretch>
                      <a:fillRect/>
                    </a:stretch>
                  </pic:blipFill>
                  <pic:spPr>
                    <a:xfrm>
                      <a:off x="0" y="0"/>
                      <a:ext cx="5577840" cy="3486150"/>
                    </a:xfrm>
                    <a:prstGeom prst="rect"/>
                  </pic:spPr>
                </pic:pic>
              </a:graphicData>
            </a:graphic>
          </wp:inline>
        </w:drawing>
      </w:r>
    </w:p>
    <w:p>
      <w:bookmarkStart w:id="1229629902" w:name="bm_figure_3"/>
      <w:pPr>
        <w:jc w:val="center"/>
      </w:pPr>
      <w:r>
        <w:rPr>
          <w:i/>
        </w:rPr>
        <w:t>Figure 3. DFD Level 0 context diagram.</w:t>
      </w:r>
      <w:bookmarkEnd w:id="1229629902"/>
    </w:p>
    <w:p>
      <w:pPr>
        <w:jc w:val="center"/>
      </w:pPr>
      <w:r>
        <w:drawing>
          <wp:inline xmlns:a="http://schemas.openxmlformats.org/drawingml/2006/main" xmlns:pic="http://schemas.openxmlformats.org/drawingml/2006/picture">
            <wp:extent cx="5577840" cy="3486150"/>
            <wp:docPr id="8" name="Picture 8"/>
            <wp:cNvGraphicFramePr>
              <a:graphicFrameLocks noChangeAspect="1"/>
            </wp:cNvGraphicFramePr>
            <a:graphic>
              <a:graphicData uri="http://schemas.openxmlformats.org/drawingml/2006/picture">
                <pic:pic>
                  <pic:nvPicPr>
                    <pic:cNvPr id="0" name="04_dfd_level_1.png"/>
                    <pic:cNvPicPr/>
                  </pic:nvPicPr>
                  <pic:blipFill>
                    <a:blip r:embed="rId17"/>
                    <a:stretch>
                      <a:fillRect/>
                    </a:stretch>
                  </pic:blipFill>
                  <pic:spPr>
                    <a:xfrm>
                      <a:off x="0" y="0"/>
                      <a:ext cx="5577840" cy="3486150"/>
                    </a:xfrm>
                    <a:prstGeom prst="rect"/>
                  </pic:spPr>
                </pic:pic>
              </a:graphicData>
            </a:graphic>
          </wp:inline>
        </w:drawing>
      </w:r>
    </w:p>
    <w:p>
      <w:bookmarkStart w:id="796019364" w:name="bm_figure_4"/>
      <w:pPr>
        <w:jc w:val="center"/>
      </w:pPr>
      <w:r>
        <w:rPr>
          <w:i/>
        </w:rPr>
        <w:t>Figure 4. DFD Level 1 process diagram.</w:t>
      </w:r>
      <w:bookmarkEnd w:id="796019364"/>
    </w:p>
    <w:p>
      <w:bookmarkStart w:id="2144313735" w:name="bm_3_10_uml_use_case_diagram"/>
      <w:pPr>
        <w:pStyle w:val="Heading2"/>
        <w:keepNext/>
      </w:pPr>
      <w:r>
        <w:t>3.10 UML Use Case Diagram</w:t>
      </w:r>
      <w:bookmarkEnd w:id="2144313735"/>
    </w:p>
    <w:p>
      <w:r>
        <w:t>The use case diagram separates student actions from administrator actions. Student workflows focus on career exploration. Admin workflows focus on operating and inspecting the imported job ecosystem.</w:t>
      </w:r>
    </w:p>
    <w:p>
      <w:bookmarkStart w:id="592637515" w:name="bm_3_11_uml_sequence_diagrams"/>
      <w:pPr>
        <w:pStyle w:val="Heading2"/>
        <w:keepNext/>
      </w:pPr>
      <w:r>
        <w:t>3.11 UML Sequence Diagrams</w:t>
      </w:r>
      <w:bookmarkEnd w:id="592637515"/>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6_sequence_cv_upload_analysis.png"/>
                    <pic:cNvPicPr/>
                  </pic:nvPicPr>
                  <pic:blipFill>
                    <a:blip r:embed="rId18"/>
                    <a:stretch>
                      <a:fillRect/>
                    </a:stretch>
                  </pic:blipFill>
                  <pic:spPr>
                    <a:xfrm>
                      <a:off x="0" y="0"/>
                      <a:ext cx="5577840" cy="3445136"/>
                    </a:xfrm>
                    <a:prstGeom prst="rect"/>
                  </pic:spPr>
                </pic:pic>
              </a:graphicData>
            </a:graphic>
          </wp:inline>
        </w:drawing>
      </w:r>
    </w:p>
    <w:p>
      <w:bookmarkStart w:id="834768238" w:name="bm_figure_6"/>
      <w:pPr>
        <w:jc w:val="center"/>
      </w:pPr>
      <w:r>
        <w:rPr>
          <w:i/>
        </w:rPr>
        <w:t>Figure 6. Sequence diagram for CV upload and analysis.</w:t>
      </w:r>
      <w:bookmarkEnd w:id="834768238"/>
    </w:p>
    <w:p>
      <w:pPr>
        <w:jc w:val="center"/>
      </w:pPr>
      <w:r>
        <w:drawing>
          <wp:inline xmlns:a="http://schemas.openxmlformats.org/drawingml/2006/main" xmlns:pic="http://schemas.openxmlformats.org/drawingml/2006/picture">
            <wp:extent cx="5577840" cy="3445136"/>
            <wp:docPr id="10" name="Picture 10"/>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9"/>
                    <a:stretch>
                      <a:fillRect/>
                    </a:stretch>
                  </pic:blipFill>
                  <pic:spPr>
                    <a:xfrm>
                      <a:off x="0" y="0"/>
                      <a:ext cx="5577840" cy="3445136"/>
                    </a:xfrm>
                    <a:prstGeom prst="rect"/>
                  </pic:spPr>
                </pic:pic>
              </a:graphicData>
            </a:graphic>
          </wp:inline>
        </w:drawing>
      </w:r>
    </w:p>
    <w:p>
      <w:bookmarkStart w:id="745868944" w:name="bm_figure_7"/>
      <w:pPr>
        <w:jc w:val="center"/>
      </w:pPr>
      <w:r>
        <w:rPr>
          <w:i/>
        </w:rPr>
        <w:t>Figure 7. Sequence diagram for recommendation and gap analysis.</w:t>
      </w:r>
      <w:bookmarkEnd w:id="745868944"/>
    </w:p>
    <w:p>
      <w:bookmarkStart w:id="554305694" w:name="bm_3_12_deployment_architecture_with_docker"/>
      <w:pPr>
        <w:pStyle w:val="Heading2"/>
        <w:keepNext/>
      </w:pPr>
      <w:r>
        <w:t>3.12 Deployment Architecture with Docker</w:t>
      </w:r>
      <w:bookmarkEnd w:id="554305694"/>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1" name="Picture 11"/>
            <wp:cNvGraphicFramePr>
              <a:graphicFrameLocks noChangeAspect="1"/>
            </wp:cNvGraphicFramePr>
            <a:graphic>
              <a:graphicData uri="http://schemas.openxmlformats.org/drawingml/2006/picture">
                <pic:pic>
                  <pic:nvPicPr>
                    <pic:cNvPr id="0" name="02_docker_deployment.png"/>
                    <pic:cNvPicPr/>
                  </pic:nvPicPr>
                  <pic:blipFill>
                    <a:blip r:embed="rId20"/>
                    <a:stretch>
                      <a:fillRect/>
                    </a:stretch>
                  </pic:blipFill>
                  <pic:spPr>
                    <a:xfrm>
                      <a:off x="0" y="0"/>
                      <a:ext cx="5577840" cy="3486150"/>
                    </a:xfrm>
                    <a:prstGeom prst="rect"/>
                  </pic:spPr>
                </pic:pic>
              </a:graphicData>
            </a:graphic>
          </wp:inline>
        </w:drawing>
      </w:r>
    </w:p>
    <w:p>
      <w:bookmarkStart w:id="1578032741" w:name="bm_figure_2"/>
      <w:pPr>
        <w:jc w:val="center"/>
      </w:pPr>
      <w:r>
        <w:rPr>
          <w:i/>
        </w:rPr>
        <w:t>Figure 2. Docker deployment architecture.</w:t>
      </w:r>
      <w:bookmarkEnd w:id="1578032741"/>
    </w:p>
    <w:p>
      <w:bookmarkStart w:id="1012357257" w:name="bm_3_13_monitoring_architecture"/>
      <w:pPr>
        <w:pStyle w:val="Heading2"/>
        <w:keepNext/>
      </w:pPr>
      <w:r>
        <w:t>3.13 Monitoring Architecture</w:t>
      </w:r>
      <w:bookmarkEnd w:id="1012357257"/>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52560236" w:name="bm_3_14_design_decisions_and_justification"/>
      <w:pPr>
        <w:pStyle w:val="Heading2"/>
        <w:keepNext/>
      </w:pPr>
      <w:r>
        <w:t>3.14 Design Decisions and Justification</w:t>
      </w:r>
      <w:bookmarkEnd w:id="5256023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940335076" w:name="bm_table_5"/>
      <w:pPr>
        <w:jc w:val="center"/>
      </w:pPr>
      <w:r>
        <w:rPr>
          <w:i/>
        </w:rPr>
        <w:t>Table 5. Design decisions summary.</w:t>
      </w:r>
      <w:bookmarkEnd w:id="1940335076"/>
    </w:p>
    <w:p>
      <w:r>
        <w:br w:type="page"/>
      </w:r>
    </w:p>
    <w:p>
      <w:bookmarkStart w:id="353745700" w:name="bm_chapter_4_software_and_tools_used"/>
      <w:pPr>
        <w:pStyle w:val="Heading1"/>
        <w:keepNext/>
      </w:pPr>
      <w:r>
        <w:t>Chapter 4: Software and Tools Used</w:t>
      </w:r>
      <w:bookmarkEnd w:id="353745700"/>
    </w:p>
    <w:p>
      <w:bookmarkStart w:id="55279867" w:name="bm_4_1_laravel"/>
      <w:pPr>
        <w:pStyle w:val="Heading2"/>
        <w:keepNext/>
      </w:pPr>
      <w:r>
        <w:t>4.1 Laravel</w:t>
      </w:r>
      <w:bookmarkEnd w:id="55279867"/>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265517980" w:name="bm_4_2_react"/>
      <w:pPr>
        <w:pStyle w:val="Heading2"/>
        <w:keepNext/>
      </w:pPr>
      <w:r>
        <w:t>4.2 React</w:t>
      </w:r>
      <w:bookmarkEnd w:id="265517980"/>
    </w:p>
    <w:p>
      <w:r>
        <w:t>React is used to build the browser-based interface for students and administrators [4]. The project uses React routes and components for dashboard cards, forms, pages, tables, modals, and visualization panels.</w:t>
      </w:r>
    </w:p>
    <w:p>
      <w:bookmarkStart w:id="1611106681" w:name="bm_4_3_vite"/>
      <w:pPr>
        <w:pStyle w:val="Heading2"/>
        <w:keepNext/>
      </w:pPr>
      <w:r>
        <w:t>4.3 Vite</w:t>
      </w:r>
      <w:bookmarkEnd w:id="1611106681"/>
    </w:p>
    <w:p>
      <w:r>
        <w:t>Vite is used as the frontend build tool [5]. The successful production build transformed 2904 modules during validation.</w:t>
      </w:r>
    </w:p>
    <w:p>
      <w:bookmarkStart w:id="1987264590" w:name="bm_4_4_fastapi"/>
      <w:pPr>
        <w:pStyle w:val="Heading2"/>
        <w:keepNext/>
      </w:pPr>
      <w:r>
        <w:t>4.4 FastAPI</w:t>
      </w:r>
      <w:bookmarkEnd w:id="1987264590"/>
    </w:p>
    <w:p>
      <w:r>
        <w:t>FastAPI is used for Python services because it supports efficient API development using Python type hints and modern web service patterns [6]. CareerCompass uses it for CV analysis and job mining service endpoints.</w:t>
      </w:r>
    </w:p>
    <w:p>
      <w:bookmarkStart w:id="825816701" w:name="bm_4_5_python"/>
      <w:pPr>
        <w:pStyle w:val="Heading2"/>
        <w:keepNext/>
      </w:pPr>
      <w:r>
        <w:t>4.5 Python</w:t>
      </w:r>
      <w:bookmarkEnd w:id="825816701"/>
    </w:p>
    <w:p>
      <w:r>
        <w:t>Python is used for AI and scraping-related services [7]. It supports the ecosystem of text extraction, OCR, NLP, testing, and scraping libraries used by the AI services.</w:t>
      </w:r>
    </w:p>
    <w:p>
      <w:bookmarkStart w:id="860623108" w:name="bm_4_6_mysql"/>
      <w:pPr>
        <w:pStyle w:val="Heading2"/>
        <w:keepNext/>
      </w:pPr>
      <w:r>
        <w:t>4.6 MySQL</w:t>
      </w:r>
      <w:bookmarkEnd w:id="860623108"/>
    </w:p>
    <w:p>
      <w:r>
        <w:t>MySQL stores relational project data including users, profiles, skills, jobs, applications, scraping sources, and CV analyses [8].</w:t>
      </w:r>
    </w:p>
    <w:p>
      <w:bookmarkStart w:id="1177710589" w:name="bm_4_7_minio_s3_compatible_storage"/>
      <w:pPr>
        <w:pStyle w:val="Heading2"/>
        <w:keepNext/>
      </w:pPr>
      <w:r>
        <w:t>4.7 MinIO / S3-Compatible Storage</w:t>
      </w:r>
      <w:bookmarkEnd w:id="1177710589"/>
    </w:p>
    <w:p>
      <w:r>
        <w:t>MinIO-compatible object storage is used to store CV files privately. This avoids placing uploaded CVs directly in public web directories and supports signed temporary download flows [9].</w:t>
      </w:r>
    </w:p>
    <w:p>
      <w:bookmarkStart w:id="1902857170" w:name="bm_4_8_docker_and_docker_compose"/>
      <w:pPr>
        <w:pStyle w:val="Heading2"/>
        <w:keepNext/>
      </w:pPr>
      <w:r>
        <w:t>4.8 Docker and Docker Compose</w:t>
      </w:r>
      <w:bookmarkEnd w:id="1902857170"/>
    </w:p>
    <w:p>
      <w:r>
        <w:t>Docker containers package each runtime, and Docker Compose coordinates multi-container execution [10], [11]. CareerCompass uses Compose for Nginx, frontend, backend, workers, MySQL, MinIO, AI services, Prometheus, and Grafana.</w:t>
      </w:r>
    </w:p>
    <w:p>
      <w:bookmarkStart w:id="408356456" w:name="bm_4_9_nginx"/>
      <w:pPr>
        <w:pStyle w:val="Heading2"/>
        <w:keepNext/>
      </w:pPr>
      <w:r>
        <w:t>4.9 Nginx</w:t>
      </w:r>
      <w:bookmarkEnd w:id="408356456"/>
    </w:p>
    <w:p>
      <w:r>
        <w:t>Nginx acts as the reverse proxy and public gateway for the local deployment [12]. It routes browser and API traffic to the correct containers.</w:t>
      </w:r>
    </w:p>
    <w:p>
      <w:bookmarkStart w:id="1625712129" w:name="bm_4_10_prometheus_and_grafana"/>
      <w:pPr>
        <w:pStyle w:val="Heading2"/>
        <w:keepNext/>
      </w:pPr>
      <w:r>
        <w:t>4.10 Prometheus and Grafana</w:t>
      </w:r>
      <w:bookmarkEnd w:id="1625712129"/>
    </w:p>
    <w:p>
      <w:r>
        <w:t>Prometheus collects metrics [13], and Grafana visualizes metrics and dashboards [14]. CareerCompass uses these tools to support monitoring-oriented evaluation.</w:t>
      </w:r>
    </w:p>
    <w:p>
      <w:bookmarkStart w:id="1327719475" w:name="bm_4_11_github_actions"/>
      <w:pPr>
        <w:pStyle w:val="Heading2"/>
        <w:keepNext/>
      </w:pPr>
      <w:r>
        <w:t>4.11 GitHub Actions</w:t>
      </w:r>
      <w:bookmarkEnd w:id="1327719475"/>
    </w:p>
    <w:p>
      <w:r>
        <w:t>GitHub Actions is configured for repository automation and CI/CD-style validation [15]. The report treats workflow definitions as part of the development process, while final PR status should be reviewed after the draft PR is opened.</w:t>
      </w:r>
    </w:p>
    <w:p>
      <w:bookmarkStart w:id="411841552" w:name="bm_4_12_nlp_ai_libraries"/>
      <w:pPr>
        <w:pStyle w:val="Heading2"/>
        <w:keepNext/>
      </w:pPr>
      <w:r>
        <w:t>4.12 NLP / AI Libraries</w:t>
      </w:r>
      <w:bookmarkEnd w:id="411841552"/>
    </w:p>
    <w:p>
      <w:r>
        <w:t>The project uses concepts and libraries related to text extraction, OCR, transformer token classification,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 The token-classification path builds on BERT-style contextual representations [37].</w:t>
      </w:r>
    </w:p>
    <w:p>
      <w:r>
        <w:t>Hugging Face Transformers is used for model loading and token-classification style inference/training [31], [32]. The training notebook uses Hugging Face Trainer concepts, token-label alignment, the seqeval metric family, and a BERT token-classification configuration [33]. Optional dynamic quantization is supported in the local model-loading code as an inference optimization concept [38]. The deployed matching layer also uses sentence embeddings and a custom TF-IDF fallback so that a service outage or weak semantic signal does not become a silent failure.</w:t>
      </w:r>
    </w:p>
    <w:p>
      <w:bookmarkStart w:id="414075360" w:name="bm_4_13_synthetic_data_and_training_tools"/>
      <w:pPr>
        <w:pStyle w:val="Heading2"/>
        <w:keepNext/>
      </w:pPr>
      <w:r>
        <w:t>4.13 Synthetic Data and Training Tools</w:t>
      </w:r>
      <w:bookmarkEnd w:id="414075360"/>
    </w:p>
    <w:p>
      <w:r>
        <w:t>The repository includes a model-training workflow designed around synthetic annotated CV snippets. The data-generation script uses the Gemini API through Google AI developer tooling to generate labeled examples, while the training notebook is designed for Google Colab GPU execution [34], [35], [36]. This report treats the external AI tooling as training-support tooling, not as a runtime dependency for private CV uploads.</w:t>
      </w:r>
    </w:p>
    <w:p>
      <w:bookmarkStart w:id="1104061340" w:name="bm_4_14_testing_tools"/>
      <w:pPr>
        <w:pStyle w:val="Heading2"/>
        <w:keepNext/>
      </w:pPr>
      <w:r>
        <w:t>4.14 Testing Tools</w:t>
      </w:r>
      <w:bookmarkEnd w:id="1104061340"/>
    </w:p>
    <w:p>
      <w:r>
        <w:t>Backend tests use Laravel/PHP testing tools and PHPUnit concepts [25]. Python service tests use pytest where available [26]. Frontend validation uses ESLint and Vite build checks.</w:t>
      </w:r>
    </w:p>
    <w:p>
      <w:bookmarkStart w:id="748809135" w:name="bm_4_15_development_and_version_control_tools"/>
      <w:pPr>
        <w:pStyle w:val="Heading2"/>
        <w:keepNext/>
      </w:pPr>
      <w:r>
        <w:t>4.15 Development and Version Control Tools</w:t>
      </w:r>
      <w:bookmarkEnd w:id="748809135"/>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300648326" w:name="bm_chapter_5_system_implementation"/>
      <w:pPr>
        <w:pStyle w:val="Heading1"/>
        <w:keepNext/>
      </w:pPr>
      <w:r>
        <w:t>Chapter 5: System Implementation</w:t>
      </w:r>
      <w:bookmarkEnd w:id="300648326"/>
    </w:p>
    <w:p>
      <w:bookmarkStart w:id="1935479615" w:name="bm_5_1_introduction"/>
      <w:pPr>
        <w:pStyle w:val="Heading2"/>
        <w:keepNext/>
      </w:pPr>
      <w:r>
        <w:t>5.1 Introduction</w:t>
      </w:r>
      <w:bookmarkEnd w:id="1935479615"/>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1841505634" w:name="bm_5_2_authentication_and_user_management"/>
      <w:pPr>
        <w:pStyle w:val="Heading2"/>
        <w:keepNext/>
      </w:pPr>
      <w:r>
        <w:t>5.2 Authentication and User Management</w:t>
      </w:r>
      <w:bookmarkEnd w:id="1841505634"/>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202244383" w:name="bm_5_3_student_dashboard"/>
      <w:pPr>
        <w:pStyle w:val="Heading2"/>
        <w:keepNext/>
      </w:pPr>
      <w:r>
        <w:t>5.3 Student Dashboard</w:t>
      </w:r>
      <w:bookmarkEnd w:id="1202244383"/>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bookmarkStart w:id="2087679530" w:name="bm_figure_22"/>
      <w:pPr>
        <w:jc w:val="center"/>
      </w:pPr>
      <w:r>
        <w:rPr>
          <w:i/>
        </w:rPr>
        <w:t>Figure 22. Student dashboard before CV upload.</w:t>
      </w:r>
      <w:bookmarkEnd w:id="2087679530"/>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bookmarkStart w:id="795889036" w:name="bm_figure_24"/>
      <w:pPr>
        <w:jc w:val="center"/>
      </w:pPr>
      <w:r>
        <w:rPr>
          <w:i/>
        </w:rPr>
        <w:t>Figure 24. Dashboard after successful CV parsing.</w:t>
      </w:r>
      <w:bookmarkEnd w:id="795889036"/>
    </w:p>
    <w:p>
      <w:bookmarkStart w:id="1786756417" w:name="bm_5_4_cv_upload_and_storage"/>
      <w:pPr>
        <w:pStyle w:val="Heading2"/>
        <w:keepNext/>
      </w:pPr>
      <w:r>
        <w:t>5.4 CV Upload and Storage</w:t>
      </w:r>
      <w:bookmarkEnd w:id="1786756417"/>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bookmarkStart w:id="1792500657" w:name="bm_figure_23"/>
      <w:pPr>
        <w:jc w:val="center"/>
      </w:pPr>
      <w:r>
        <w:rPr>
          <w:i/>
        </w:rPr>
        <w:t>Figure 23. CV upload user interface.</w:t>
      </w:r>
      <w:bookmarkEnd w:id="1792500657"/>
    </w:p>
    <w:p>
      <w:bookmarkStart w:id="978543773" w:name="bm_5_5_cv_parsing_and_skill_extraction"/>
      <w:pPr>
        <w:pStyle w:val="Heading2"/>
        <w:keepNext/>
      </w:pPr>
      <w:r>
        <w:t>5.5 CV Parsing and Skill Extraction</w:t>
      </w:r>
      <w:bookmarkEnd w:id="978543773"/>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65037958" w:name="bm_5_5_1_analyzer_runtime_components"/>
      <w:pPr>
        <w:pStyle w:val="Heading3"/>
        <w:keepNext/>
      </w:pPr>
      <w:r>
        <w:t>5.5.1 Analyzer Runtime Components</w:t>
      </w:r>
      <w:bookmarkEnd w:id="165037958"/>
    </w:p>
    <w:p>
      <w:r>
        <w:t>The analyzer is implemented as layered Python code rather than one monolithic function. main.py exposes FastAPI endpoints, CVOrchestrator coordinates extraction, AdvancedNEREngine runs transformer-based named-entity recognition, and supporting engines handle contacts, sections, experience blocks, canonicalization, domain classification, seniority classification, semantic embeddings, and hybrid job matching. Figure 11 summarizes these extraction components.</w:t>
      </w:r>
    </w:p>
    <w:p>
      <w:pPr>
        <w:jc w:val="center"/>
      </w:pPr>
      <w:r>
        <w:drawing>
          <wp:inline xmlns:a="http://schemas.openxmlformats.org/drawingml/2006/main" xmlns:pic="http://schemas.openxmlformats.org/drawingml/2006/picture">
            <wp:extent cx="5577840" cy="3486150"/>
            <wp:docPr id="15" name="Picture 15"/>
            <wp:cNvGraphicFramePr>
              <a:graphicFrameLocks noChangeAspect="1"/>
            </wp:cNvGraphicFramePr>
            <a:graphic>
              <a:graphicData uri="http://schemas.openxmlformats.org/drawingml/2006/picture">
                <pic:pic>
                  <pic:nvPicPr>
                    <pic:cNvPr id="0" name="11_cv_extraction_components.png"/>
                    <pic:cNvPicPr/>
                  </pic:nvPicPr>
                  <pic:blipFill>
                    <a:blip r:embed="rId24"/>
                    <a:stretch>
                      <a:fillRect/>
                    </a:stretch>
                  </pic:blipFill>
                  <pic:spPr>
                    <a:xfrm>
                      <a:off x="0" y="0"/>
                      <a:ext cx="5577840" cy="3486150"/>
                    </a:xfrm>
                    <a:prstGeom prst="rect"/>
                  </pic:spPr>
                </pic:pic>
              </a:graphicData>
            </a:graphic>
          </wp:inline>
        </w:drawing>
      </w:r>
    </w:p>
    <w:p>
      <w:bookmarkStart w:id="1932206423" w:name="bm_figure_11"/>
      <w:pPr>
        <w:jc w:val="center"/>
      </w:pPr>
      <w:r>
        <w:rPr>
          <w:i/>
        </w:rPr>
        <w:t>Figure 11. AI CV Analyzer extraction components.</w:t>
      </w:r>
      <w:bookmarkEnd w:id="193220642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Component</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Responsibility</w:t>
            </w:r>
          </w:p>
        </w:tc>
        <w:tc>
          <w:tcPr>
            <w:tcW w:type="dxa" w:w="2790"/>
            <w:vAlign w:val="center"/>
            <w:shd w:fill="D9EAF7"/>
          </w:tcPr>
          <w:p>
            <w:pPr>
              <w:spacing w:before="0" w:after="0" w:line="252" w:lineRule="auto"/>
              <w:jc w:val="left"/>
            </w:pPr>
            <w:r/>
            <w:r>
              <w:rPr>
                <w:rFonts w:ascii="Calibri" w:hAnsi="Calibri"/>
                <w:b/>
                <w:sz w:val="17"/>
              </w:rPr>
              <w:t>Output Used By</w:t>
            </w:r>
          </w:p>
        </w:tc>
      </w:tr>
      <w:tr>
        <w:trPr>
          <w:cantSplit w:val="true"/>
        </w:trPr>
        <w:tc>
          <w:tcPr>
            <w:tcW w:type="dxa" w:w="1674"/>
            <w:vAlign w:val="center"/>
          </w:tcPr>
          <w:p>
            <w:pPr>
              <w:spacing w:before="0" w:after="0" w:line="252" w:lineRule="auto"/>
              <w:jc w:val="center"/>
            </w:pPr>
            <w:r/>
            <w:r>
              <w:rPr>
                <w:rFonts w:ascii="Calibri" w:hAnsi="Calibri"/>
                <w:b w:val="0"/>
                <w:sz w:val="17"/>
              </w:rPr>
              <w:t>FastAPI gateway</w:t>
            </w:r>
          </w:p>
        </w:tc>
        <w:tc>
          <w:tcPr>
            <w:tcW w:type="dxa" w:w="2604"/>
            <w:vAlign w:val="center"/>
          </w:tcPr>
          <w:p>
            <w:pPr>
              <w:spacing w:before="0" w:after="0" w:line="252" w:lineRule="auto"/>
              <w:jc w:val="left"/>
            </w:pPr>
            <w:r/>
            <w:r>
              <w:rPr>
                <w:rFonts w:ascii="Calibri" w:hAnsi="Calibri"/>
                <w:b w:val="0"/>
                <w:sz w:val="17"/>
              </w:rPr>
              <w:t>ai-cv-analyzer/main.py</w:t>
            </w:r>
          </w:p>
        </w:tc>
        <w:tc>
          <w:tcPr>
            <w:tcW w:type="dxa" w:w="2232"/>
            <w:vAlign w:val="center"/>
          </w:tcPr>
          <w:p>
            <w:pPr>
              <w:spacing w:before="0" w:after="0" w:line="252" w:lineRule="auto"/>
              <w:jc w:val="left"/>
            </w:pPr>
            <w:r/>
            <w:r>
              <w:rPr>
                <w:rFonts w:ascii="Calibri" w:hAnsi="Calibri"/>
                <w:b w:val="0"/>
                <w:sz w:val="17"/>
              </w:rPr>
              <w:t>Receives /api/parse-cv and /api/hybrid-match requests; handles timeout/error fallbacks.</w:t>
            </w:r>
          </w:p>
        </w:tc>
        <w:tc>
          <w:tcPr>
            <w:tcW w:type="dxa" w:w="2790"/>
            <w:vAlign w:val="center"/>
          </w:tcPr>
          <w:p>
            <w:pPr>
              <w:spacing w:before="0" w:after="0" w:line="252" w:lineRule="auto"/>
              <w:jc w:val="left"/>
            </w:pPr>
            <w:r/>
            <w:r>
              <w:rPr>
                <w:rFonts w:ascii="Calibri" w:hAnsi="Calibri"/>
                <w:b w:val="0"/>
                <w:sz w:val="17"/>
              </w:rPr>
              <w:t>Laravel CvProcessingService and GapAnalysisService</w:t>
            </w:r>
          </w:p>
        </w:tc>
      </w:tr>
      <w:tr>
        <w:trPr>
          <w:cantSplit w:val="true"/>
        </w:trPr>
        <w:tc>
          <w:tcPr>
            <w:tcW w:type="dxa" w:w="1674"/>
            <w:vAlign w:val="center"/>
          </w:tcPr>
          <w:p>
            <w:pPr>
              <w:spacing w:before="0" w:after="0" w:line="252" w:lineRule="auto"/>
              <w:jc w:val="center"/>
            </w:pPr>
            <w:r/>
            <w:r>
              <w:rPr>
                <w:rFonts w:ascii="Calibri" w:hAnsi="Calibri"/>
                <w:b w:val="0"/>
                <w:sz w:val="17"/>
              </w:rPr>
              <w:t>Laravel CV service</w:t>
            </w:r>
          </w:p>
        </w:tc>
        <w:tc>
          <w:tcPr>
            <w:tcW w:type="dxa" w:w="2604"/>
            <w:vAlign w:val="center"/>
          </w:tcPr>
          <w:p>
            <w:pPr>
              <w:spacing w:before="0" w:after="0" w:line="252" w:lineRule="auto"/>
              <w:jc w:val="left"/>
            </w:pPr>
            <w:r/>
            <w:r>
              <w:rPr>
                <w:rFonts w:ascii="Calibri" w:hAnsi="Calibri"/>
                <w:b w:val="0"/>
                <w:sz w:val="17"/>
              </w:rPr>
              <w:t>backend-api/app/Services/CvProcessingService.php</w:t>
            </w:r>
          </w:p>
        </w:tc>
        <w:tc>
          <w:tcPr>
            <w:tcW w:type="dxa" w:w="2232"/>
            <w:vAlign w:val="center"/>
          </w:tcPr>
          <w:p>
            <w:pPr>
              <w:spacing w:before="0" w:after="0" w:line="252" w:lineRule="auto"/>
              <w:jc w:val="left"/>
            </w:pPr>
            <w:r/>
            <w:r>
              <w:rPr>
                <w:rFonts w:ascii="Calibri" w:hAnsi="Calibri"/>
                <w:b w:val="0"/>
                <w:sz w:val="17"/>
              </w:rPr>
              <w:t>Sends uploads to the analyzer, stores private CV objects, persists normalized analysis.</w:t>
            </w:r>
          </w:p>
        </w:tc>
        <w:tc>
          <w:tcPr>
            <w:tcW w:type="dxa" w:w="2790"/>
            <w:vAlign w:val="center"/>
          </w:tcPr>
          <w:p>
            <w:pPr>
              <w:spacing w:before="0" w:after="0" w:line="252" w:lineRule="auto"/>
              <w:jc w:val="left"/>
            </w:pPr>
            <w:r/>
            <w:r>
              <w:rPr>
                <w:rFonts w:ascii="Calibri" w:hAnsi="Calibri"/>
                <w:b w:val="0"/>
                <w:sz w:val="17"/>
              </w:rPr>
              <w:t>User profile, skills, experiences, recommendations</w:t>
            </w:r>
          </w:p>
        </w:tc>
      </w:tr>
      <w:tr>
        <w:trPr>
          <w:cantSplit w:val="true"/>
        </w:trPr>
        <w:tc>
          <w:tcPr>
            <w:tcW w:type="dxa" w:w="1674"/>
            <w:vAlign w:val="center"/>
          </w:tcPr>
          <w:p>
            <w:pPr>
              <w:spacing w:before="0" w:after="0" w:line="252" w:lineRule="auto"/>
              <w:jc w:val="center"/>
            </w:pPr>
            <w:r/>
            <w:r>
              <w:rPr>
                <w:rFonts w:ascii="Calibri" w:hAnsi="Calibri"/>
                <w:b w:val="0"/>
                <w:sz w:val="17"/>
              </w:rPr>
              <w:t>Spatial/OCR extraction</w:t>
            </w:r>
          </w:p>
        </w:tc>
        <w:tc>
          <w:tcPr>
            <w:tcW w:type="dxa" w:w="2604"/>
            <w:vAlign w:val="center"/>
          </w:tcPr>
          <w:p>
            <w:pPr>
              <w:spacing w:before="0" w:after="0" w:line="252" w:lineRule="auto"/>
              <w:jc w:val="left"/>
            </w:pPr>
            <w:r/>
            <w:r>
              <w:rPr>
                <w:rFonts w:ascii="Calibri" w:hAnsi="Calibri"/>
                <w:b w:val="0"/>
                <w:sz w:val="17"/>
              </w:rPr>
              <w:t>spatial_parser.py, ocr_pipeline.py</w:t>
            </w:r>
          </w:p>
        </w:tc>
        <w:tc>
          <w:tcPr>
            <w:tcW w:type="dxa" w:w="2232"/>
            <w:vAlign w:val="center"/>
          </w:tcPr>
          <w:p>
            <w:pPr>
              <w:spacing w:before="0" w:after="0" w:line="252" w:lineRule="auto"/>
              <w:jc w:val="left"/>
            </w:pPr>
            <w:r/>
            <w:r>
              <w:rPr>
                <w:rFonts w:ascii="Calibri" w:hAnsi="Calibri"/>
                <w:b w:val="0"/>
                <w:sz w:val="17"/>
              </w:rPr>
              <w:t>Reads PDF text first and falls back to image/OCR when needed.</w:t>
            </w:r>
          </w:p>
        </w:tc>
        <w:tc>
          <w:tcPr>
            <w:tcW w:type="dxa" w:w="2790"/>
            <w:vAlign w:val="center"/>
          </w:tcPr>
          <w:p>
            <w:pPr>
              <w:spacing w:before="0" w:after="0" w:line="252" w:lineRule="auto"/>
              <w:jc w:val="left"/>
            </w:pPr>
            <w:r/>
            <w:r>
              <w:rPr>
                <w:rFonts w:ascii="Calibri" w:hAnsi="Calibri"/>
                <w:b w:val="0"/>
                <w:sz w:val="17"/>
              </w:rPr>
              <w:t>Section segmenter and NER pipeline</w:t>
            </w:r>
          </w:p>
        </w:tc>
      </w:tr>
      <w:tr>
        <w:trPr>
          <w:cantSplit w:val="true"/>
        </w:trPr>
        <w:tc>
          <w:tcPr>
            <w:tcW w:type="dxa" w:w="1674"/>
            <w:vAlign w:val="center"/>
          </w:tcPr>
          <w:p>
            <w:pPr>
              <w:spacing w:before="0" w:after="0" w:line="252" w:lineRule="auto"/>
              <w:jc w:val="center"/>
            </w:pPr>
            <w:r/>
            <w:r>
              <w:rPr>
                <w:rFonts w:ascii="Calibri" w:hAnsi="Calibri"/>
                <w:b w:val="0"/>
                <w:sz w:val="17"/>
              </w:rPr>
              <w:t>Advanced NER</w:t>
            </w:r>
          </w:p>
        </w:tc>
        <w:tc>
          <w:tcPr>
            <w:tcW w:type="dxa" w:w="2604"/>
            <w:vAlign w:val="center"/>
          </w:tcPr>
          <w:p>
            <w:pPr>
              <w:spacing w:before="0" w:after="0" w:line="252" w:lineRule="auto"/>
              <w:jc w:val="left"/>
            </w:pPr>
            <w:r/>
            <w:r>
              <w:rPr>
                <w:rFonts w:ascii="Calibri" w:hAnsi="Calibri"/>
                <w:b w:val="0"/>
                <w:sz w:val="17"/>
              </w:rPr>
              <w:t>advanced_ner.py and optional ignored local model folder</w:t>
            </w:r>
          </w:p>
        </w:tc>
        <w:tc>
          <w:tcPr>
            <w:tcW w:type="dxa" w:w="2232"/>
            <w:vAlign w:val="center"/>
          </w:tcPr>
          <w:p>
            <w:pPr>
              <w:spacing w:before="0" w:after="0" w:line="252" w:lineRule="auto"/>
              <w:jc w:val="left"/>
            </w:pPr>
            <w:r/>
            <w:r>
              <w:rPr>
                <w:rFonts w:ascii="Calibri" w:hAnsi="Calibri"/>
                <w:b w:val="0"/>
                <w:sz w:val="17"/>
              </w:rPr>
              <w:t>Loads the exported local token-classification model when deployed; chunks long CVs and groups entity spans.</w:t>
            </w:r>
          </w:p>
        </w:tc>
        <w:tc>
          <w:tcPr>
            <w:tcW w:type="dxa" w:w="2790"/>
            <w:vAlign w:val="center"/>
          </w:tcPr>
          <w:p>
            <w:pPr>
              <w:spacing w:before="0" w:after="0" w:line="252" w:lineRule="auto"/>
              <w:jc w:val="left"/>
            </w:pPr>
            <w:r/>
            <w:r>
              <w:rPr>
                <w:rFonts w:ascii="Calibri" w:hAnsi="Calibri"/>
                <w:b w:val="0"/>
                <w:sz w:val="17"/>
              </w:rPr>
              <w:t>Skills, roles, education, certifications</w:t>
            </w:r>
          </w:p>
        </w:tc>
      </w:tr>
      <w:tr>
        <w:trPr>
          <w:cantSplit w:val="true"/>
        </w:trPr>
        <w:tc>
          <w:tcPr>
            <w:tcW w:type="dxa" w:w="1674"/>
            <w:vAlign w:val="center"/>
          </w:tcPr>
          <w:p>
            <w:pPr>
              <w:spacing w:before="0" w:after="0" w:line="252" w:lineRule="auto"/>
              <w:jc w:val="center"/>
            </w:pPr>
            <w:r/>
            <w:r>
              <w:rPr>
                <w:rFonts w:ascii="Calibri" w:hAnsi="Calibri"/>
                <w:b w:val="0"/>
                <w:sz w:val="17"/>
              </w:rPr>
              <w:t>Rule engines</w:t>
            </w:r>
          </w:p>
        </w:tc>
        <w:tc>
          <w:tcPr>
            <w:tcW w:type="dxa" w:w="2604"/>
            <w:vAlign w:val="center"/>
          </w:tcPr>
          <w:p>
            <w:pPr>
              <w:spacing w:before="0" w:after="0" w:line="252" w:lineRule="auto"/>
              <w:jc w:val="left"/>
            </w:pPr>
            <w:r/>
            <w:r>
              <w:rPr>
                <w:rFonts w:ascii="Calibri" w:hAnsi="Calibri"/>
                <w:b w:val="0"/>
                <w:sz w:val="17"/>
              </w:rPr>
              <w:t>contact, experience, date, noise-filtering helpers</w:t>
            </w:r>
          </w:p>
        </w:tc>
        <w:tc>
          <w:tcPr>
            <w:tcW w:type="dxa" w:w="2232"/>
            <w:vAlign w:val="center"/>
          </w:tcPr>
          <w:p>
            <w:pPr>
              <w:spacing w:before="0" w:after="0" w:line="252" w:lineRule="auto"/>
              <w:jc w:val="left"/>
            </w:pPr>
            <w:r/>
            <w:r>
              <w:rPr>
                <w:rFonts w:ascii="Calibri" w:hAnsi="Calibri"/>
                <w:b w:val="0"/>
                <w:sz w:val="17"/>
              </w:rPr>
              <w:t>Extract contact details, experience blocks, dates, and remove title-like or noisy skill candidates.</w:t>
            </w:r>
          </w:p>
        </w:tc>
        <w:tc>
          <w:tcPr>
            <w:tcW w:type="dxa" w:w="2790"/>
            <w:vAlign w:val="center"/>
          </w:tcPr>
          <w:p>
            <w:pPr>
              <w:spacing w:before="0" w:after="0" w:line="252" w:lineRule="auto"/>
              <w:jc w:val="left"/>
            </w:pPr>
            <w:r/>
            <w:r>
              <w:rPr>
                <w:rFonts w:ascii="Calibri" w:hAnsi="Calibri"/>
                <w:b w:val="0"/>
                <w:sz w:val="17"/>
              </w:rPr>
              <w:t>Profile and experience persistence</w:t>
            </w:r>
          </w:p>
        </w:tc>
      </w:tr>
      <w:tr>
        <w:trPr>
          <w:cantSplit w:val="true"/>
        </w:trPr>
        <w:tc>
          <w:tcPr>
            <w:tcW w:type="dxa" w:w="1674"/>
            <w:vAlign w:val="center"/>
          </w:tcPr>
          <w:p>
            <w:pPr>
              <w:spacing w:before="0" w:after="0" w:line="252" w:lineRule="auto"/>
              <w:jc w:val="center"/>
            </w:pPr>
            <w:r/>
            <w:r>
              <w:rPr>
                <w:rFonts w:ascii="Calibri" w:hAnsi="Calibri"/>
                <w:b w:val="0"/>
                <w:sz w:val="17"/>
              </w:rPr>
              <w:t>Canonicalization/classification</w:t>
            </w:r>
          </w:p>
        </w:tc>
        <w:tc>
          <w:tcPr>
            <w:tcW w:type="dxa" w:w="2604"/>
            <w:vAlign w:val="center"/>
          </w:tcPr>
          <w:p>
            <w:pPr>
              <w:spacing w:before="0" w:after="0" w:line="252" w:lineRule="auto"/>
              <w:jc w:val="left"/>
            </w:pPr>
            <w:r/>
            <w:r>
              <w:rPr>
                <w:rFonts w:ascii="Calibri" w:hAnsi="Calibri"/>
                <w:b w:val="0"/>
                <w:sz w:val="17"/>
              </w:rPr>
              <w:t>Layer 1 and Layer 2 modules</w:t>
            </w:r>
          </w:p>
        </w:tc>
        <w:tc>
          <w:tcPr>
            <w:tcW w:type="dxa" w:w="2232"/>
            <w:vAlign w:val="center"/>
          </w:tcPr>
          <w:p>
            <w:pPr>
              <w:spacing w:before="0" w:after="0" w:line="252" w:lineRule="auto"/>
              <w:jc w:val="left"/>
            </w:pPr>
            <w:r/>
            <w:r>
              <w:rPr>
                <w:rFonts w:ascii="Calibri" w:hAnsi="Calibri"/>
                <w:b w:val="0"/>
                <w:sz w:val="17"/>
              </w:rPr>
              <w:t>Normalize skills and infer primary domain plus seniority.</w:t>
            </w:r>
          </w:p>
        </w:tc>
        <w:tc>
          <w:tcPr>
            <w:tcW w:type="dxa" w:w="2790"/>
            <w:vAlign w:val="center"/>
          </w:tcPr>
          <w:p>
            <w:pPr>
              <w:spacing w:before="0" w:after="0" w:line="252" w:lineRule="auto"/>
              <w:jc w:val="left"/>
            </w:pPr>
            <w:r/>
            <w:r>
              <w:rPr>
                <w:rFonts w:ascii="Calibri" w:hAnsi="Calibri"/>
                <w:b w:val="0"/>
                <w:sz w:val="17"/>
              </w:rPr>
              <w:t>Dashboard identity card and matching</w:t>
            </w:r>
          </w:p>
        </w:tc>
      </w:tr>
      <w:tr>
        <w:trPr>
          <w:cantSplit w:val="true"/>
        </w:trPr>
        <w:tc>
          <w:tcPr>
            <w:tcW w:type="dxa" w:w="1674"/>
            <w:vAlign w:val="center"/>
          </w:tcPr>
          <w:p>
            <w:pPr>
              <w:spacing w:before="0" w:after="0" w:line="252" w:lineRule="auto"/>
              <w:jc w:val="center"/>
            </w:pPr>
            <w:r/>
            <w:r>
              <w:rPr>
                <w:rFonts w:ascii="Calibri" w:hAnsi="Calibri"/>
                <w:b w:val="0"/>
                <w:sz w:val="17"/>
              </w:rPr>
              <w:t>Hybrid matching</w:t>
            </w:r>
          </w:p>
        </w:tc>
        <w:tc>
          <w:tcPr>
            <w:tcW w:type="dxa" w:w="2604"/>
            <w:vAlign w:val="center"/>
          </w:tcPr>
          <w:p>
            <w:pPr>
              <w:spacing w:before="0" w:after="0" w:line="252" w:lineRule="auto"/>
              <w:jc w:val="left"/>
            </w:pPr>
            <w:r/>
            <w:r>
              <w:rPr>
                <w:rFonts w:ascii="Calibri" w:hAnsi="Calibri"/>
                <w:b w:val="0"/>
                <w:sz w:val="17"/>
              </w:rPr>
              <w:t>Layer 3 matching modules</w:t>
            </w:r>
          </w:p>
        </w:tc>
        <w:tc>
          <w:tcPr>
            <w:tcW w:type="dxa" w:w="2232"/>
            <w:vAlign w:val="center"/>
          </w:tcPr>
          <w:p>
            <w:pPr>
              <w:spacing w:before="0" w:after="0" w:line="252" w:lineRule="auto"/>
              <w:jc w:val="left"/>
            </w:pPr>
            <w:r/>
            <w:r>
              <w:rPr>
                <w:rFonts w:ascii="Calibri" w:hAnsi="Calibri"/>
                <w:b w:val="0"/>
                <w:sz w:val="17"/>
              </w:rPr>
              <w:t>Combines semantic scores, skill text similarity, domain alignment, constraints, and TF-IDF fallback.</w:t>
            </w:r>
          </w:p>
        </w:tc>
        <w:tc>
          <w:tcPr>
            <w:tcW w:type="dxa" w:w="2790"/>
            <w:vAlign w:val="center"/>
          </w:tcPr>
          <w:p>
            <w:pPr>
              <w:spacing w:before="0" w:after="0" w:line="252" w:lineRule="auto"/>
              <w:jc w:val="left"/>
            </w:pPr>
            <w:r/>
            <w:r>
              <w:rPr>
                <w:rFonts w:ascii="Calibri" w:hAnsi="Calibri"/>
                <w:b w:val="0"/>
                <w:sz w:val="17"/>
              </w:rPr>
              <w:t>Recommendations and gap analysis</w:t>
            </w:r>
          </w:p>
        </w:tc>
      </w:tr>
      <w:tr>
        <w:trPr>
          <w:cantSplit w:val="true"/>
        </w:trPr>
        <w:tc>
          <w:tcPr>
            <w:tcW w:type="dxa" w:w="1674"/>
            <w:vAlign w:val="center"/>
          </w:tcPr>
          <w:p>
            <w:pPr>
              <w:spacing w:before="0" w:after="0" w:line="252" w:lineRule="auto"/>
              <w:jc w:val="center"/>
            </w:pPr>
            <w:r/>
            <w:r>
              <w:rPr>
                <w:rFonts w:ascii="Calibri" w:hAnsi="Calibri"/>
                <w:b w:val="0"/>
                <w:sz w:val="17"/>
              </w:rPr>
              <w:t>Frontend display</w:t>
            </w:r>
          </w:p>
        </w:tc>
        <w:tc>
          <w:tcPr>
            <w:tcW w:type="dxa" w:w="2604"/>
            <w:vAlign w:val="center"/>
          </w:tcPr>
          <w:p>
            <w:pPr>
              <w:spacing w:before="0" w:after="0" w:line="252" w:lineRule="auto"/>
              <w:jc w:val="left"/>
            </w:pPr>
            <w:r/>
            <w:r>
              <w:rPr>
                <w:rFonts w:ascii="Calibri" w:hAnsi="Calibri"/>
                <w:b w:val="0"/>
                <w:sz w:val="17"/>
              </w:rPr>
              <w:t>Dashboard.jsx, AiInsights.jsx</w:t>
            </w:r>
          </w:p>
        </w:tc>
        <w:tc>
          <w:tcPr>
            <w:tcW w:type="dxa" w:w="2232"/>
            <w:vAlign w:val="center"/>
          </w:tcPr>
          <w:p>
            <w:pPr>
              <w:spacing w:before="0" w:after="0" w:line="252" w:lineRule="auto"/>
              <w:jc w:val="left"/>
            </w:pPr>
            <w:r/>
            <w:r>
              <w:rPr>
                <w:rFonts w:ascii="Calibri" w:hAnsi="Calibri"/>
                <w:b w:val="0"/>
                <w:sz w:val="17"/>
              </w:rPr>
              <w:t>Shows upload status, confidence-style signals, role/seniority, and extracted skills.</w:t>
            </w:r>
          </w:p>
        </w:tc>
        <w:tc>
          <w:tcPr>
            <w:tcW w:type="dxa" w:w="2790"/>
            <w:vAlign w:val="center"/>
          </w:tcPr>
          <w:p>
            <w:pPr>
              <w:spacing w:before="0" w:after="0" w:line="252" w:lineRule="auto"/>
              <w:jc w:val="left"/>
            </w:pPr>
            <w:r/>
            <w:r>
              <w:rPr>
                <w:rFonts w:ascii="Calibri" w:hAnsi="Calibri"/>
                <w:b w:val="0"/>
                <w:sz w:val="17"/>
              </w:rPr>
              <w:t>Student-facing CV feedback</w:t>
            </w:r>
          </w:p>
        </w:tc>
      </w:tr>
    </w:tbl>
    <w:p>
      <w:pPr>
        <w:spacing w:after="80"/>
      </w:pPr>
    </w:p>
    <w:p>
      <w:bookmarkStart w:id="1610742670" w:name="bm_table_6"/>
      <w:pPr>
        <w:jc w:val="center"/>
      </w:pPr>
      <w:r>
        <w:rPr>
          <w:i/>
        </w:rPr>
        <w:t>Table 6. AI CV Analyzer components.</w:t>
      </w:r>
      <w:bookmarkEnd w:id="1610742670"/>
    </w:p>
    <w:p>
      <w:bookmarkStart w:id="17656454" w:name="bm_5_5_2_model_type_and_customization"/>
      <w:pPr>
        <w:pStyle w:val="Heading3"/>
        <w:keepNext/>
      </w:pPr>
      <w:r>
        <w:t>5.5.2 Model Type and Customization</w:t>
      </w:r>
      <w:bookmarkEnd w:id="17656454"/>
    </w:p>
    <w:p>
      <w:r>
        <w:t>The NER part is a fine-tuned transformer token-classification design, not a model trained from randomly initialized architecture. The notebook uses bert-base-cased as the base checkpoint and defines a CV-specific BIO label set. The runtime checks for the exported local model at ai-cv-analyzer/models/ner_weights/career_compass_ner_final and uses it when available. That folder is ignored by Git, so committed repository evidence should be described as code and training workflow evidence. Local ignored metadata inspected during this documentation update identified a BERT token-classification configuration, 512-token maximum position setting, 28,996-token vocabulary, 12 transformer layers, 768 hidden size, and a cased tokenizer; the binary model weights were not copied into the report.</w:t>
      </w:r>
    </w:p>
    <w:p>
      <w:r>
        <w:t>The project customization is mainly in the data, labels, orchestration, and post-processing. The team defined CV-specific labels, generated synthetic annotated examples, cleaned entity spans, aligned character spans to tokens, exported a local model, and connected it to a CV-specific extraction pipeline. The pipeline then adds deterministic rules for contacts, dates, experience blocks, noisy skill rejection, canonical skill names, domain/seniority inference, and safer fallback statuses.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Label</w:t>
            </w:r>
          </w:p>
        </w:tc>
        <w:tc>
          <w:tcPr>
            <w:tcW w:type="dxa" w:w="2604"/>
            <w:vAlign w:val="center"/>
            <w:shd w:fill="D9EAF7"/>
          </w:tcPr>
          <w:p>
            <w:pPr>
              <w:spacing w:before="0" w:after="0" w:line="252" w:lineRule="auto"/>
              <w:jc w:val="left"/>
            </w:pPr>
            <w:r/>
            <w:r>
              <w:rPr>
                <w:rFonts w:ascii="Calibri" w:hAnsi="Calibri"/>
                <w:b/>
                <w:sz w:val="17"/>
              </w:rPr>
              <w:t>BIO Forms</w:t>
            </w:r>
          </w:p>
        </w:tc>
        <w:tc>
          <w:tcPr>
            <w:tcW w:type="dxa" w:w="2232"/>
            <w:vAlign w:val="center"/>
            <w:shd w:fill="D9EAF7"/>
          </w:tcPr>
          <w:p>
            <w:pPr>
              <w:spacing w:before="0" w:after="0" w:line="252" w:lineRule="auto"/>
              <w:jc w:val="left"/>
            </w:pPr>
            <w:r/>
            <w:r>
              <w:rPr>
                <w:rFonts w:ascii="Calibri" w:hAnsi="Calibri"/>
                <w:b/>
                <w:sz w:val="17"/>
              </w:rPr>
              <w:t>Meaning in Training Data</w:t>
            </w:r>
          </w:p>
        </w:tc>
        <w:tc>
          <w:tcPr>
            <w:tcW w:type="dxa" w:w="2790"/>
            <w:vAlign w:val="center"/>
            <w:shd w:fill="D9EAF7"/>
          </w:tcPr>
          <w:p>
            <w:pPr>
              <w:spacing w:before="0" w:after="0" w:line="252" w:lineRule="auto"/>
              <w:jc w:val="left"/>
            </w:pPr>
            <w:r/>
            <w:r>
              <w:rPr>
                <w:rFonts w:ascii="Calibri" w:hAnsi="Calibri"/>
                <w:b/>
                <w:sz w:val="17"/>
              </w:rPr>
              <w:t>Runtime Note</w:t>
            </w:r>
          </w:p>
        </w:tc>
      </w:tr>
      <w:tr>
        <w:trPr>
          <w:cantSplit w:val="true"/>
        </w:trPr>
        <w:tc>
          <w:tcPr>
            <w:tcW w:type="dxa" w:w="1674"/>
            <w:vAlign w:val="center"/>
          </w:tcPr>
          <w:p>
            <w:pPr>
              <w:spacing w:before="0" w:after="0" w:line="252" w:lineRule="auto"/>
              <w:jc w:val="center"/>
            </w:pPr>
            <w:r/>
            <w:r>
              <w:rPr>
                <w:rFonts w:ascii="Calibri" w:hAnsi="Calibri"/>
                <w:b w:val="0"/>
                <w:sz w:val="17"/>
              </w:rPr>
              <w:t>O</w:t>
            </w:r>
          </w:p>
        </w:tc>
        <w:tc>
          <w:tcPr>
            <w:tcW w:type="dxa" w:w="2604"/>
            <w:vAlign w:val="center"/>
          </w:tcPr>
          <w:p>
            <w:pPr>
              <w:spacing w:before="0" w:after="0" w:line="252" w:lineRule="auto"/>
              <w:jc w:val="left"/>
            </w:pPr>
            <w:r/>
            <w:r>
              <w:rPr>
                <w:rFonts w:ascii="Calibri" w:hAnsi="Calibri"/>
                <w:b w:val="0"/>
                <w:sz w:val="17"/>
              </w:rPr>
              <w:t>O</w:t>
            </w:r>
          </w:p>
        </w:tc>
        <w:tc>
          <w:tcPr>
            <w:tcW w:type="dxa" w:w="2232"/>
            <w:vAlign w:val="center"/>
          </w:tcPr>
          <w:p>
            <w:pPr>
              <w:spacing w:before="0" w:after="0" w:line="252" w:lineRule="auto"/>
              <w:jc w:val="left"/>
            </w:pPr>
            <w:r/>
            <w:r>
              <w:rPr>
                <w:rFonts w:ascii="Calibri" w:hAnsi="Calibri"/>
                <w:b w:val="0"/>
                <w:sz w:val="17"/>
              </w:rPr>
              <w:t>Token outside a labeled entity.</w:t>
            </w:r>
          </w:p>
        </w:tc>
        <w:tc>
          <w:tcPr>
            <w:tcW w:type="dxa" w:w="2790"/>
            <w:vAlign w:val="center"/>
          </w:tcPr>
          <w:p>
            <w:pPr>
              <w:spacing w:before="0" w:after="0" w:line="252" w:lineRule="auto"/>
              <w:jc w:val="left"/>
            </w:pPr>
            <w:r/>
            <w:r>
              <w:rPr>
                <w:rFonts w:ascii="Calibri" w:hAnsi="Calibri"/>
                <w:b w:val="0"/>
                <w:sz w:val="17"/>
              </w:rPr>
              <w:t>Used by the model to ignore ordinary text.</w:t>
            </w:r>
          </w:p>
        </w:tc>
      </w:tr>
      <w:tr>
        <w:trPr>
          <w:cantSplit w:val="true"/>
        </w:trPr>
        <w:tc>
          <w:tcPr>
            <w:tcW w:type="dxa" w:w="1674"/>
            <w:vAlign w:val="center"/>
          </w:tcPr>
          <w:p>
            <w:pPr>
              <w:spacing w:before="0" w:after="0" w:line="252" w:lineRule="auto"/>
              <w:jc w:val="center"/>
            </w:pPr>
            <w:r/>
            <w:r>
              <w:rPr>
                <w:rFonts w:ascii="Calibri" w:hAnsi="Calibri"/>
                <w:b w:val="0"/>
                <w:sz w:val="17"/>
              </w:rPr>
              <w:t>SKILL</w:t>
            </w:r>
          </w:p>
        </w:tc>
        <w:tc>
          <w:tcPr>
            <w:tcW w:type="dxa" w:w="2604"/>
            <w:vAlign w:val="center"/>
          </w:tcPr>
          <w:p>
            <w:pPr>
              <w:spacing w:before="0" w:after="0" w:line="252" w:lineRule="auto"/>
              <w:jc w:val="left"/>
            </w:pPr>
            <w:r/>
            <w:r>
              <w:rPr>
                <w:rFonts w:ascii="Calibri" w:hAnsi="Calibri"/>
                <w:b w:val="0"/>
                <w:sz w:val="17"/>
              </w:rPr>
              <w:t>B-SKILL, I-SKILL</w:t>
            </w:r>
          </w:p>
        </w:tc>
        <w:tc>
          <w:tcPr>
            <w:tcW w:type="dxa" w:w="2232"/>
            <w:vAlign w:val="center"/>
          </w:tcPr>
          <w:p>
            <w:pPr>
              <w:spacing w:before="0" w:after="0" w:line="252" w:lineRule="auto"/>
              <w:jc w:val="left"/>
            </w:pPr>
            <w:r/>
            <w:r>
              <w:rPr>
                <w:rFonts w:ascii="Calibri" w:hAnsi="Calibri"/>
                <w:b w:val="0"/>
                <w:sz w:val="17"/>
              </w:rPr>
              <w:t>Technical skill such as Laravel, React, Docker, SQL, or PyTorch.</w:t>
            </w:r>
          </w:p>
        </w:tc>
        <w:tc>
          <w:tcPr>
            <w:tcW w:type="dxa" w:w="2790"/>
            <w:vAlign w:val="center"/>
          </w:tcPr>
          <w:p>
            <w:pPr>
              <w:spacing w:before="0" w:after="0" w:line="252" w:lineRule="auto"/>
              <w:jc w:val="left"/>
            </w:pPr>
            <w:r/>
            <w:r>
              <w:rPr>
                <w:rFonts w:ascii="Calibri" w:hAnsi="Calibri"/>
                <w:b w:val="0"/>
                <w:sz w:val="17"/>
              </w:rPr>
              <w:t>Returned as skills after filtering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ROLE</w:t>
            </w:r>
          </w:p>
        </w:tc>
        <w:tc>
          <w:tcPr>
            <w:tcW w:type="dxa" w:w="2604"/>
            <w:vAlign w:val="center"/>
          </w:tcPr>
          <w:p>
            <w:pPr>
              <w:spacing w:before="0" w:after="0" w:line="252" w:lineRule="auto"/>
              <w:jc w:val="left"/>
            </w:pPr>
            <w:r/>
            <w:r>
              <w:rPr>
                <w:rFonts w:ascii="Calibri" w:hAnsi="Calibri"/>
                <w:b w:val="0"/>
                <w:sz w:val="17"/>
              </w:rPr>
              <w:t>B-ROLE, I-ROLE</w:t>
            </w:r>
          </w:p>
        </w:tc>
        <w:tc>
          <w:tcPr>
            <w:tcW w:type="dxa" w:w="2232"/>
            <w:vAlign w:val="center"/>
          </w:tcPr>
          <w:p>
            <w:pPr>
              <w:spacing w:before="0" w:after="0" w:line="252" w:lineRule="auto"/>
              <w:jc w:val="left"/>
            </w:pPr>
            <w:r/>
            <w:r>
              <w:rPr>
                <w:rFonts w:ascii="Calibri" w:hAnsi="Calibri"/>
                <w:b w:val="0"/>
                <w:sz w:val="17"/>
              </w:rPr>
              <w:t>Job title or role such as Backend Developer or Data Analyst.</w:t>
            </w:r>
          </w:p>
        </w:tc>
        <w:tc>
          <w:tcPr>
            <w:tcW w:type="dxa" w:w="2790"/>
            <w:vAlign w:val="center"/>
          </w:tcPr>
          <w:p>
            <w:pPr>
              <w:spacing w:before="0" w:after="0" w:line="252" w:lineRule="auto"/>
              <w:jc w:val="left"/>
            </w:pPr>
            <w:r/>
            <w:r>
              <w:rPr>
                <w:rFonts w:ascii="Calibri" w:hAnsi="Calibri"/>
                <w:b w:val="0"/>
                <w:sz w:val="17"/>
              </w:rPr>
              <w:t>Used for predicted role and role evidence.</w:t>
            </w:r>
          </w:p>
        </w:tc>
      </w:tr>
      <w:tr>
        <w:trPr>
          <w:cantSplit w:val="true"/>
        </w:trPr>
        <w:tc>
          <w:tcPr>
            <w:tcW w:type="dxa" w:w="1674"/>
            <w:vAlign w:val="center"/>
          </w:tcPr>
          <w:p>
            <w:pPr>
              <w:spacing w:before="0" w:after="0" w:line="252" w:lineRule="auto"/>
              <w:jc w:val="center"/>
            </w:pPr>
            <w:r/>
            <w:r>
              <w:rPr>
                <w:rFonts w:ascii="Calibri" w:hAnsi="Calibri"/>
                <w:b w:val="0"/>
                <w:sz w:val="17"/>
              </w:rPr>
              <w:t>EDU</w:t>
            </w:r>
          </w:p>
        </w:tc>
        <w:tc>
          <w:tcPr>
            <w:tcW w:type="dxa" w:w="2604"/>
            <w:vAlign w:val="center"/>
          </w:tcPr>
          <w:p>
            <w:pPr>
              <w:spacing w:before="0" w:after="0" w:line="252" w:lineRule="auto"/>
              <w:jc w:val="left"/>
            </w:pPr>
            <w:r/>
            <w:r>
              <w:rPr>
                <w:rFonts w:ascii="Calibri" w:hAnsi="Calibri"/>
                <w:b w:val="0"/>
                <w:sz w:val="17"/>
              </w:rPr>
              <w:t>B-EDU, I-EDU</w:t>
            </w:r>
          </w:p>
        </w:tc>
        <w:tc>
          <w:tcPr>
            <w:tcW w:type="dxa" w:w="2232"/>
            <w:vAlign w:val="center"/>
          </w:tcPr>
          <w:p>
            <w:pPr>
              <w:spacing w:before="0" w:after="0" w:line="252" w:lineRule="auto"/>
              <w:jc w:val="left"/>
            </w:pPr>
            <w:r/>
            <w:r>
              <w:rPr>
                <w:rFonts w:ascii="Calibri" w:hAnsi="Calibri"/>
                <w:b w:val="0"/>
                <w:sz w:val="17"/>
              </w:rPr>
              <w:t>Degree, major, faculty, university, or education phrase.</w:t>
            </w:r>
          </w:p>
        </w:tc>
        <w:tc>
          <w:tcPr>
            <w:tcW w:type="dxa" w:w="2790"/>
            <w:vAlign w:val="center"/>
          </w:tcPr>
          <w:p>
            <w:pPr>
              <w:spacing w:before="0" w:after="0" w:line="252" w:lineRule="auto"/>
              <w:jc w:val="left"/>
            </w:pPr>
            <w:r/>
            <w:r>
              <w:rPr>
                <w:rFonts w:ascii="Calibri" w:hAnsi="Calibri"/>
                <w:b w:val="0"/>
                <w:sz w:val="17"/>
              </w:rPr>
              <w:t>Used as education/profile evidence.</w:t>
            </w:r>
          </w:p>
        </w:tc>
      </w:tr>
      <w:tr>
        <w:trPr>
          <w:cantSplit w:val="true"/>
        </w:trPr>
        <w:tc>
          <w:tcPr>
            <w:tcW w:type="dxa" w:w="1674"/>
            <w:vAlign w:val="center"/>
          </w:tcPr>
          <w:p>
            <w:pPr>
              <w:spacing w:before="0" w:after="0" w:line="252" w:lineRule="auto"/>
              <w:jc w:val="center"/>
            </w:pPr>
            <w:r/>
            <w:r>
              <w:rPr>
                <w:rFonts w:ascii="Calibri" w:hAnsi="Calibri"/>
                <w:b w:val="0"/>
                <w:sz w:val="17"/>
              </w:rPr>
              <w:t>CERT</w:t>
            </w:r>
          </w:p>
        </w:tc>
        <w:tc>
          <w:tcPr>
            <w:tcW w:type="dxa" w:w="2604"/>
            <w:vAlign w:val="center"/>
          </w:tcPr>
          <w:p>
            <w:pPr>
              <w:spacing w:before="0" w:after="0" w:line="252" w:lineRule="auto"/>
              <w:jc w:val="left"/>
            </w:pPr>
            <w:r/>
            <w:r>
              <w:rPr>
                <w:rFonts w:ascii="Calibri" w:hAnsi="Calibri"/>
                <w:b w:val="0"/>
                <w:sz w:val="17"/>
              </w:rPr>
              <w:t>B-CERT, I-CERT</w:t>
            </w:r>
          </w:p>
        </w:tc>
        <w:tc>
          <w:tcPr>
            <w:tcW w:type="dxa" w:w="2232"/>
            <w:vAlign w:val="center"/>
          </w:tcPr>
          <w:p>
            <w:pPr>
              <w:spacing w:before="0" w:after="0" w:line="252" w:lineRule="auto"/>
              <w:jc w:val="left"/>
            </w:pPr>
            <w:r/>
            <w:r>
              <w:rPr>
                <w:rFonts w:ascii="Calibri" w:hAnsi="Calibri"/>
                <w:b w:val="0"/>
                <w:sz w:val="17"/>
              </w:rPr>
              <w:t>Certification such as AWS Cloud Practitioner.</w:t>
            </w:r>
          </w:p>
        </w:tc>
        <w:tc>
          <w:tcPr>
            <w:tcW w:type="dxa" w:w="2790"/>
            <w:vAlign w:val="center"/>
          </w:tcPr>
          <w:p>
            <w:pPr>
              <w:spacing w:before="0" w:after="0" w:line="252" w:lineRule="auto"/>
              <w:jc w:val="left"/>
            </w:pPr>
            <w:r/>
            <w:r>
              <w:rPr>
                <w:rFonts w:ascii="Calibri" w:hAnsi="Calibri"/>
                <w:b w:val="0"/>
                <w:sz w:val="17"/>
              </w:rPr>
              <w:t>Used as certification evidence.</w:t>
            </w:r>
          </w:p>
        </w:tc>
      </w:tr>
      <w:tr>
        <w:trPr>
          <w:cantSplit w:val="true"/>
        </w:trPr>
        <w:tc>
          <w:tcPr>
            <w:tcW w:type="dxa" w:w="1674"/>
            <w:vAlign w:val="center"/>
          </w:tcPr>
          <w:p>
            <w:pPr>
              <w:spacing w:before="0" w:after="0" w:line="252" w:lineRule="auto"/>
              <w:jc w:val="center"/>
            </w:pPr>
            <w:r/>
            <w:r>
              <w:rPr>
                <w:rFonts w:ascii="Calibri" w:hAnsi="Calibri"/>
                <w:b w:val="0"/>
                <w:sz w:val="17"/>
              </w:rPr>
              <w:t>SOFT</w:t>
            </w:r>
          </w:p>
        </w:tc>
        <w:tc>
          <w:tcPr>
            <w:tcW w:type="dxa" w:w="2604"/>
            <w:vAlign w:val="center"/>
          </w:tcPr>
          <w:p>
            <w:pPr>
              <w:spacing w:before="0" w:after="0" w:line="252" w:lineRule="auto"/>
              <w:jc w:val="left"/>
            </w:pPr>
            <w:r/>
            <w:r>
              <w:rPr>
                <w:rFonts w:ascii="Calibri" w:hAnsi="Calibri"/>
                <w:b w:val="0"/>
                <w:sz w:val="17"/>
              </w:rPr>
              <w:t>B-SOFT, I-SOFT</w:t>
            </w:r>
          </w:p>
        </w:tc>
        <w:tc>
          <w:tcPr>
            <w:tcW w:type="dxa" w:w="2232"/>
            <w:vAlign w:val="center"/>
          </w:tcPr>
          <w:p>
            <w:pPr>
              <w:spacing w:before="0" w:after="0" w:line="252" w:lineRule="auto"/>
              <w:jc w:val="left"/>
            </w:pPr>
            <w:r/>
            <w:r>
              <w:rPr>
                <w:rFonts w:ascii="Calibri" w:hAnsi="Calibri"/>
                <w:b w:val="0"/>
                <w:sz w:val="17"/>
              </w:rPr>
              <w:t>Soft skill phrase such as leadership or communication.</w:t>
            </w:r>
          </w:p>
        </w:tc>
        <w:tc>
          <w:tcPr>
            <w:tcW w:type="dxa" w:w="2790"/>
            <w:vAlign w:val="center"/>
          </w:tcPr>
          <w:p>
            <w:pPr>
              <w:spacing w:before="0" w:after="0" w:line="252" w:lineRule="auto"/>
              <w:jc w:val="left"/>
            </w:pPr>
            <w:r/>
            <w:r>
              <w:rPr>
                <w:rFonts w:ascii="Calibri" w:hAnsi="Calibri"/>
                <w:b w:val="0"/>
                <w:sz w:val="17"/>
              </w:rPr>
              <w:t>Present in training configuration; the runtime NER grouping mainly returns SKILL, ROLE, EDU, and CERT.</w:t>
            </w:r>
          </w:p>
        </w:tc>
      </w:tr>
    </w:tbl>
    <w:p>
      <w:pPr>
        <w:spacing w:after="80"/>
      </w:pPr>
    </w:p>
    <w:p>
      <w:bookmarkStart w:id="557172126" w:name="bm_table_7"/>
      <w:pPr>
        <w:jc w:val="center"/>
      </w:pPr>
      <w:r>
        <w:rPr>
          <w:i/>
        </w:rPr>
        <w:t>Table 7. NER entity label schema.</w:t>
      </w:r>
      <w:bookmarkEnd w:id="557172126"/>
    </w:p>
    <w:p>
      <w:bookmarkStart w:id="1419439352" w:name="bm_5_5_3_synthetic_dataset_generation"/>
      <w:pPr>
        <w:pStyle w:val="Heading3"/>
        <w:keepNext/>
      </w:pPr>
      <w:r>
        <w:t>5.5.3 Synthetic Dataset Generation</w:t>
      </w:r>
      <w:bookmarkEnd w:id="1419439352"/>
    </w:p>
    <w:p>
      <w:r>
        <w:t>The helper material under D:/Graduation/model-analys-helper was reviewed as documentation support. The top-level helper folders found were docs, layer1, layer2, and layer3. No raw datasets, screenshots, or secrets were copied into the graduation-book folder. The important training workflow is already represented in the repository by ai-cv-analyzer/training/generate_tech_dataset.py, clean_dataset.py, and train_ner.ipynb.</w:t>
      </w:r>
    </w:p>
    <w:p>
      <w:r>
        <w:t>The dataset generator is designed to call the Gemini API through API keys stored outside source control. It asks for synthetic technical CV snippets across backend, frontend, DevOps, mobile, AI/data, cybersecurity, cloud, QA, and networking contexts. It intentionally includes positive labeled examples and negative decoy examples so that the model learns both what to tag and what to ignore. Because this uses external generation and keys, it was inspected rather than executed for this documentation update.</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Step</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Description</w:t>
            </w:r>
          </w:p>
        </w:tc>
        <w:tc>
          <w:tcPr>
            <w:tcW w:type="dxa" w:w="2790"/>
            <w:vAlign w:val="center"/>
            <w:shd w:fill="D9EAF7"/>
          </w:tcPr>
          <w:p>
            <w:pPr>
              <w:spacing w:before="0" w:after="0" w:line="252" w:lineRule="auto"/>
              <w:jc w:val="left"/>
            </w:pPr>
            <w:r/>
            <w:r>
              <w:rPr>
                <w:rFonts w:ascii="Calibri" w:hAnsi="Calibri"/>
                <w:b/>
                <w:sz w:val="17"/>
              </w:rPr>
              <w:t>Documentation Decision</w:t>
            </w:r>
          </w:p>
        </w:tc>
      </w:tr>
      <w:tr>
        <w:trPr>
          <w:cantSplit w:val="true"/>
        </w:trPr>
        <w:tc>
          <w:tcPr>
            <w:tcW w:type="dxa" w:w="1674"/>
            <w:vAlign w:val="center"/>
          </w:tcPr>
          <w:p>
            <w:pPr>
              <w:spacing w:before="0" w:after="0" w:line="252" w:lineRule="auto"/>
              <w:jc w:val="center"/>
            </w:pPr>
            <w:r/>
            <w:r>
              <w:rPr>
                <w:rFonts w:ascii="Calibri" w:hAnsi="Calibri"/>
                <w:b w:val="0"/>
                <w:sz w:val="17"/>
              </w:rPr>
              <w:t>API-key loading</w:t>
            </w:r>
          </w:p>
        </w:tc>
        <w:tc>
          <w:tcPr>
            <w:tcW w:type="dxa" w:w="2604"/>
            <w:vAlign w:val="center"/>
          </w:tcPr>
          <w:p>
            <w:pPr>
              <w:spacing w:before="0" w:after="0" w:line="252" w:lineRule="auto"/>
              <w:jc w:val="left"/>
            </w:pPr>
            <w:r/>
            <w:r>
              <w:rPr>
                <w:rFonts w:ascii="Calibri" w:hAnsi="Calibri"/>
                <w:b w:val="0"/>
                <w:sz w:val="17"/>
              </w:rPr>
              <w:t>generate_tech_dataset.py</w:t>
            </w:r>
          </w:p>
        </w:tc>
        <w:tc>
          <w:tcPr>
            <w:tcW w:type="dxa" w:w="2232"/>
            <w:vAlign w:val="center"/>
          </w:tcPr>
          <w:p>
            <w:pPr>
              <w:spacing w:before="0" w:after="0" w:line="252" w:lineRule="auto"/>
              <w:jc w:val="left"/>
            </w:pPr>
            <w:r/>
            <w:r>
              <w:rPr>
                <w:rFonts w:ascii="Calibri" w:hAnsi="Calibri"/>
                <w:b w:val="0"/>
                <w:sz w:val="17"/>
              </w:rPr>
              <w:t>Reads GEMINI_API_KEYS from .env and rotates keys/models during generation.</w:t>
            </w:r>
          </w:p>
        </w:tc>
        <w:tc>
          <w:tcPr>
            <w:tcW w:type="dxa" w:w="2790"/>
            <w:vAlign w:val="center"/>
          </w:tcPr>
          <w:p>
            <w:pPr>
              <w:spacing w:before="0" w:after="0" w:line="252" w:lineRule="auto"/>
              <w:jc w:val="left"/>
            </w:pPr>
            <w:r/>
            <w:r>
              <w:rPr>
                <w:rFonts w:ascii="Calibri" w:hAnsi="Calibri"/>
                <w:b w:val="0"/>
                <w:sz w:val="17"/>
              </w:rPr>
              <w:t>Do not commit keys; no secrets were found in helper docs.</w:t>
            </w:r>
          </w:p>
        </w:tc>
      </w:tr>
      <w:tr>
        <w:trPr>
          <w:cantSplit w:val="true"/>
        </w:trPr>
        <w:tc>
          <w:tcPr>
            <w:tcW w:type="dxa" w:w="1674"/>
            <w:vAlign w:val="center"/>
          </w:tcPr>
          <w:p>
            <w:pPr>
              <w:spacing w:before="0" w:after="0" w:line="252" w:lineRule="auto"/>
              <w:jc w:val="center"/>
            </w:pPr>
            <w:r/>
            <w:r>
              <w:rPr>
                <w:rFonts w:ascii="Calibri" w:hAnsi="Calibri"/>
                <w:b w:val="0"/>
                <w:sz w:val="17"/>
              </w:rPr>
              <w:t>Synthetic sample generation</w:t>
            </w:r>
          </w:p>
        </w:tc>
        <w:tc>
          <w:tcPr>
            <w:tcW w:type="dxa" w:w="2604"/>
            <w:vAlign w:val="center"/>
          </w:tcPr>
          <w:p>
            <w:pPr>
              <w:spacing w:before="0" w:after="0" w:line="252" w:lineRule="auto"/>
              <w:jc w:val="left"/>
            </w:pPr>
            <w:r/>
            <w:r>
              <w:rPr>
                <w:rFonts w:ascii="Calibri" w:hAnsi="Calibri"/>
                <w:b w:val="0"/>
                <w:sz w:val="17"/>
              </w:rPr>
              <w:t>Generator system prompt</w:t>
            </w:r>
          </w:p>
        </w:tc>
        <w:tc>
          <w:tcPr>
            <w:tcW w:type="dxa" w:w="2232"/>
            <w:vAlign w:val="center"/>
          </w:tcPr>
          <w:p>
            <w:pPr>
              <w:spacing w:before="0" w:after="0" w:line="252" w:lineRule="auto"/>
              <w:jc w:val="left"/>
            </w:pPr>
            <w:r/>
            <w:r>
              <w:rPr>
                <w:rFonts w:ascii="Calibri" w:hAnsi="Calibri"/>
                <w:b w:val="0"/>
                <w:sz w:val="17"/>
              </w:rPr>
              <w:t>Requests batches with technical domains, noise, varied CV formats, and labeled entities.</w:t>
            </w:r>
          </w:p>
        </w:tc>
        <w:tc>
          <w:tcPr>
            <w:tcW w:type="dxa" w:w="2790"/>
            <w:vAlign w:val="center"/>
          </w:tcPr>
          <w:p>
            <w:pPr>
              <w:spacing w:before="0" w:after="0" w:line="252" w:lineRule="auto"/>
              <w:jc w:val="left"/>
            </w:pPr>
            <w:r/>
            <w:r>
              <w:rPr>
                <w:rFonts w:ascii="Calibri" w:hAnsi="Calibri"/>
                <w:b w:val="0"/>
                <w:sz w:val="17"/>
              </w:rPr>
              <w:t>Documented as synthetic data, not real student CV data.</w:t>
            </w:r>
          </w:p>
        </w:tc>
      </w:tr>
      <w:tr>
        <w:trPr>
          <w:cantSplit w:val="true"/>
        </w:trPr>
        <w:tc>
          <w:tcPr>
            <w:tcW w:type="dxa" w:w="1674"/>
            <w:vAlign w:val="center"/>
          </w:tcPr>
          <w:p>
            <w:pPr>
              <w:spacing w:before="0" w:after="0" w:line="252" w:lineRule="auto"/>
              <w:jc w:val="center"/>
            </w:pPr>
            <w:r/>
            <w:r>
              <w:rPr>
                <w:rFonts w:ascii="Calibri" w:hAnsi="Calibri"/>
                <w:b w:val="0"/>
                <w:sz w:val="17"/>
              </w:rPr>
              <w:t>Negative decoys</w:t>
            </w:r>
          </w:p>
        </w:tc>
        <w:tc>
          <w:tcPr>
            <w:tcW w:type="dxa" w:w="2604"/>
            <w:vAlign w:val="center"/>
          </w:tcPr>
          <w:p>
            <w:pPr>
              <w:spacing w:before="0" w:after="0" w:line="252" w:lineRule="auto"/>
              <w:jc w:val="left"/>
            </w:pPr>
            <w:r/>
            <w:r>
              <w:rPr>
                <w:rFonts w:ascii="Calibri" w:hAnsi="Calibri"/>
                <w:b w:val="0"/>
                <w:sz w:val="17"/>
              </w:rPr>
              <w:t>Generator distribution comments</w:t>
            </w:r>
          </w:p>
        </w:tc>
        <w:tc>
          <w:tcPr>
            <w:tcW w:type="dxa" w:w="2232"/>
            <w:vAlign w:val="center"/>
          </w:tcPr>
          <w:p>
            <w:pPr>
              <w:spacing w:before="0" w:after="0" w:line="252" w:lineRule="auto"/>
              <w:jc w:val="left"/>
            </w:pPr>
            <w:r/>
            <w:r>
              <w:rPr>
                <w:rFonts w:ascii="Calibri" w:hAnsi="Calibri"/>
                <w:b w:val="0"/>
                <w:sz w:val="17"/>
              </w:rPr>
              <w:t>Includes examples with no entities to reduce false positives.</w:t>
            </w:r>
          </w:p>
        </w:tc>
        <w:tc>
          <w:tcPr>
            <w:tcW w:type="dxa" w:w="2790"/>
            <w:vAlign w:val="center"/>
          </w:tcPr>
          <w:p>
            <w:pPr>
              <w:spacing w:before="0" w:after="0" w:line="252" w:lineRule="auto"/>
              <w:jc w:val="left"/>
            </w:pPr>
            <w:r/>
            <w:r>
              <w:rPr>
                <w:rFonts w:ascii="Calibri" w:hAnsi="Calibri"/>
                <w:b w:val="0"/>
                <w:sz w:val="17"/>
              </w:rPr>
              <w:t>Preserved in the description because it affects model behavior.</w:t>
            </w:r>
          </w:p>
        </w:tc>
      </w:tr>
      <w:tr>
        <w:trPr>
          <w:cantSplit w:val="true"/>
        </w:trPr>
        <w:tc>
          <w:tcPr>
            <w:tcW w:type="dxa" w:w="1674"/>
            <w:vAlign w:val="center"/>
          </w:tcPr>
          <w:p>
            <w:pPr>
              <w:spacing w:before="0" w:after="0" w:line="252" w:lineRule="auto"/>
              <w:jc w:val="center"/>
            </w:pPr>
            <w:r/>
            <w:r>
              <w:rPr>
                <w:rFonts w:ascii="Calibri" w:hAnsi="Calibri"/>
                <w:b w:val="0"/>
                <w:sz w:val="17"/>
              </w:rPr>
              <w:t>Cleaning</w:t>
            </w:r>
          </w:p>
        </w:tc>
        <w:tc>
          <w:tcPr>
            <w:tcW w:type="dxa" w:w="2604"/>
            <w:vAlign w:val="center"/>
          </w:tcPr>
          <w:p>
            <w:pPr>
              <w:spacing w:before="0" w:after="0" w:line="252" w:lineRule="auto"/>
              <w:jc w:val="left"/>
            </w:pPr>
            <w:r/>
            <w:r>
              <w:rPr>
                <w:rFonts w:ascii="Calibri" w:hAnsi="Calibri"/>
                <w:b w:val="0"/>
                <w:sz w:val="17"/>
              </w:rPr>
              <w:t>clean_dataset.py</w:t>
            </w:r>
          </w:p>
        </w:tc>
        <w:tc>
          <w:tcPr>
            <w:tcW w:type="dxa" w:w="2232"/>
            <w:vAlign w:val="center"/>
          </w:tcPr>
          <w:p>
            <w:pPr>
              <w:spacing w:before="0" w:after="0" w:line="252" w:lineRule="auto"/>
              <w:jc w:val="left"/>
            </w:pPr>
            <w:r/>
            <w:r>
              <w:rPr>
                <w:rFonts w:ascii="Calibri" w:hAnsi="Calibri"/>
                <w:b w:val="0"/>
                <w:sz w:val="17"/>
              </w:rPr>
              <w:t>Normalizes whitespace, deduplicates exact text, validates entity text, filters long skill spans.</w:t>
            </w:r>
          </w:p>
        </w:tc>
        <w:tc>
          <w:tcPr>
            <w:tcW w:type="dxa" w:w="2790"/>
            <w:vAlign w:val="center"/>
          </w:tcPr>
          <w:p>
            <w:pPr>
              <w:spacing w:before="0" w:after="0" w:line="252" w:lineRule="auto"/>
              <w:jc w:val="left"/>
            </w:pPr>
            <w:r/>
            <w:r>
              <w:rPr>
                <w:rFonts w:ascii="Calibri" w:hAnsi="Calibri"/>
                <w:b w:val="0"/>
                <w:sz w:val="17"/>
              </w:rPr>
              <w:t>Documented as a data-quality gate before training.</w:t>
            </w:r>
          </w:p>
        </w:tc>
      </w:tr>
      <w:tr>
        <w:trPr>
          <w:cantSplit w:val="true"/>
        </w:trPr>
        <w:tc>
          <w:tcPr>
            <w:tcW w:type="dxa" w:w="1674"/>
            <w:vAlign w:val="center"/>
          </w:tcPr>
          <w:p>
            <w:pPr>
              <w:spacing w:before="0" w:after="0" w:line="252" w:lineRule="auto"/>
              <w:jc w:val="center"/>
            </w:pPr>
            <w:r/>
            <w:r>
              <w:rPr>
                <w:rFonts w:ascii="Calibri" w:hAnsi="Calibri"/>
                <w:b w:val="0"/>
                <w:sz w:val="17"/>
              </w:rPr>
              <w:t>Output</w:t>
            </w:r>
          </w:p>
        </w:tc>
        <w:tc>
          <w:tcPr>
            <w:tcW w:type="dxa" w:w="2604"/>
            <w:vAlign w:val="center"/>
          </w:tcPr>
          <w:p>
            <w:pPr>
              <w:spacing w:before="0" w:after="0" w:line="252" w:lineRule="auto"/>
              <w:jc w:val="left"/>
            </w:pPr>
            <w:r/>
            <w:r>
              <w:rPr>
                <w:rFonts w:ascii="Calibri" w:hAnsi="Calibri"/>
                <w:b w:val="0"/>
                <w:sz w:val="17"/>
              </w:rPr>
              <w:t>Training docs and scripts</w:t>
            </w:r>
          </w:p>
        </w:tc>
        <w:tc>
          <w:tcPr>
            <w:tcW w:type="dxa" w:w="2232"/>
            <w:vAlign w:val="center"/>
          </w:tcPr>
          <w:p>
            <w:pPr>
              <w:spacing w:before="0" w:after="0" w:line="252" w:lineRule="auto"/>
              <w:jc w:val="left"/>
            </w:pPr>
            <w:r/>
            <w:r>
              <w:rPr>
                <w:rFonts w:ascii="Calibri" w:hAnsi="Calibri"/>
                <w:b w:val="0"/>
                <w:sz w:val="17"/>
              </w:rPr>
              <w:t>Expected cleaned JSON/JSONL input for notebook training.</w:t>
            </w:r>
          </w:p>
        </w:tc>
        <w:tc>
          <w:tcPr>
            <w:tcW w:type="dxa" w:w="2790"/>
            <w:vAlign w:val="center"/>
          </w:tcPr>
          <w:p>
            <w:pPr>
              <w:spacing w:before="0" w:after="0" w:line="252" w:lineRule="auto"/>
              <w:jc w:val="left"/>
            </w:pPr>
            <w:r/>
            <w:r>
              <w:rPr>
                <w:rFonts w:ascii="Calibri" w:hAnsi="Calibri"/>
                <w:b w:val="0"/>
                <w:sz w:val="17"/>
              </w:rPr>
              <w:t>Dataset files were not present in the repository, so metrics cannot be reproduced from repo files alone.</w:t>
            </w:r>
          </w:p>
        </w:tc>
      </w:tr>
    </w:tbl>
    <w:p>
      <w:pPr>
        <w:spacing w:after="80"/>
      </w:pPr>
    </w:p>
    <w:p>
      <w:bookmarkStart w:id="1711174408" w:name="bm_table_8"/>
      <w:pPr>
        <w:jc w:val="center"/>
      </w:pPr>
      <w:r>
        <w:rPr>
          <w:i/>
        </w:rPr>
        <w:t>Table 8. Synthetic dataset generation workflow.</w:t>
      </w:r>
      <w:bookmarkEnd w:id="1711174408"/>
    </w:p>
    <w:p>
      <w:bookmarkStart w:id="498075619" w:name="bm_5_5_4_training_notebook_workflow"/>
      <w:pPr>
        <w:pStyle w:val="Heading3"/>
        <w:keepNext/>
      </w:pPr>
      <w:r>
        <w:t>5.5.4 Training Notebook Workflow</w:t>
      </w:r>
      <w:bookmarkEnd w:id="498075619"/>
    </w:p>
    <w:p>
      <w:r>
        <w:t>The training notebook is structured for Google Colab rather than local execution. It installs model-training dependencies, loads cleaned JSON data, defines labels, tokenizes examples, aligns entity spans to token labels, initializes AutoModelForTokenClassification from bert-base-cased, trains with Hugging Face Trainer, evaluates with sequence-labeling metrics, then exports career_compass_ner_final for deployment [31], [32], [33], [36].</w:t>
      </w:r>
    </w:p>
    <w:p>
      <w:pPr>
        <w:jc w:val="center"/>
      </w:pPr>
      <w:r>
        <w:drawing>
          <wp:inline xmlns:a="http://schemas.openxmlformats.org/drawingml/2006/main" xmlns:pic="http://schemas.openxmlformats.org/drawingml/2006/picture">
            <wp:extent cx="5577840" cy="3486150"/>
            <wp:docPr id="16" name="Picture 16"/>
            <wp:cNvGraphicFramePr>
              <a:graphicFrameLocks noChangeAspect="1"/>
            </wp:cNvGraphicFramePr>
            <a:graphic>
              <a:graphicData uri="http://schemas.openxmlformats.org/drawingml/2006/picture">
                <pic:pic>
                  <pic:nvPicPr>
                    <pic:cNvPr id="0" name="10_cv_model_training_pipeline.png"/>
                    <pic:cNvPicPr/>
                  </pic:nvPicPr>
                  <pic:blipFill>
                    <a:blip r:embed="rId25"/>
                    <a:stretch>
                      <a:fillRect/>
                    </a:stretch>
                  </pic:blipFill>
                  <pic:spPr>
                    <a:xfrm>
                      <a:off x="0" y="0"/>
                      <a:ext cx="5577840" cy="3486150"/>
                    </a:xfrm>
                    <a:prstGeom prst="rect"/>
                  </pic:spPr>
                </pic:pic>
              </a:graphicData>
            </a:graphic>
          </wp:inline>
        </w:drawing>
      </w:r>
    </w:p>
    <w:p>
      <w:bookmarkStart w:id="589131217" w:name="bm_figure_10"/>
      <w:pPr>
        <w:jc w:val="center"/>
      </w:pPr>
      <w:r>
        <w:rPr>
          <w:i/>
        </w:rPr>
        <w:t>Figure 10. AI CV Analyzer model-training workflow.</w:t>
      </w:r>
      <w:bookmarkEnd w:id="58913121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Setting</w:t>
            </w:r>
          </w:p>
        </w:tc>
        <w:tc>
          <w:tcPr>
            <w:tcW w:type="dxa" w:w="2604"/>
            <w:vAlign w:val="center"/>
            <w:shd w:fill="D9EAF7"/>
          </w:tcPr>
          <w:p>
            <w:pPr>
              <w:spacing w:before="0" w:after="0" w:line="252" w:lineRule="auto"/>
              <w:jc w:val="left"/>
            </w:pPr>
            <w:r/>
            <w:r>
              <w:rPr>
                <w:rFonts w:ascii="Calibri" w:hAnsi="Calibri"/>
                <w:b/>
                <w:sz w:val="17"/>
              </w:rPr>
              <w:t>Value Found in Notebook or Docs</w:t>
            </w:r>
          </w:p>
        </w:tc>
        <w:tc>
          <w:tcPr>
            <w:tcW w:type="dxa" w:w="2232"/>
            <w:vAlign w:val="center"/>
            <w:shd w:fill="D9EAF7"/>
          </w:tcPr>
          <w:p>
            <w:pPr>
              <w:spacing w:before="0" w:after="0" w:line="252" w:lineRule="auto"/>
              <w:jc w:val="left"/>
            </w:pPr>
            <w:r/>
            <w:r>
              <w:rPr>
                <w:rFonts w:ascii="Calibri" w:hAnsi="Calibri"/>
                <w:b/>
                <w:sz w:val="17"/>
              </w:rPr>
              <w:t>Purpose</w:t>
            </w:r>
          </w:p>
        </w:tc>
        <w:tc>
          <w:tcPr>
            <w:tcW w:type="dxa" w:w="2790"/>
            <w:vAlign w:val="center"/>
            <w:shd w:fill="D9EAF7"/>
          </w:tcPr>
          <w:p>
            <w:pPr>
              <w:spacing w:before="0" w:after="0" w:line="252" w:lineRule="auto"/>
              <w:jc w:val="left"/>
            </w:pPr>
            <w:r/>
            <w:r>
              <w:rPr>
                <w:rFonts w:ascii="Calibri" w:hAnsi="Calibri"/>
                <w:b/>
                <w:sz w:val="17"/>
              </w:rPr>
              <w:t>Evidence Limitation</w:t>
            </w:r>
          </w:p>
        </w:tc>
      </w:tr>
      <w:tr>
        <w:trPr>
          <w:cantSplit w:val="true"/>
        </w:trPr>
        <w:tc>
          <w:tcPr>
            <w:tcW w:type="dxa" w:w="1674"/>
            <w:vAlign w:val="center"/>
          </w:tcPr>
          <w:p>
            <w:pPr>
              <w:spacing w:before="0" w:after="0" w:line="252" w:lineRule="auto"/>
              <w:jc w:val="center"/>
            </w:pPr>
            <w:r/>
            <w:r>
              <w:rPr>
                <w:rFonts w:ascii="Calibri" w:hAnsi="Calibri"/>
                <w:b w:val="0"/>
                <w:sz w:val="17"/>
              </w:rPr>
              <w:t>Base checkpoint</w:t>
            </w:r>
          </w:p>
        </w:tc>
        <w:tc>
          <w:tcPr>
            <w:tcW w:type="dxa" w:w="2604"/>
            <w:vAlign w:val="center"/>
          </w:tcPr>
          <w:p>
            <w:pPr>
              <w:spacing w:before="0" w:after="0" w:line="252" w:lineRule="auto"/>
              <w:jc w:val="left"/>
            </w:pPr>
            <w:r/>
            <w:r>
              <w:rPr>
                <w:rFonts w:ascii="Calibri" w:hAnsi="Calibri"/>
                <w:b w:val="0"/>
                <w:sz w:val="17"/>
              </w:rPr>
              <w:t>bert-base-cased</w:t>
            </w:r>
          </w:p>
        </w:tc>
        <w:tc>
          <w:tcPr>
            <w:tcW w:type="dxa" w:w="2232"/>
            <w:vAlign w:val="center"/>
          </w:tcPr>
          <w:p>
            <w:pPr>
              <w:spacing w:before="0" w:after="0" w:line="252" w:lineRule="auto"/>
              <w:jc w:val="left"/>
            </w:pPr>
            <w:r/>
            <w:r>
              <w:rPr>
                <w:rFonts w:ascii="Calibri" w:hAnsi="Calibri"/>
                <w:b w:val="0"/>
                <w:sz w:val="17"/>
              </w:rPr>
              <w:t>Provides pretrained language representations for token classification.</w:t>
            </w:r>
          </w:p>
        </w:tc>
        <w:tc>
          <w:tcPr>
            <w:tcW w:type="dxa" w:w="2790"/>
            <w:vAlign w:val="center"/>
          </w:tcPr>
          <w:p>
            <w:pPr>
              <w:spacing w:before="0" w:after="0" w:line="252" w:lineRule="auto"/>
              <w:jc w:val="left"/>
            </w:pPr>
            <w:r/>
            <w:r>
              <w:rPr>
                <w:rFonts w:ascii="Calibri" w:hAnsi="Calibri"/>
                <w:b w:val="0"/>
                <w:sz w:val="17"/>
              </w:rPr>
              <w:t>Training run output was not committed.</w:t>
            </w:r>
          </w:p>
        </w:tc>
      </w:tr>
      <w:tr>
        <w:trPr>
          <w:cantSplit w:val="true"/>
        </w:trPr>
        <w:tc>
          <w:tcPr>
            <w:tcW w:type="dxa" w:w="1674"/>
            <w:vAlign w:val="center"/>
          </w:tcPr>
          <w:p>
            <w:pPr>
              <w:spacing w:before="0" w:after="0" w:line="252" w:lineRule="auto"/>
              <w:jc w:val="center"/>
            </w:pPr>
            <w:r/>
            <w:r>
              <w:rPr>
                <w:rFonts w:ascii="Calibri" w:hAnsi="Calibri"/>
                <w:b w:val="0"/>
                <w:sz w:val="17"/>
              </w:rPr>
              <w:t>Labels</w:t>
            </w:r>
          </w:p>
        </w:tc>
        <w:tc>
          <w:tcPr>
            <w:tcW w:type="dxa" w:w="2604"/>
            <w:vAlign w:val="center"/>
          </w:tcPr>
          <w:p>
            <w:pPr>
              <w:spacing w:before="0" w:after="0" w:line="252" w:lineRule="auto"/>
              <w:jc w:val="left"/>
            </w:pPr>
            <w:r/>
            <w:r>
              <w:rPr>
                <w:rFonts w:ascii="Calibri" w:hAnsi="Calibri"/>
                <w:b w:val="0"/>
                <w:sz w:val="17"/>
              </w:rPr>
              <w:t>O plus B/I for SKILL, ROLE, EDU, CERT, SOFT</w:t>
            </w:r>
          </w:p>
        </w:tc>
        <w:tc>
          <w:tcPr>
            <w:tcW w:type="dxa" w:w="2232"/>
            <w:vAlign w:val="center"/>
          </w:tcPr>
          <w:p>
            <w:pPr>
              <w:spacing w:before="0" w:after="0" w:line="252" w:lineRule="auto"/>
              <w:jc w:val="left"/>
            </w:pPr>
            <w:r/>
            <w:r>
              <w:rPr>
                <w:rFonts w:ascii="Calibri" w:hAnsi="Calibri"/>
                <w:b w:val="0"/>
                <w:sz w:val="17"/>
              </w:rPr>
              <w:t>Encodes CV entity spans using BIO tagging.</w:t>
            </w:r>
          </w:p>
        </w:tc>
        <w:tc>
          <w:tcPr>
            <w:tcW w:type="dxa" w:w="2790"/>
            <w:vAlign w:val="center"/>
          </w:tcPr>
          <w:p>
            <w:pPr>
              <w:spacing w:before="0" w:after="0" w:line="252" w:lineRule="auto"/>
              <w:jc w:val="left"/>
            </w:pPr>
            <w:r/>
            <w:r>
              <w:rPr>
                <w:rFonts w:ascii="Calibri" w:hAnsi="Calibri"/>
                <w:b w:val="0"/>
                <w:sz w:val="17"/>
              </w:rPr>
              <w:t>Label map is reproducible from notebook/config.</w:t>
            </w:r>
          </w:p>
        </w:tc>
      </w:tr>
      <w:tr>
        <w:trPr>
          <w:cantSplit w:val="true"/>
        </w:trPr>
        <w:tc>
          <w:tcPr>
            <w:tcW w:type="dxa" w:w="1674"/>
            <w:vAlign w:val="center"/>
          </w:tcPr>
          <w:p>
            <w:pPr>
              <w:spacing w:before="0" w:after="0" w:line="252" w:lineRule="auto"/>
              <w:jc w:val="center"/>
            </w:pPr>
            <w:r/>
            <w:r>
              <w:rPr>
                <w:rFonts w:ascii="Calibri" w:hAnsi="Calibri"/>
                <w:b w:val="0"/>
                <w:sz w:val="17"/>
              </w:rPr>
              <w:t>Split</w:t>
            </w:r>
          </w:p>
        </w:tc>
        <w:tc>
          <w:tcPr>
            <w:tcW w:type="dxa" w:w="2604"/>
            <w:vAlign w:val="center"/>
          </w:tcPr>
          <w:p>
            <w:pPr>
              <w:spacing w:before="0" w:after="0" w:line="252" w:lineRule="auto"/>
              <w:jc w:val="left"/>
            </w:pPr>
            <w:r/>
            <w:r>
              <w:rPr>
                <w:rFonts w:ascii="Calibri" w:hAnsi="Calibri"/>
                <w:b w:val="0"/>
                <w:sz w:val="17"/>
              </w:rPr>
              <w:t>90 percent train, 10 percent test, seed 42</w:t>
            </w:r>
          </w:p>
        </w:tc>
        <w:tc>
          <w:tcPr>
            <w:tcW w:type="dxa" w:w="2232"/>
            <w:vAlign w:val="center"/>
          </w:tcPr>
          <w:p>
            <w:pPr>
              <w:spacing w:before="0" w:after="0" w:line="252" w:lineRule="auto"/>
              <w:jc w:val="left"/>
            </w:pPr>
            <w:r/>
            <w:r>
              <w:rPr>
                <w:rFonts w:ascii="Calibri" w:hAnsi="Calibri"/>
                <w:b w:val="0"/>
                <w:sz w:val="17"/>
              </w:rPr>
              <w:t>Creates a repeatable train/evaluation split.</w:t>
            </w:r>
          </w:p>
        </w:tc>
        <w:tc>
          <w:tcPr>
            <w:tcW w:type="dxa" w:w="2790"/>
            <w:vAlign w:val="center"/>
          </w:tcPr>
          <w:p>
            <w:pPr>
              <w:spacing w:before="0" w:after="0" w:line="252" w:lineRule="auto"/>
              <w:jc w:val="left"/>
            </w:pPr>
            <w:r/>
            <w:r>
              <w:rPr>
                <w:rFonts w:ascii="Calibri" w:hAnsi="Calibri"/>
                <w:b w:val="0"/>
                <w:sz w:val="17"/>
              </w:rPr>
              <w:t>Requires cleaned dataset file, which is not committed.</w:t>
            </w:r>
          </w:p>
        </w:tc>
      </w:tr>
      <w:tr>
        <w:trPr>
          <w:cantSplit w:val="true"/>
        </w:trPr>
        <w:tc>
          <w:tcPr>
            <w:tcW w:type="dxa" w:w="1674"/>
            <w:vAlign w:val="center"/>
          </w:tcPr>
          <w:p>
            <w:pPr>
              <w:spacing w:before="0" w:after="0" w:line="252" w:lineRule="auto"/>
              <w:jc w:val="center"/>
            </w:pPr>
            <w:r/>
            <w:r>
              <w:rPr>
                <w:rFonts w:ascii="Calibri" w:hAnsi="Calibri"/>
                <w:b w:val="0"/>
                <w:sz w:val="17"/>
              </w:rPr>
              <w:t>Max length</w:t>
            </w:r>
          </w:p>
        </w:tc>
        <w:tc>
          <w:tcPr>
            <w:tcW w:type="dxa" w:w="2604"/>
            <w:vAlign w:val="center"/>
          </w:tcPr>
          <w:p>
            <w:pPr>
              <w:spacing w:before="0" w:after="0" w:line="252" w:lineRule="auto"/>
              <w:jc w:val="left"/>
            </w:pPr>
            <w:r/>
            <w:r>
              <w:rPr>
                <w:rFonts w:ascii="Calibri" w:hAnsi="Calibri"/>
                <w:b w:val="0"/>
                <w:sz w:val="17"/>
              </w:rPr>
              <w:t>512 tokens</w:t>
            </w:r>
          </w:p>
        </w:tc>
        <w:tc>
          <w:tcPr>
            <w:tcW w:type="dxa" w:w="2232"/>
            <w:vAlign w:val="center"/>
          </w:tcPr>
          <w:p>
            <w:pPr>
              <w:spacing w:before="0" w:after="0" w:line="252" w:lineRule="auto"/>
              <w:jc w:val="left"/>
            </w:pPr>
            <w:r/>
            <w:r>
              <w:rPr>
                <w:rFonts w:ascii="Calibri" w:hAnsi="Calibri"/>
                <w:b w:val="0"/>
                <w:sz w:val="17"/>
              </w:rPr>
              <w:t>Fits BERT token-classification input limits.</w:t>
            </w:r>
          </w:p>
        </w:tc>
        <w:tc>
          <w:tcPr>
            <w:tcW w:type="dxa" w:w="2790"/>
            <w:vAlign w:val="center"/>
          </w:tcPr>
          <w:p>
            <w:pPr>
              <w:spacing w:before="0" w:after="0" w:line="252" w:lineRule="auto"/>
              <w:jc w:val="left"/>
            </w:pPr>
            <w:r/>
            <w:r>
              <w:rPr>
                <w:rFonts w:ascii="Calibri" w:hAnsi="Calibri"/>
                <w:b w:val="0"/>
                <w:sz w:val="17"/>
              </w:rPr>
              <w:t>Long runtime CVs are handled through chunking separately.</w:t>
            </w:r>
          </w:p>
        </w:tc>
      </w:tr>
      <w:tr>
        <w:trPr>
          <w:cantSplit w:val="true"/>
        </w:trPr>
        <w:tc>
          <w:tcPr>
            <w:tcW w:type="dxa" w:w="1674"/>
            <w:vAlign w:val="center"/>
          </w:tcPr>
          <w:p>
            <w:pPr>
              <w:spacing w:before="0" w:after="0" w:line="252" w:lineRule="auto"/>
              <w:jc w:val="center"/>
            </w:pPr>
            <w:r/>
            <w:r>
              <w:rPr>
                <w:rFonts w:ascii="Calibri" w:hAnsi="Calibri"/>
                <w:b w:val="0"/>
                <w:sz w:val="17"/>
              </w:rPr>
              <w:t>Epochs and learning rate</w:t>
            </w:r>
          </w:p>
        </w:tc>
        <w:tc>
          <w:tcPr>
            <w:tcW w:type="dxa" w:w="2604"/>
            <w:vAlign w:val="center"/>
          </w:tcPr>
          <w:p>
            <w:pPr>
              <w:spacing w:before="0" w:after="0" w:line="252" w:lineRule="auto"/>
              <w:jc w:val="left"/>
            </w:pPr>
            <w:r/>
            <w:r>
              <w:rPr>
                <w:rFonts w:ascii="Calibri" w:hAnsi="Calibri"/>
                <w:b w:val="0"/>
                <w:sz w:val="17"/>
              </w:rPr>
              <w:t>5 epochs, 2e-5</w:t>
            </w:r>
          </w:p>
        </w:tc>
        <w:tc>
          <w:tcPr>
            <w:tcW w:type="dxa" w:w="2232"/>
            <w:vAlign w:val="center"/>
          </w:tcPr>
          <w:p>
            <w:pPr>
              <w:spacing w:before="0" w:after="0" w:line="252" w:lineRule="auto"/>
              <w:jc w:val="left"/>
            </w:pPr>
            <w:r/>
            <w:r>
              <w:rPr>
                <w:rFonts w:ascii="Calibri" w:hAnsi="Calibri"/>
                <w:b w:val="0"/>
                <w:sz w:val="17"/>
              </w:rPr>
              <w:t>Standard fine-tuning style schedule for a small NER task.</w:t>
            </w:r>
          </w:p>
        </w:tc>
        <w:tc>
          <w:tcPr>
            <w:tcW w:type="dxa" w:w="2790"/>
            <w:vAlign w:val="center"/>
          </w:tcPr>
          <w:p>
            <w:pPr>
              <w:spacing w:before="0" w:after="0" w:line="252" w:lineRule="auto"/>
              <w:jc w:val="left"/>
            </w:pPr>
            <w:r/>
            <w:r>
              <w:rPr>
                <w:rFonts w:ascii="Calibri" w:hAnsi="Calibri"/>
                <w:b w:val="0"/>
                <w:sz w:val="17"/>
              </w:rPr>
              <w:t>No final epoch table was available.</w:t>
            </w:r>
          </w:p>
        </w:tc>
      </w:tr>
      <w:tr>
        <w:trPr>
          <w:cantSplit w:val="true"/>
        </w:trPr>
        <w:tc>
          <w:tcPr>
            <w:tcW w:type="dxa" w:w="1674"/>
            <w:vAlign w:val="center"/>
          </w:tcPr>
          <w:p>
            <w:pPr>
              <w:spacing w:before="0" w:after="0" w:line="252" w:lineRule="auto"/>
              <w:jc w:val="center"/>
            </w:pPr>
            <w:r/>
            <w:r>
              <w:rPr>
                <w:rFonts w:ascii="Calibri" w:hAnsi="Calibri"/>
                <w:b w:val="0"/>
                <w:sz w:val="17"/>
              </w:rPr>
              <w:t>Batch size</w:t>
            </w:r>
          </w:p>
        </w:tc>
        <w:tc>
          <w:tcPr>
            <w:tcW w:type="dxa" w:w="2604"/>
            <w:vAlign w:val="center"/>
          </w:tcPr>
          <w:p>
            <w:pPr>
              <w:spacing w:before="0" w:after="0" w:line="252" w:lineRule="auto"/>
              <w:jc w:val="left"/>
            </w:pPr>
            <w:r/>
            <w:r>
              <w:rPr>
                <w:rFonts w:ascii="Calibri" w:hAnsi="Calibri"/>
                <w:b w:val="0"/>
                <w:sz w:val="17"/>
              </w:rPr>
              <w:t>16 train/eval</w:t>
            </w:r>
          </w:p>
        </w:tc>
        <w:tc>
          <w:tcPr>
            <w:tcW w:type="dxa" w:w="2232"/>
            <w:vAlign w:val="center"/>
          </w:tcPr>
          <w:p>
            <w:pPr>
              <w:spacing w:before="0" w:after="0" w:line="252" w:lineRule="auto"/>
              <w:jc w:val="left"/>
            </w:pPr>
            <w:r/>
            <w:r>
              <w:rPr>
                <w:rFonts w:ascii="Calibri" w:hAnsi="Calibri"/>
                <w:b w:val="0"/>
                <w:sz w:val="17"/>
              </w:rPr>
              <w:t>Balances GPU memory and throughput on Colab/T4-style runtime.</w:t>
            </w:r>
          </w:p>
        </w:tc>
        <w:tc>
          <w:tcPr>
            <w:tcW w:type="dxa" w:w="2790"/>
            <w:vAlign w:val="center"/>
          </w:tcPr>
          <w:p>
            <w:pPr>
              <w:spacing w:before="0" w:after="0" w:line="252" w:lineRule="auto"/>
              <w:jc w:val="left"/>
            </w:pPr>
            <w:r/>
            <w:r>
              <w:rPr>
                <w:rFonts w:ascii="Calibri" w:hAnsi="Calibri"/>
                <w:b w:val="0"/>
                <w:sz w:val="17"/>
              </w:rPr>
              <w:t>Not re-run during documentation update.</w:t>
            </w:r>
          </w:p>
        </w:tc>
      </w:tr>
      <w:tr>
        <w:trPr>
          <w:cantSplit w:val="true"/>
        </w:trPr>
        <w:tc>
          <w:tcPr>
            <w:tcW w:type="dxa" w:w="1674"/>
            <w:vAlign w:val="center"/>
          </w:tcPr>
          <w:p>
            <w:pPr>
              <w:spacing w:before="0" w:after="0" w:line="252" w:lineRule="auto"/>
              <w:jc w:val="center"/>
            </w:pPr>
            <w:r/>
            <w:r>
              <w:rPr>
                <w:rFonts w:ascii="Calibri" w:hAnsi="Calibri"/>
                <w:b w:val="0"/>
                <w:sz w:val="17"/>
              </w:rPr>
              <w:t>Metrics</w:t>
            </w:r>
          </w:p>
        </w:tc>
        <w:tc>
          <w:tcPr>
            <w:tcW w:type="dxa" w:w="2604"/>
            <w:vAlign w:val="center"/>
          </w:tcPr>
          <w:p>
            <w:pPr>
              <w:spacing w:before="0" w:after="0" w:line="252" w:lineRule="auto"/>
              <w:jc w:val="left"/>
            </w:pPr>
            <w:r/>
            <w:r>
              <w:rPr>
                <w:rFonts w:ascii="Calibri" w:hAnsi="Calibri"/>
                <w:b w:val="0"/>
                <w:sz w:val="17"/>
              </w:rPr>
              <w:t>precision, recall, F1, accuracy via sequence labeling</w:t>
            </w:r>
          </w:p>
        </w:tc>
        <w:tc>
          <w:tcPr>
            <w:tcW w:type="dxa" w:w="2232"/>
            <w:vAlign w:val="center"/>
          </w:tcPr>
          <w:p>
            <w:pPr>
              <w:spacing w:before="0" w:after="0" w:line="252" w:lineRule="auto"/>
              <w:jc w:val="left"/>
            </w:pPr>
            <w:r/>
            <w:r>
              <w:rPr>
                <w:rFonts w:ascii="Calibri" w:hAnsi="Calibri"/>
                <w:b w:val="0"/>
                <w:sz w:val="17"/>
              </w:rPr>
              <w:t>Evaluates entity extraction quality when labels are available.</w:t>
            </w:r>
          </w:p>
        </w:tc>
        <w:tc>
          <w:tcPr>
            <w:tcW w:type="dxa" w:w="2790"/>
            <w:vAlign w:val="center"/>
          </w:tcPr>
          <w:p>
            <w:pPr>
              <w:spacing w:before="0" w:after="0" w:line="252" w:lineRule="auto"/>
              <w:jc w:val="left"/>
            </w:pPr>
            <w:r/>
            <w:r>
              <w:rPr>
                <w:rFonts w:ascii="Calibri" w:hAnsi="Calibri"/>
                <w:b w:val="0"/>
                <w:sz w:val="17"/>
              </w:rPr>
              <w:t>Metric code exists; final metric values were not reproducible from committed evidence.</w:t>
            </w:r>
          </w:p>
        </w:tc>
      </w:tr>
      <w:tr>
        <w:trPr>
          <w:cantSplit w:val="true"/>
        </w:trPr>
        <w:tc>
          <w:tcPr>
            <w:tcW w:type="dxa" w:w="1674"/>
            <w:vAlign w:val="center"/>
          </w:tcPr>
          <w:p>
            <w:pPr>
              <w:spacing w:before="0" w:after="0" w:line="252" w:lineRule="auto"/>
              <w:jc w:val="center"/>
            </w:pPr>
            <w:r/>
            <w:r>
              <w:rPr>
                <w:rFonts w:ascii="Calibri" w:hAnsi="Calibri"/>
                <w:b w:val="0"/>
                <w:sz w:val="17"/>
              </w:rPr>
              <w:t>Export</w:t>
            </w:r>
          </w:p>
        </w:tc>
        <w:tc>
          <w:tcPr>
            <w:tcW w:type="dxa" w:w="2604"/>
            <w:vAlign w:val="center"/>
          </w:tcPr>
          <w:p>
            <w:pPr>
              <w:spacing w:before="0" w:after="0" w:line="252" w:lineRule="auto"/>
              <w:jc w:val="left"/>
            </w:pPr>
            <w:r/>
            <w:r>
              <w:rPr>
                <w:rFonts w:ascii="Calibri" w:hAnsi="Calibri"/>
                <w:b w:val="0"/>
                <w:sz w:val="17"/>
              </w:rPr>
              <w:t>career_compass_ner_final zip/model folder</w:t>
            </w:r>
          </w:p>
        </w:tc>
        <w:tc>
          <w:tcPr>
            <w:tcW w:type="dxa" w:w="2232"/>
            <w:vAlign w:val="center"/>
          </w:tcPr>
          <w:p>
            <w:pPr>
              <w:spacing w:before="0" w:after="0" w:line="252" w:lineRule="auto"/>
              <w:jc w:val="left"/>
            </w:pPr>
            <w:r/>
            <w:r>
              <w:rPr>
                <w:rFonts w:ascii="Calibri" w:hAnsi="Calibri"/>
                <w:b w:val="0"/>
                <w:sz w:val="17"/>
              </w:rPr>
              <w:t>Produces the deployable local model artifact.</w:t>
            </w:r>
          </w:p>
        </w:tc>
        <w:tc>
          <w:tcPr>
            <w:tcW w:type="dxa" w:w="2790"/>
            <w:vAlign w:val="center"/>
          </w:tcPr>
          <w:p>
            <w:pPr>
              <w:spacing w:before="0" w:after="0" w:line="252" w:lineRule="auto"/>
              <w:jc w:val="left"/>
            </w:pPr>
            <w:r/>
            <w:r>
              <w:rPr>
                <w:rFonts w:ascii="Calibri" w:hAnsi="Calibri"/>
                <w:b w:val="0"/>
                <w:sz w:val="17"/>
              </w:rPr>
              <w:t>Export path is documented, but model weights are ignored by Git and final metric report is absent.</w:t>
            </w:r>
          </w:p>
        </w:tc>
      </w:tr>
    </w:tbl>
    <w:p>
      <w:pPr>
        <w:spacing w:after="80"/>
      </w:pPr>
    </w:p>
    <w:p>
      <w:bookmarkStart w:id="184930935" w:name="bm_table_9"/>
      <w:pPr>
        <w:jc w:val="center"/>
      </w:pPr>
      <w:r>
        <w:rPr>
          <w:i/>
        </w:rPr>
        <w:t>Table 9. Model training configuration.</w:t>
      </w:r>
      <w:bookmarkEnd w:id="184930935"/>
    </w:p>
    <w:p>
      <w:bookmarkStart w:id="335106743" w:name="bm_5_5_5_layer_1_cv_understanding_pipeline"/>
      <w:pPr>
        <w:pStyle w:val="Heading3"/>
        <w:keepNext/>
      </w:pPr>
      <w:r>
        <w:t>5.5.5 Layer 1: CV Understanding Pipeline</w:t>
      </w:r>
      <w:bookmarkEnd w:id="335106743"/>
    </w:p>
    <w:p>
      <w:r>
        <w:t>Layer 1 is responsible for turning a noisy CV file into a structured candidate profile. The runtime begins at main.py, which accepts the uploaded file, chooses PDF or image handling, applies timeout/error wrappers, and delegates the actual extraction to CVOrchestrator. The orchestrator first tries ordered PDF text extraction. The spatial parser reads words from PDF pages, groups words into rows using an adaptive tolerance, splits row segments when large x-axis gaps imply columns, removes (cid:...) artifacts, and falls back to plain PDF extraction when the spatial output loses too much text.</w:t>
      </w:r>
    </w:p>
    <w:p>
      <w:r>
        <w:t>If the file has little or no readable text, the OCR path renders PDF pages to images and uses EasyOCR after grayscale/blur preprocessing. After text recovery, the semantic segmenter finds CV sections, contact extraction parses email/phone/location fields, the NER engine extracts entity candidates, experience logic estimates date ranges and career signals, and the canonicalizer normalizes skills before the result is validated through strict Pydantic schema classes.</w:t>
      </w:r>
    </w:p>
    <w:p>
      <w:pPr>
        <w:jc w:val="center"/>
      </w:pPr>
      <w:r>
        <w:drawing>
          <wp:inline xmlns:a="http://schemas.openxmlformats.org/drawingml/2006/main" xmlns:pic="http://schemas.openxmlformats.org/drawingml/2006/picture">
            <wp:extent cx="5577840" cy="3486150"/>
            <wp:docPr id="17" name="Picture 17"/>
            <wp:cNvGraphicFramePr>
              <a:graphicFrameLocks noChangeAspect="1"/>
            </wp:cNvGraphicFramePr>
            <a:graphic>
              <a:graphicData uri="http://schemas.openxmlformats.org/drawingml/2006/picture">
                <pic:pic>
                  <pic:nvPicPr>
                    <pic:cNvPr id="0" name="12_layer1_understanding_pipeline.png"/>
                    <pic:cNvPicPr/>
                  </pic:nvPicPr>
                  <pic:blipFill>
                    <a:blip r:embed="rId26"/>
                    <a:stretch>
                      <a:fillRect/>
                    </a:stretch>
                  </pic:blipFill>
                  <pic:spPr>
                    <a:xfrm>
                      <a:off x="0" y="0"/>
                      <a:ext cx="5577840" cy="3486150"/>
                    </a:xfrm>
                    <a:prstGeom prst="rect"/>
                  </pic:spPr>
                </pic:pic>
              </a:graphicData>
            </a:graphic>
          </wp:inline>
        </w:drawing>
      </w:r>
    </w:p>
    <w:p>
      <w:bookmarkStart w:id="657051760" w:name="bm_figure_12"/>
      <w:pPr>
        <w:jc w:val="center"/>
      </w:pPr>
      <w:r>
        <w:rPr>
          <w:i/>
        </w:rPr>
        <w:t>Figure 12. Layer 1 CV understanding pipeline.</w:t>
      </w:r>
      <w:bookmarkEnd w:id="65705176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1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Important Behavior</w:t>
            </w:r>
          </w:p>
        </w:tc>
        <w:tc>
          <w:tcPr>
            <w:tcW w:type="dxa" w:w="2790"/>
            <w:vAlign w:val="center"/>
            <w:shd w:fill="D9EAF7"/>
          </w:tcPr>
          <w:p>
            <w:pPr>
              <w:spacing w:before="0" w:after="0" w:line="252" w:lineRule="auto"/>
              <w:jc w:val="left"/>
            </w:pPr>
            <w:r/>
            <w:r>
              <w:rPr>
                <w:rFonts w:ascii="Calibri" w:hAnsi="Calibri"/>
                <w:b/>
                <w:sz w:val="17"/>
              </w:rPr>
              <w:t>Risk or Fallback</w:t>
            </w:r>
          </w:p>
        </w:tc>
      </w:tr>
      <w:tr>
        <w:trPr>
          <w:cantSplit w:val="true"/>
        </w:trPr>
        <w:tc>
          <w:tcPr>
            <w:tcW w:type="dxa" w:w="1674"/>
            <w:vAlign w:val="center"/>
          </w:tcPr>
          <w:p>
            <w:pPr>
              <w:spacing w:before="0" w:after="0" w:line="252" w:lineRule="auto"/>
              <w:jc w:val="center"/>
            </w:pPr>
            <w:r/>
            <w:r>
              <w:rPr>
                <w:rFonts w:ascii="Calibri" w:hAnsi="Calibri"/>
                <w:b w:val="0"/>
                <w:sz w:val="17"/>
              </w:rPr>
              <w:t>API gateway</w:t>
            </w:r>
          </w:p>
        </w:tc>
        <w:tc>
          <w:tcPr>
            <w:tcW w:type="dxa" w:w="2604"/>
            <w:vAlign w:val="center"/>
          </w:tcPr>
          <w:p>
            <w:pPr>
              <w:spacing w:before="0" w:after="0" w:line="252" w:lineRule="auto"/>
              <w:jc w:val="left"/>
            </w:pPr>
            <w:r/>
            <w:r>
              <w:rPr>
                <w:rFonts w:ascii="Calibri" w:hAnsi="Calibri"/>
                <w:b w:val="0"/>
                <w:sz w:val="17"/>
              </w:rPr>
              <w:t>main.py</w:t>
            </w:r>
          </w:p>
        </w:tc>
        <w:tc>
          <w:tcPr>
            <w:tcW w:type="dxa" w:w="2232"/>
            <w:vAlign w:val="center"/>
          </w:tcPr>
          <w:p>
            <w:pPr>
              <w:spacing w:before="0" w:after="0" w:line="252" w:lineRule="auto"/>
              <w:jc w:val="left"/>
            </w:pPr>
            <w:r/>
            <w:r>
              <w:rPr>
                <w:rFonts w:ascii="Calibri" w:hAnsi="Calibri"/>
                <w:b w:val="0"/>
                <w:sz w:val="17"/>
              </w:rPr>
              <w:t>/api/parse-cv, /api/hybrid-match, timeout handling, health and metrics endpoints.</w:t>
            </w:r>
          </w:p>
        </w:tc>
        <w:tc>
          <w:tcPr>
            <w:tcW w:type="dxa" w:w="2790"/>
            <w:vAlign w:val="center"/>
          </w:tcPr>
          <w:p>
            <w:pPr>
              <w:spacing w:before="0" w:after="0" w:line="252" w:lineRule="auto"/>
              <w:jc w:val="left"/>
            </w:pPr>
            <w:r/>
            <w:r>
              <w:rPr>
                <w:rFonts w:ascii="Calibri" w:hAnsi="Calibri"/>
                <w:b w:val="0"/>
                <w:sz w:val="17"/>
              </w:rPr>
              <w:t>Timeout results are returned as explicit status dictionaries.</w:t>
            </w:r>
          </w:p>
        </w:tc>
      </w:tr>
      <w:tr>
        <w:trPr>
          <w:cantSplit w:val="true"/>
        </w:trPr>
        <w:tc>
          <w:tcPr>
            <w:tcW w:type="dxa" w:w="1674"/>
            <w:vAlign w:val="center"/>
          </w:tcPr>
          <w:p>
            <w:pPr>
              <w:spacing w:before="0" w:after="0" w:line="252" w:lineRule="auto"/>
              <w:jc w:val="center"/>
            </w:pPr>
            <w:r/>
            <w:r>
              <w:rPr>
                <w:rFonts w:ascii="Calibri" w:hAnsi="Calibri"/>
                <w:b w:val="0"/>
                <w:sz w:val="17"/>
              </w:rPr>
              <w:t>Spatial parser</w:t>
            </w:r>
          </w:p>
        </w:tc>
        <w:tc>
          <w:tcPr>
            <w:tcW w:type="dxa" w:w="2604"/>
            <w:vAlign w:val="center"/>
          </w:tcPr>
          <w:p>
            <w:pPr>
              <w:spacing w:before="0" w:after="0" w:line="252" w:lineRule="auto"/>
              <w:jc w:val="left"/>
            </w:pPr>
            <w:r/>
            <w:r>
              <w:rPr>
                <w:rFonts w:ascii="Calibri" w:hAnsi="Calibri"/>
                <w:b w:val="0"/>
                <w:sz w:val="17"/>
              </w:rPr>
              <w:t>layer1/spatial_parser.py</w:t>
            </w:r>
          </w:p>
        </w:tc>
        <w:tc>
          <w:tcPr>
            <w:tcW w:type="dxa" w:w="2232"/>
            <w:vAlign w:val="center"/>
          </w:tcPr>
          <w:p>
            <w:pPr>
              <w:spacing w:before="0" w:after="0" w:line="252" w:lineRule="auto"/>
              <w:jc w:val="left"/>
            </w:pPr>
            <w:r/>
            <w:r>
              <w:rPr>
                <w:rFonts w:ascii="Calibri" w:hAnsi="Calibri"/>
                <w:b w:val="0"/>
                <w:sz w:val="17"/>
              </w:rPr>
              <w:t>Word extraction, row grouping, column ordering, dehyphenation, plain-text fallback.</w:t>
            </w:r>
          </w:p>
        </w:tc>
        <w:tc>
          <w:tcPr>
            <w:tcW w:type="dxa" w:w="2790"/>
            <w:vAlign w:val="center"/>
          </w:tcPr>
          <w:p>
            <w:pPr>
              <w:spacing w:before="0" w:after="0" w:line="252" w:lineRule="auto"/>
              <w:jc w:val="left"/>
            </w:pPr>
            <w:r/>
            <w:r>
              <w:rPr>
                <w:rFonts w:ascii="Calibri" w:hAnsi="Calibri"/>
                <w:b w:val="0"/>
                <w:sz w:val="17"/>
              </w:rPr>
              <w:t>Falls back when spatial output is too weak.</w:t>
            </w:r>
          </w:p>
        </w:tc>
      </w:tr>
      <w:tr>
        <w:trPr>
          <w:cantSplit w:val="true"/>
        </w:trPr>
        <w:tc>
          <w:tcPr>
            <w:tcW w:type="dxa" w:w="1674"/>
            <w:vAlign w:val="center"/>
          </w:tcPr>
          <w:p>
            <w:pPr>
              <w:spacing w:before="0" w:after="0" w:line="252" w:lineRule="auto"/>
              <w:jc w:val="center"/>
            </w:pPr>
            <w:r/>
            <w:r>
              <w:rPr>
                <w:rFonts w:ascii="Calibri" w:hAnsi="Calibri"/>
                <w:b w:val="0"/>
                <w:sz w:val="17"/>
              </w:rPr>
              <w:t>OCR fallback</w:t>
            </w:r>
          </w:p>
        </w:tc>
        <w:tc>
          <w:tcPr>
            <w:tcW w:type="dxa" w:w="2604"/>
            <w:vAlign w:val="center"/>
          </w:tcPr>
          <w:p>
            <w:pPr>
              <w:spacing w:before="0" w:after="0" w:line="252" w:lineRule="auto"/>
              <w:jc w:val="left"/>
            </w:pPr>
            <w:r/>
            <w:r>
              <w:rPr>
                <w:rFonts w:ascii="Calibri" w:hAnsi="Calibri"/>
                <w:b w:val="0"/>
                <w:sz w:val="17"/>
              </w:rPr>
              <w:t>layer1/ocr_pipeline.py, orchestrator OCR helpers</w:t>
            </w:r>
          </w:p>
        </w:tc>
        <w:tc>
          <w:tcPr>
            <w:tcW w:type="dxa" w:w="2232"/>
            <w:vAlign w:val="center"/>
          </w:tcPr>
          <w:p>
            <w:pPr>
              <w:spacing w:before="0" w:after="0" w:line="252" w:lineRule="auto"/>
              <w:jc w:val="left"/>
            </w:pPr>
            <w:r/>
            <w:r>
              <w:rPr>
                <w:rFonts w:ascii="Calibri" w:hAnsi="Calibri"/>
                <w:b w:val="0"/>
                <w:sz w:val="17"/>
              </w:rPr>
              <w:t>Renders image-like PDFs, preprocesses pages, and extracts text when normal PDF parsing fails.</w:t>
            </w:r>
          </w:p>
        </w:tc>
        <w:tc>
          <w:tcPr>
            <w:tcW w:type="dxa" w:w="2790"/>
            <w:vAlign w:val="center"/>
          </w:tcPr>
          <w:p>
            <w:pPr>
              <w:spacing w:before="0" w:after="0" w:line="252" w:lineRule="auto"/>
              <w:jc w:val="left"/>
            </w:pPr>
            <w:r/>
            <w:r>
              <w:rPr>
                <w:rFonts w:ascii="Calibri" w:hAnsi="Calibri"/>
                <w:b w:val="0"/>
                <w:sz w:val="17"/>
              </w:rPr>
              <w:t>Triggered for short/no-text inputs.</w:t>
            </w:r>
          </w:p>
        </w:tc>
      </w:tr>
      <w:tr>
        <w:trPr>
          <w:cantSplit w:val="true"/>
        </w:trPr>
        <w:tc>
          <w:tcPr>
            <w:tcW w:type="dxa" w:w="1674"/>
            <w:vAlign w:val="center"/>
          </w:tcPr>
          <w:p>
            <w:pPr>
              <w:spacing w:before="0" w:after="0" w:line="252" w:lineRule="auto"/>
              <w:jc w:val="center"/>
            </w:pPr>
            <w:r/>
            <w:r>
              <w:rPr>
                <w:rFonts w:ascii="Calibri" w:hAnsi="Calibri"/>
                <w:b w:val="0"/>
                <w:sz w:val="17"/>
              </w:rPr>
              <w:t>Section segmenter</w:t>
            </w:r>
          </w:p>
        </w:tc>
        <w:tc>
          <w:tcPr>
            <w:tcW w:type="dxa" w:w="2604"/>
            <w:vAlign w:val="center"/>
          </w:tcPr>
          <w:p>
            <w:pPr>
              <w:spacing w:before="0" w:after="0" w:line="252" w:lineRule="auto"/>
              <w:jc w:val="left"/>
            </w:pPr>
            <w:r/>
            <w:r>
              <w:rPr>
                <w:rFonts w:ascii="Calibri" w:hAnsi="Calibri"/>
                <w:b w:val="0"/>
                <w:sz w:val="17"/>
              </w:rPr>
              <w:t>layer1/section_segmenter.py</w:t>
            </w:r>
          </w:p>
        </w:tc>
        <w:tc>
          <w:tcPr>
            <w:tcW w:type="dxa" w:w="2232"/>
            <w:vAlign w:val="center"/>
          </w:tcPr>
          <w:p>
            <w:pPr>
              <w:spacing w:before="0" w:after="0" w:line="252" w:lineRule="auto"/>
              <w:jc w:val="left"/>
            </w:pPr>
            <w:r/>
            <w:r>
              <w:rPr>
                <w:rFonts w:ascii="Calibri" w:hAnsi="Calibri"/>
                <w:b w:val="0"/>
                <w:sz w:val="17"/>
              </w:rPr>
              <w:t>Header detection from patterns and optional semantic header matching.</w:t>
            </w:r>
          </w:p>
        </w:tc>
        <w:tc>
          <w:tcPr>
            <w:tcW w:type="dxa" w:w="2790"/>
            <w:vAlign w:val="center"/>
          </w:tcPr>
          <w:p>
            <w:pPr>
              <w:spacing w:before="0" w:after="0" w:line="252" w:lineRule="auto"/>
              <w:jc w:val="left"/>
            </w:pPr>
            <w:r/>
            <w:r>
              <w:rPr>
                <w:rFonts w:ascii="Calibri" w:hAnsi="Calibri"/>
                <w:b w:val="0"/>
                <w:sz w:val="17"/>
              </w:rPr>
              <w:t>Missing headers fall back to profile-style grouping.</w:t>
            </w:r>
          </w:p>
        </w:tc>
      </w:tr>
      <w:tr>
        <w:trPr>
          <w:cantSplit w:val="true"/>
        </w:trPr>
        <w:tc>
          <w:tcPr>
            <w:tcW w:type="dxa" w:w="1674"/>
            <w:vAlign w:val="center"/>
          </w:tcPr>
          <w:p>
            <w:pPr>
              <w:spacing w:before="0" w:after="0" w:line="252" w:lineRule="auto"/>
              <w:jc w:val="center"/>
            </w:pPr>
            <w:r/>
            <w:r>
              <w:rPr>
                <w:rFonts w:ascii="Calibri" w:hAnsi="Calibri"/>
                <w:b w:val="0"/>
                <w:sz w:val="17"/>
              </w:rPr>
              <w:t>Contact and experience engines</w:t>
            </w:r>
          </w:p>
        </w:tc>
        <w:tc>
          <w:tcPr>
            <w:tcW w:type="dxa" w:w="2604"/>
            <w:vAlign w:val="center"/>
          </w:tcPr>
          <w:p>
            <w:pPr>
              <w:spacing w:before="0" w:after="0" w:line="252" w:lineRule="auto"/>
              <w:jc w:val="left"/>
            </w:pPr>
            <w:r/>
            <w:r>
              <w:rPr>
                <w:rFonts w:ascii="Calibri" w:hAnsi="Calibri"/>
                <w:b w:val="0"/>
                <w:sz w:val="17"/>
              </w:rPr>
              <w:t>contact_extractor.py, experience_engine.py</w:t>
            </w:r>
          </w:p>
        </w:tc>
        <w:tc>
          <w:tcPr>
            <w:tcW w:type="dxa" w:w="2232"/>
            <w:vAlign w:val="center"/>
          </w:tcPr>
          <w:p>
            <w:pPr>
              <w:spacing w:before="0" w:after="0" w:line="252" w:lineRule="auto"/>
              <w:jc w:val="left"/>
            </w:pPr>
            <w:r/>
            <w:r>
              <w:rPr>
                <w:rFonts w:ascii="Calibri" w:hAnsi="Calibri"/>
                <w:b w:val="0"/>
                <w:sz w:val="17"/>
              </w:rPr>
              <w:t>Extract emails/phones/location, date ranges, total years, skill durations, gaps, overlaps, and action-verb strength.</w:t>
            </w:r>
          </w:p>
        </w:tc>
        <w:tc>
          <w:tcPr>
            <w:tcW w:type="dxa" w:w="2790"/>
            <w:vAlign w:val="center"/>
          </w:tcPr>
          <w:p>
            <w:pPr>
              <w:spacing w:before="0" w:after="0" w:line="252" w:lineRule="auto"/>
              <w:jc w:val="left"/>
            </w:pPr>
            <w:r/>
            <w:r>
              <w:rPr>
                <w:rFonts w:ascii="Calibri" w:hAnsi="Calibri"/>
                <w:b w:val="0"/>
                <w:sz w:val="17"/>
              </w:rPr>
              <w:t>Ambiguous dates are treated conservatively.</w:t>
            </w:r>
          </w:p>
        </w:tc>
      </w:tr>
      <w:tr>
        <w:trPr>
          <w:cantSplit w:val="true"/>
        </w:trPr>
        <w:tc>
          <w:tcPr>
            <w:tcW w:type="dxa" w:w="1674"/>
            <w:vAlign w:val="center"/>
          </w:tcPr>
          <w:p>
            <w:pPr>
              <w:spacing w:before="0" w:after="0" w:line="252" w:lineRule="auto"/>
              <w:jc w:val="center"/>
            </w:pPr>
            <w:r/>
            <w:r>
              <w:rPr>
                <w:rFonts w:ascii="Calibri" w:hAnsi="Calibri"/>
                <w:b w:val="0"/>
                <w:sz w:val="17"/>
              </w:rPr>
              <w:t>NER and canonicalization</w:t>
            </w:r>
          </w:p>
        </w:tc>
        <w:tc>
          <w:tcPr>
            <w:tcW w:type="dxa" w:w="2604"/>
            <w:vAlign w:val="center"/>
          </w:tcPr>
          <w:p>
            <w:pPr>
              <w:spacing w:before="0" w:after="0" w:line="252" w:lineRule="auto"/>
              <w:jc w:val="left"/>
            </w:pPr>
            <w:r/>
            <w:r>
              <w:rPr>
                <w:rFonts w:ascii="Calibri" w:hAnsi="Calibri"/>
                <w:b w:val="0"/>
                <w:sz w:val="17"/>
              </w:rPr>
              <w:t>advanced_ner.py, canonicalizer.py</w:t>
            </w:r>
          </w:p>
        </w:tc>
        <w:tc>
          <w:tcPr>
            <w:tcW w:type="dxa" w:w="2232"/>
            <w:vAlign w:val="center"/>
          </w:tcPr>
          <w:p>
            <w:pPr>
              <w:spacing w:before="0" w:after="0" w:line="252" w:lineRule="auto"/>
              <w:jc w:val="left"/>
            </w:pPr>
            <w:r/>
            <w:r>
              <w:rPr>
                <w:rFonts w:ascii="Calibri" w:hAnsi="Calibri"/>
                <w:b w:val="0"/>
                <w:sz w:val="17"/>
              </w:rPr>
              <w:t>Extracts skills/roles/education/certifications, filters noise, deduplicates, and maps skills to canonical names.</w:t>
            </w:r>
          </w:p>
        </w:tc>
        <w:tc>
          <w:tcPr>
            <w:tcW w:type="dxa" w:w="2790"/>
            <w:vAlign w:val="center"/>
          </w:tcPr>
          <w:p>
            <w:pPr>
              <w:spacing w:before="0" w:after="0" w:line="252" w:lineRule="auto"/>
              <w:jc w:val="left"/>
            </w:pPr>
            <w:r/>
            <w:r>
              <w:rPr>
                <w:rFonts w:ascii="Calibri" w:hAnsi="Calibri"/>
                <w:b w:val="0"/>
                <w:sz w:val="17"/>
              </w:rPr>
              <w:t>Fallback model path exists when local deployment artifact is missing.</w:t>
            </w:r>
          </w:p>
        </w:tc>
      </w:tr>
      <w:tr>
        <w:trPr>
          <w:cantSplit w:val="true"/>
        </w:trPr>
        <w:tc>
          <w:tcPr>
            <w:tcW w:type="dxa" w:w="1674"/>
            <w:vAlign w:val="center"/>
          </w:tcPr>
          <w:p>
            <w:pPr>
              <w:spacing w:before="0" w:after="0" w:line="252" w:lineRule="auto"/>
              <w:jc w:val="center"/>
            </w:pPr>
            <w:r/>
            <w:r>
              <w:rPr>
                <w:rFonts w:ascii="Calibri" w:hAnsi="Calibri"/>
                <w:b w:val="0"/>
                <w:sz w:val="17"/>
              </w:rPr>
              <w:t>Output schema</w:t>
            </w:r>
          </w:p>
        </w:tc>
        <w:tc>
          <w:tcPr>
            <w:tcW w:type="dxa" w:w="2604"/>
            <w:vAlign w:val="center"/>
          </w:tcPr>
          <w:p>
            <w:pPr>
              <w:spacing w:before="0" w:after="0" w:line="252" w:lineRule="auto"/>
              <w:jc w:val="left"/>
            </w:pPr>
            <w:r/>
            <w:r>
              <w:rPr>
                <w:rFonts w:ascii="Calibri" w:hAnsi="Calibri"/>
                <w:b w:val="0"/>
                <w:sz w:val="17"/>
              </w:rPr>
              <w:t>schema.py</w:t>
            </w:r>
          </w:p>
        </w:tc>
        <w:tc>
          <w:tcPr>
            <w:tcW w:type="dxa" w:w="2232"/>
            <w:vAlign w:val="center"/>
          </w:tcPr>
          <w:p>
            <w:pPr>
              <w:spacing w:before="0" w:after="0" w:line="252" w:lineRule="auto"/>
              <w:jc w:val="left"/>
            </w:pPr>
            <w:r/>
            <w:r>
              <w:rPr>
                <w:rFonts w:ascii="Calibri" w:hAnsi="Calibri"/>
                <w:b w:val="0"/>
                <w:sz w:val="17"/>
              </w:rPr>
              <w:t>Strict typed response for profile, skills, experience, confidence, stats, and parsing status.</w:t>
            </w:r>
          </w:p>
        </w:tc>
        <w:tc>
          <w:tcPr>
            <w:tcW w:type="dxa" w:w="2790"/>
            <w:vAlign w:val="center"/>
          </w:tcPr>
          <w:p>
            <w:pPr>
              <w:spacing w:before="0" w:after="0" w:line="252" w:lineRule="auto"/>
              <w:jc w:val="left"/>
            </w:pPr>
            <w:r/>
            <w:r>
              <w:rPr>
                <w:rFonts w:ascii="Calibri" w:hAnsi="Calibri"/>
                <w:b w:val="0"/>
                <w:sz w:val="17"/>
              </w:rPr>
              <w:t>Invalid shapes are prevented before backend persistence.</w:t>
            </w:r>
          </w:p>
        </w:tc>
      </w:tr>
    </w:tbl>
    <w:p>
      <w:pPr>
        <w:spacing w:after="80"/>
      </w:pPr>
    </w:p>
    <w:p>
      <w:bookmarkStart w:id="1288593124" w:name="bm_table_10"/>
      <w:pPr>
        <w:jc w:val="center"/>
      </w:pPr>
      <w:r>
        <w:rPr>
          <w:i/>
        </w:rPr>
        <w:t>Table 10. Layer 1 component details.</w:t>
      </w:r>
      <w:bookmarkEnd w:id="1288593124"/>
    </w:p>
    <w:p>
      <w:pPr>
        <w:jc w:val="center"/>
      </w:pPr>
      <w:r>
        <w:drawing>
          <wp:inline xmlns:a="http://schemas.openxmlformats.org/drawingml/2006/main" xmlns:pic="http://schemas.openxmlformats.org/drawingml/2006/picture">
            <wp:extent cx="5577840" cy="3486150"/>
            <wp:docPr id="18" name="Picture 18"/>
            <wp:cNvGraphicFramePr>
              <a:graphicFrameLocks noChangeAspect="1"/>
            </wp:cNvGraphicFramePr>
            <a:graphic>
              <a:graphicData uri="http://schemas.openxmlformats.org/drawingml/2006/picture">
                <pic:pic>
                  <pic:nvPicPr>
                    <pic:cNvPr id="0" name="17_canonicalization_chain.png"/>
                    <pic:cNvPicPr/>
                  </pic:nvPicPr>
                  <pic:blipFill>
                    <a:blip r:embed="rId27"/>
                    <a:stretch>
                      <a:fillRect/>
                    </a:stretch>
                  </pic:blipFill>
                  <pic:spPr>
                    <a:xfrm>
                      <a:off x="0" y="0"/>
                      <a:ext cx="5577840" cy="3486150"/>
                    </a:xfrm>
                    <a:prstGeom prst="rect"/>
                  </pic:spPr>
                </pic:pic>
              </a:graphicData>
            </a:graphic>
          </wp:inline>
        </w:drawing>
      </w:r>
    </w:p>
    <w:p>
      <w:bookmarkStart w:id="1001941405" w:name="bm_figure_17"/>
      <w:pPr>
        <w:jc w:val="center"/>
      </w:pPr>
      <w:r>
        <w:rPr>
          <w:i/>
        </w:rPr>
        <w:t>Figure 17. Skill canonicalization chain.</w:t>
      </w:r>
      <w:bookmarkEnd w:id="1001941405"/>
    </w:p>
    <w:p>
      <w:bookmarkStart w:id="235247732" w:name="bm_5_5_6_layer_2_classification_engine"/>
      <w:pPr>
        <w:pStyle w:val="Heading3"/>
        <w:keepNext/>
      </w:pPr>
      <w:r>
        <w:t>5.5.6 Layer 2: Classification Engine</w:t>
      </w:r>
      <w:bookmarkEnd w:id="235247732"/>
    </w:p>
    <w:p>
      <w:r>
        <w:t>Layer 2 enriches the extracted CV with a domain and seniority interpretation. The classification orchestrator reads the Layer 1 result, then combines title, experience, summary, skill categories, and taxonomy descriptions. DomainEngine compares CV context against taxonomy descriptions using semantic embeddings when available. SkillEngine separates hard, soft, and management-oriented skills using taxonomy rules. SeniorityEngine combines years of experience, title keywords, semantic title/summary hints, and action-verb strength.</w:t>
      </w:r>
    </w:p>
    <w:p>
      <w:pPr>
        <w:jc w:val="center"/>
      </w:pPr>
      <w:r>
        <w:drawing>
          <wp:inline xmlns:a="http://schemas.openxmlformats.org/drawingml/2006/main" xmlns:pic="http://schemas.openxmlformats.org/drawingml/2006/picture">
            <wp:extent cx="5577840" cy="3486150"/>
            <wp:docPr id="19" name="Picture 19"/>
            <wp:cNvGraphicFramePr>
              <a:graphicFrameLocks noChangeAspect="1"/>
            </wp:cNvGraphicFramePr>
            <a:graphic>
              <a:graphicData uri="http://schemas.openxmlformats.org/drawingml/2006/picture">
                <pic:pic>
                  <pic:nvPicPr>
                    <pic:cNvPr id="0" name="13_layer2_classification_flow.png"/>
                    <pic:cNvPicPr/>
                  </pic:nvPicPr>
                  <pic:blipFill>
                    <a:blip r:embed="rId28"/>
                    <a:stretch>
                      <a:fillRect/>
                    </a:stretch>
                  </pic:blipFill>
                  <pic:spPr>
                    <a:xfrm>
                      <a:off x="0" y="0"/>
                      <a:ext cx="5577840" cy="3486150"/>
                    </a:xfrm>
                    <a:prstGeom prst="rect"/>
                  </pic:spPr>
                </pic:pic>
              </a:graphicData>
            </a:graphic>
          </wp:inline>
        </w:drawing>
      </w:r>
    </w:p>
    <w:p>
      <w:bookmarkStart w:id="583701637" w:name="bm_figure_13"/>
      <w:pPr>
        <w:jc w:val="center"/>
      </w:pPr>
      <w:r>
        <w:rPr>
          <w:i/>
        </w:rPr>
        <w:t>Figure 13. Layer 2 classification flow.</w:t>
      </w:r>
      <w:bookmarkEnd w:id="583701637"/>
    </w:p>
    <w:p>
      <w:pPr>
        <w:jc w:val="center"/>
      </w:pPr>
      <w:r>
        <w:drawing>
          <wp:inline xmlns:a="http://schemas.openxmlformats.org/drawingml/2006/main" xmlns:pic="http://schemas.openxmlformats.org/drawingml/2006/picture">
            <wp:extent cx="5577840" cy="3486150"/>
            <wp:docPr id="20" name="Picture 20"/>
            <wp:cNvGraphicFramePr>
              <a:graphicFrameLocks noChangeAspect="1"/>
            </wp:cNvGraphicFramePr>
            <a:graphic>
              <a:graphicData uri="http://schemas.openxmlformats.org/drawingml/2006/picture">
                <pic:pic>
                  <pic:nvPicPr>
                    <pic:cNvPr id="0" name="16_seniority_decision_logic.png"/>
                    <pic:cNvPicPr/>
                  </pic:nvPicPr>
                  <pic:blipFill>
                    <a:blip r:embed="rId29"/>
                    <a:stretch>
                      <a:fillRect/>
                    </a:stretch>
                  </pic:blipFill>
                  <pic:spPr>
                    <a:xfrm>
                      <a:off x="0" y="0"/>
                      <a:ext cx="5577840" cy="3486150"/>
                    </a:xfrm>
                    <a:prstGeom prst="rect"/>
                  </pic:spPr>
                </pic:pic>
              </a:graphicData>
            </a:graphic>
          </wp:inline>
        </w:drawing>
      </w:r>
    </w:p>
    <w:p>
      <w:bookmarkStart w:id="729934164" w:name="bm_figure_16"/>
      <w:pPr>
        <w:jc w:val="center"/>
      </w:pPr>
      <w:r>
        <w:rPr>
          <w:i/>
        </w:rPr>
        <w:t>Figure 16. Seniority decision logic.</w:t>
      </w:r>
      <w:bookmarkEnd w:id="72993416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2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Input</w:t>
            </w:r>
          </w:p>
        </w:tc>
        <w:tc>
          <w:tcPr>
            <w:tcW w:type="dxa" w:w="2790"/>
            <w:vAlign w:val="center"/>
            <w:shd w:fill="D9EAF7"/>
          </w:tcPr>
          <w:p>
            <w:pPr>
              <w:spacing w:before="0" w:after="0" w:line="252" w:lineRule="auto"/>
              <w:jc w:val="left"/>
            </w:pPr>
            <w:r/>
            <w:r>
              <w:rPr>
                <w:rFonts w:ascii="Calibri" w:hAnsi="Calibri"/>
                <w:b/>
                <w:sz w:val="17"/>
              </w:rPr>
              <w:t>Output</w:t>
            </w:r>
          </w:p>
        </w:tc>
      </w:tr>
      <w:tr>
        <w:trPr>
          <w:cantSplit w:val="true"/>
        </w:trPr>
        <w:tc>
          <w:tcPr>
            <w:tcW w:type="dxa" w:w="1674"/>
            <w:vAlign w:val="center"/>
          </w:tcPr>
          <w:p>
            <w:pPr>
              <w:spacing w:before="0" w:after="0" w:line="252" w:lineRule="auto"/>
              <w:jc w:val="center"/>
            </w:pPr>
            <w:r/>
            <w:r>
              <w:rPr>
                <w:rFonts w:ascii="Calibri" w:hAnsi="Calibri"/>
                <w:b w:val="0"/>
                <w:sz w:val="17"/>
              </w:rPr>
              <w:t>Classification orchestrator</w:t>
            </w:r>
          </w:p>
        </w:tc>
        <w:tc>
          <w:tcPr>
            <w:tcW w:type="dxa" w:w="2604"/>
            <w:vAlign w:val="center"/>
          </w:tcPr>
          <w:p>
            <w:pPr>
              <w:spacing w:before="0" w:after="0" w:line="252" w:lineRule="auto"/>
              <w:jc w:val="left"/>
            </w:pPr>
            <w:r/>
            <w:r>
              <w:rPr>
                <w:rFonts w:ascii="Calibri" w:hAnsi="Calibri"/>
                <w:b w:val="0"/>
                <w:sz w:val="17"/>
              </w:rPr>
              <w:t>layer2/orchestrator.py</w:t>
            </w:r>
          </w:p>
        </w:tc>
        <w:tc>
          <w:tcPr>
            <w:tcW w:type="dxa" w:w="2232"/>
            <w:vAlign w:val="center"/>
          </w:tcPr>
          <w:p>
            <w:pPr>
              <w:spacing w:before="0" w:after="0" w:line="252" w:lineRule="auto"/>
              <w:jc w:val="left"/>
            </w:pPr>
            <w:r/>
            <w:r>
              <w:rPr>
                <w:rFonts w:ascii="Calibri" w:hAnsi="Calibri"/>
                <w:b w:val="0"/>
                <w:sz w:val="17"/>
              </w:rPr>
              <w:t>Parsed CV profile, skills, experience, and summary.</w:t>
            </w:r>
          </w:p>
        </w:tc>
        <w:tc>
          <w:tcPr>
            <w:tcW w:type="dxa" w:w="2790"/>
            <w:vAlign w:val="center"/>
          </w:tcPr>
          <w:p>
            <w:pPr>
              <w:spacing w:before="0" w:after="0" w:line="252" w:lineRule="auto"/>
              <w:jc w:val="left"/>
            </w:pPr>
            <w:r/>
            <w:r>
              <w:rPr>
                <w:rFonts w:ascii="Calibri" w:hAnsi="Calibri"/>
                <w:b w:val="0"/>
                <w:sz w:val="17"/>
              </w:rPr>
              <w:t>Adds primary domain, seniority level, skill categories, and confidence-style signals.</w:t>
            </w:r>
          </w:p>
        </w:tc>
      </w:tr>
      <w:tr>
        <w:trPr>
          <w:cantSplit w:val="true"/>
        </w:trPr>
        <w:tc>
          <w:tcPr>
            <w:tcW w:type="dxa" w:w="1674"/>
            <w:vAlign w:val="center"/>
          </w:tcPr>
          <w:p>
            <w:pPr>
              <w:spacing w:before="0" w:after="0" w:line="252" w:lineRule="auto"/>
              <w:jc w:val="center"/>
            </w:pPr>
            <w:r/>
            <w:r>
              <w:rPr>
                <w:rFonts w:ascii="Calibri" w:hAnsi="Calibri"/>
                <w:b w:val="0"/>
                <w:sz w:val="17"/>
              </w:rPr>
              <w:t>Domain engine</w:t>
            </w:r>
          </w:p>
        </w:tc>
        <w:tc>
          <w:tcPr>
            <w:tcW w:type="dxa" w:w="2604"/>
            <w:vAlign w:val="center"/>
          </w:tcPr>
          <w:p>
            <w:pPr>
              <w:spacing w:before="0" w:after="0" w:line="252" w:lineRule="auto"/>
              <w:jc w:val="left"/>
            </w:pPr>
            <w:r/>
            <w:r>
              <w:rPr>
                <w:rFonts w:ascii="Calibri" w:hAnsi="Calibri"/>
                <w:b w:val="0"/>
                <w:sz w:val="17"/>
              </w:rPr>
              <w:t>layer2/domain_engine.py, data/taxonomy.json</w:t>
            </w:r>
          </w:p>
        </w:tc>
        <w:tc>
          <w:tcPr>
            <w:tcW w:type="dxa" w:w="2232"/>
            <w:vAlign w:val="center"/>
          </w:tcPr>
          <w:p>
            <w:pPr>
              <w:spacing w:before="0" w:after="0" w:line="252" w:lineRule="auto"/>
              <w:jc w:val="left"/>
            </w:pPr>
            <w:r/>
            <w:r>
              <w:rPr>
                <w:rFonts w:ascii="Calibri" w:hAnsi="Calibri"/>
                <w:b w:val="0"/>
                <w:sz w:val="17"/>
              </w:rPr>
              <w:t>Title, summary, and first experience titles.</w:t>
            </w:r>
          </w:p>
        </w:tc>
        <w:tc>
          <w:tcPr>
            <w:tcW w:type="dxa" w:w="2790"/>
            <w:vAlign w:val="center"/>
          </w:tcPr>
          <w:p>
            <w:pPr>
              <w:spacing w:before="0" w:after="0" w:line="252" w:lineRule="auto"/>
              <w:jc w:val="left"/>
            </w:pPr>
            <w:r/>
            <w:r>
              <w:rPr>
                <w:rFonts w:ascii="Calibri" w:hAnsi="Calibri"/>
                <w:b w:val="0"/>
                <w:sz w:val="17"/>
              </w:rPr>
              <w:t>Primary technical domain selected from taxonomy descriptions.</w:t>
            </w:r>
          </w:p>
        </w:tc>
      </w:tr>
      <w:tr>
        <w:trPr>
          <w:cantSplit w:val="true"/>
        </w:trPr>
        <w:tc>
          <w:tcPr>
            <w:tcW w:type="dxa" w:w="1674"/>
            <w:vAlign w:val="center"/>
          </w:tcPr>
          <w:p>
            <w:pPr>
              <w:spacing w:before="0" w:after="0" w:line="252" w:lineRule="auto"/>
              <w:jc w:val="center"/>
            </w:pPr>
            <w:r/>
            <w:r>
              <w:rPr>
                <w:rFonts w:ascii="Calibri" w:hAnsi="Calibri"/>
                <w:b w:val="0"/>
                <w:sz w:val="17"/>
              </w:rPr>
              <w:t>Seniority engine</w:t>
            </w:r>
          </w:p>
        </w:tc>
        <w:tc>
          <w:tcPr>
            <w:tcW w:type="dxa" w:w="2604"/>
            <w:vAlign w:val="center"/>
          </w:tcPr>
          <w:p>
            <w:pPr>
              <w:spacing w:before="0" w:after="0" w:line="252" w:lineRule="auto"/>
              <w:jc w:val="left"/>
            </w:pPr>
            <w:r/>
            <w:r>
              <w:rPr>
                <w:rFonts w:ascii="Calibri" w:hAnsi="Calibri"/>
                <w:b w:val="0"/>
                <w:sz w:val="17"/>
              </w:rPr>
              <w:t>layer2/seniority_engine.py</w:t>
            </w:r>
          </w:p>
        </w:tc>
        <w:tc>
          <w:tcPr>
            <w:tcW w:type="dxa" w:w="2232"/>
            <w:vAlign w:val="center"/>
          </w:tcPr>
          <w:p>
            <w:pPr>
              <w:spacing w:before="0" w:after="0" w:line="252" w:lineRule="auto"/>
              <w:jc w:val="left"/>
            </w:pPr>
            <w:r/>
            <w:r>
              <w:rPr>
                <w:rFonts w:ascii="Calibri" w:hAnsi="Calibri"/>
                <w:b w:val="0"/>
                <w:sz w:val="17"/>
              </w:rPr>
              <w:t>Experience years, title, summary, and action verbs.</w:t>
            </w:r>
          </w:p>
        </w:tc>
        <w:tc>
          <w:tcPr>
            <w:tcW w:type="dxa" w:w="2790"/>
            <w:vAlign w:val="center"/>
          </w:tcPr>
          <w:p>
            <w:pPr>
              <w:spacing w:before="0" w:after="0" w:line="252" w:lineRule="auto"/>
              <w:jc w:val="left"/>
            </w:pPr>
            <w:r/>
            <w:r>
              <w:rPr>
                <w:rFonts w:ascii="Calibri" w:hAnsi="Calibri"/>
                <w:b w:val="0"/>
                <w:sz w:val="17"/>
              </w:rPr>
              <w:t>Intern, Junior, Mid-Level, Senior, or Lead / Manager estimate.</w:t>
            </w:r>
          </w:p>
        </w:tc>
      </w:tr>
      <w:tr>
        <w:trPr>
          <w:cantSplit w:val="true"/>
        </w:trPr>
        <w:tc>
          <w:tcPr>
            <w:tcW w:type="dxa" w:w="1674"/>
            <w:vAlign w:val="center"/>
          </w:tcPr>
          <w:p>
            <w:pPr>
              <w:spacing w:before="0" w:after="0" w:line="252" w:lineRule="auto"/>
              <w:jc w:val="center"/>
            </w:pPr>
            <w:r/>
            <w:r>
              <w:rPr>
                <w:rFonts w:ascii="Calibri" w:hAnsi="Calibri"/>
                <w:b w:val="0"/>
                <w:sz w:val="17"/>
              </w:rPr>
              <w:t>Skill engine</w:t>
            </w:r>
          </w:p>
        </w:tc>
        <w:tc>
          <w:tcPr>
            <w:tcW w:type="dxa" w:w="2604"/>
            <w:vAlign w:val="center"/>
          </w:tcPr>
          <w:p>
            <w:pPr>
              <w:spacing w:before="0" w:after="0" w:line="252" w:lineRule="auto"/>
              <w:jc w:val="left"/>
            </w:pPr>
            <w:r/>
            <w:r>
              <w:rPr>
                <w:rFonts w:ascii="Calibri" w:hAnsi="Calibri"/>
                <w:b w:val="0"/>
                <w:sz w:val="17"/>
              </w:rPr>
              <w:t>layer2/skill_engine.py</w:t>
            </w:r>
          </w:p>
        </w:tc>
        <w:tc>
          <w:tcPr>
            <w:tcW w:type="dxa" w:w="2232"/>
            <w:vAlign w:val="center"/>
          </w:tcPr>
          <w:p>
            <w:pPr>
              <w:spacing w:before="0" w:after="0" w:line="252" w:lineRule="auto"/>
              <w:jc w:val="left"/>
            </w:pPr>
            <w:r/>
            <w:r>
              <w:rPr>
                <w:rFonts w:ascii="Calibri" w:hAnsi="Calibri"/>
                <w:b w:val="0"/>
                <w:sz w:val="17"/>
              </w:rPr>
              <w:t>Canonical skill names and taxonomy terms.</w:t>
            </w:r>
          </w:p>
        </w:tc>
        <w:tc>
          <w:tcPr>
            <w:tcW w:type="dxa" w:w="2790"/>
            <w:vAlign w:val="center"/>
          </w:tcPr>
          <w:p>
            <w:pPr>
              <w:spacing w:before="0" w:after="0" w:line="252" w:lineRule="auto"/>
              <w:jc w:val="left"/>
            </w:pPr>
            <w:r/>
            <w:r>
              <w:rPr>
                <w:rFonts w:ascii="Calibri" w:hAnsi="Calibri"/>
                <w:b w:val="0"/>
                <w:sz w:val="17"/>
              </w:rPr>
              <w:t>Hard, soft, and management skill buckets.</w:t>
            </w:r>
          </w:p>
        </w:tc>
      </w:tr>
      <w:tr>
        <w:trPr>
          <w:cantSplit w:val="true"/>
        </w:trPr>
        <w:tc>
          <w:tcPr>
            <w:tcW w:type="dxa" w:w="1674"/>
            <w:vAlign w:val="center"/>
          </w:tcPr>
          <w:p>
            <w:pPr>
              <w:spacing w:before="0" w:after="0" w:line="252" w:lineRule="auto"/>
              <w:jc w:val="center"/>
            </w:pPr>
            <w:r/>
            <w:r>
              <w:rPr>
                <w:rFonts w:ascii="Calibri" w:hAnsi="Calibri"/>
                <w:b w:val="0"/>
                <w:sz w:val="17"/>
              </w:rPr>
              <w:t>Taxonomy loader</w:t>
            </w:r>
          </w:p>
        </w:tc>
        <w:tc>
          <w:tcPr>
            <w:tcW w:type="dxa" w:w="2604"/>
            <w:vAlign w:val="center"/>
          </w:tcPr>
          <w:p>
            <w:pPr>
              <w:spacing w:before="0" w:after="0" w:line="252" w:lineRule="auto"/>
              <w:jc w:val="left"/>
            </w:pPr>
            <w:r/>
            <w:r>
              <w:rPr>
                <w:rFonts w:ascii="Calibri" w:hAnsi="Calibri"/>
                <w:b w:val="0"/>
                <w:sz w:val="17"/>
              </w:rPr>
              <w:t>layer2/utils.py</w:t>
            </w:r>
          </w:p>
        </w:tc>
        <w:tc>
          <w:tcPr>
            <w:tcW w:type="dxa" w:w="2232"/>
            <w:vAlign w:val="center"/>
          </w:tcPr>
          <w:p>
            <w:pPr>
              <w:spacing w:before="0" w:after="0" w:line="252" w:lineRule="auto"/>
              <w:jc w:val="left"/>
            </w:pPr>
            <w:r/>
            <w:r>
              <w:rPr>
                <w:rFonts w:ascii="Calibri" w:hAnsi="Calibri"/>
                <w:b w:val="0"/>
                <w:sz w:val="17"/>
              </w:rPr>
              <w:t>JSON taxonomy file.</w:t>
            </w:r>
          </w:p>
        </w:tc>
        <w:tc>
          <w:tcPr>
            <w:tcW w:type="dxa" w:w="2790"/>
            <w:vAlign w:val="center"/>
          </w:tcPr>
          <w:p>
            <w:pPr>
              <w:spacing w:before="0" w:after="0" w:line="252" w:lineRule="auto"/>
              <w:jc w:val="left"/>
            </w:pPr>
            <w:r/>
            <w:r>
              <w:rPr>
                <w:rFonts w:ascii="Calibri" w:hAnsi="Calibri"/>
                <w:b w:val="0"/>
                <w:sz w:val="17"/>
              </w:rPr>
              <w:t>Shared configuration for domain and skill classification.</w:t>
            </w:r>
          </w:p>
        </w:tc>
      </w:tr>
    </w:tbl>
    <w:p>
      <w:pPr>
        <w:spacing w:after="80"/>
      </w:pPr>
    </w:p>
    <w:p>
      <w:bookmarkStart w:id="1019293900" w:name="bm_table_11"/>
      <w:pPr>
        <w:jc w:val="center"/>
      </w:pPr>
      <w:r>
        <w:rPr>
          <w:i/>
        </w:rPr>
        <w:t>Table 11. Layer 2 classification engine details.</w:t>
      </w:r>
      <w:bookmarkEnd w:id="1019293900"/>
    </w:p>
    <w:p>
      <w:bookmarkStart w:id="678965041" w:name="bm_5_5_7_layer_3_matching_engine"/>
      <w:pPr>
        <w:pStyle w:val="Heading3"/>
        <w:keepNext/>
      </w:pPr>
      <w:r>
        <w:t>5.5.7 Layer 3: Matching Engine</w:t>
      </w:r>
      <w:bookmarkEnd w:id="678965041"/>
    </w:p>
    <w:p>
      <w:r>
        <w:t>Layer 3 compares a candidate profile with a job description. JobDescriptionEngine parses job text into seniority, required years, mandatory skills, bonus skills, domain, and summary. IntelligentMatcher calculates semantic similarity, skill-text similarity, and domain alignment using adaptive weights that change by seniority level. ConstraintValidator subtracts penalties for missing mandatory skills, experience shortfalls, and seniority mismatch. FitAnalysisGenerator turns the numeric result into strengths, gaps, red flags, and a verdict.</w:t>
      </w:r>
    </w:p>
    <w:p>
      <w:pPr>
        <w:jc w:val="center"/>
      </w:pPr>
      <w:r>
        <w:drawing>
          <wp:inline xmlns:a="http://schemas.openxmlformats.org/drawingml/2006/main" xmlns:pic="http://schemas.openxmlformats.org/drawingml/2006/picture">
            <wp:extent cx="5577840" cy="3486150"/>
            <wp:docPr id="21" name="Picture 21"/>
            <wp:cNvGraphicFramePr>
              <a:graphicFrameLocks noChangeAspect="1"/>
            </wp:cNvGraphicFramePr>
            <a:graphic>
              <a:graphicData uri="http://schemas.openxmlformats.org/drawingml/2006/picture">
                <pic:pic>
                  <pic:nvPicPr>
                    <pic:cNvPr id="0" name="14_layer3_matching_engine.png"/>
                    <pic:cNvPicPr/>
                  </pic:nvPicPr>
                  <pic:blipFill>
                    <a:blip r:embed="rId30"/>
                    <a:stretch>
                      <a:fillRect/>
                    </a:stretch>
                  </pic:blipFill>
                  <pic:spPr>
                    <a:xfrm>
                      <a:off x="0" y="0"/>
                      <a:ext cx="5577840" cy="3486150"/>
                    </a:xfrm>
                    <a:prstGeom prst="rect"/>
                  </pic:spPr>
                </pic:pic>
              </a:graphicData>
            </a:graphic>
          </wp:inline>
        </w:drawing>
      </w:r>
    </w:p>
    <w:p>
      <w:bookmarkStart w:id="921950288" w:name="bm_figure_14"/>
      <w:pPr>
        <w:jc w:val="center"/>
      </w:pPr>
      <w:r>
        <w:rPr>
          <w:i/>
        </w:rPr>
        <w:t>Figure 14. Layer 3 matching engine.</w:t>
      </w:r>
      <w:bookmarkEnd w:id="921950288"/>
    </w:p>
    <w:p>
      <w:pPr>
        <w:jc w:val="center"/>
      </w:pPr>
      <w:r>
        <w:drawing>
          <wp:inline xmlns:a="http://schemas.openxmlformats.org/drawingml/2006/main" xmlns:pic="http://schemas.openxmlformats.org/drawingml/2006/picture">
            <wp:extent cx="5577840" cy="3486150"/>
            <wp:docPr id="22" name="Picture 22"/>
            <wp:cNvGraphicFramePr>
              <a:graphicFrameLocks noChangeAspect="1"/>
            </wp:cNvGraphicFramePr>
            <a:graphic>
              <a:graphicData uri="http://schemas.openxmlformats.org/drawingml/2006/picture">
                <pic:pic>
                  <pic:nvPicPr>
                    <pic:cNvPr id="0" name="18_score_collapse_logic.png"/>
                    <pic:cNvPicPr/>
                  </pic:nvPicPr>
                  <pic:blipFill>
                    <a:blip r:embed="rId31"/>
                    <a:stretch>
                      <a:fillRect/>
                    </a:stretch>
                  </pic:blipFill>
                  <pic:spPr>
                    <a:xfrm>
                      <a:off x="0" y="0"/>
                      <a:ext cx="5577840" cy="3486150"/>
                    </a:xfrm>
                    <a:prstGeom prst="rect"/>
                  </pic:spPr>
                </pic:pic>
              </a:graphicData>
            </a:graphic>
          </wp:inline>
        </w:drawing>
      </w:r>
    </w:p>
    <w:p>
      <w:bookmarkStart w:id="118092489" w:name="bm_figure_18"/>
      <w:pPr>
        <w:jc w:val="center"/>
      </w:pPr>
      <w:r>
        <w:rPr>
          <w:i/>
        </w:rPr>
        <w:t>Figure 18. Layer 3 score collapse logic.</w:t>
      </w:r>
      <w:bookmarkEnd w:id="11809248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Layer 3 Component</w:t>
            </w:r>
          </w:p>
        </w:tc>
        <w:tc>
          <w:tcPr>
            <w:tcW w:type="dxa" w:w="2604"/>
            <w:vAlign w:val="center"/>
            <w:shd w:fill="D9EAF7"/>
          </w:tcPr>
          <w:p>
            <w:pPr>
              <w:spacing w:before="0" w:after="0" w:line="252" w:lineRule="auto"/>
              <w:jc w:val="left"/>
            </w:pPr>
            <w:r/>
            <w:r>
              <w:rPr>
                <w:rFonts w:ascii="Calibri" w:hAnsi="Calibri"/>
                <w:b/>
                <w:sz w:val="17"/>
              </w:rPr>
              <w:t>Main Files</w:t>
            </w:r>
          </w:p>
        </w:tc>
        <w:tc>
          <w:tcPr>
            <w:tcW w:type="dxa" w:w="2232"/>
            <w:vAlign w:val="center"/>
            <w:shd w:fill="D9EAF7"/>
          </w:tcPr>
          <w:p>
            <w:pPr>
              <w:spacing w:before="0" w:after="0" w:line="252" w:lineRule="auto"/>
              <w:jc w:val="left"/>
            </w:pPr>
            <w:r/>
            <w:r>
              <w:rPr>
                <w:rFonts w:ascii="Calibri" w:hAnsi="Calibri"/>
                <w:b/>
                <w:sz w:val="17"/>
              </w:rPr>
              <w:t>Scoring Contribution</w:t>
            </w:r>
          </w:p>
        </w:tc>
        <w:tc>
          <w:tcPr>
            <w:tcW w:type="dxa" w:w="2790"/>
            <w:vAlign w:val="center"/>
            <w:shd w:fill="D9EAF7"/>
          </w:tcPr>
          <w:p>
            <w:pPr>
              <w:spacing w:before="0" w:after="0" w:line="252" w:lineRule="auto"/>
              <w:jc w:val="left"/>
            </w:pPr>
            <w:r/>
            <w:r>
              <w:rPr>
                <w:rFonts w:ascii="Calibri" w:hAnsi="Calibri"/>
                <w:b/>
                <w:sz w:val="17"/>
              </w:rPr>
              <w:t>Explanation Contribution</w:t>
            </w:r>
          </w:p>
        </w:tc>
      </w:tr>
      <w:tr>
        <w:trPr>
          <w:cantSplit w:val="true"/>
        </w:trPr>
        <w:tc>
          <w:tcPr>
            <w:tcW w:type="dxa" w:w="1674"/>
            <w:vAlign w:val="center"/>
          </w:tcPr>
          <w:p>
            <w:pPr>
              <w:spacing w:before="0" w:after="0" w:line="252" w:lineRule="auto"/>
              <w:jc w:val="center"/>
            </w:pPr>
            <w:r/>
            <w:r>
              <w:rPr>
                <w:rFonts w:ascii="Calibri" w:hAnsi="Calibri"/>
                <w:b w:val="0"/>
                <w:sz w:val="17"/>
              </w:rPr>
              <w:t>JD parser</w:t>
            </w:r>
          </w:p>
        </w:tc>
        <w:tc>
          <w:tcPr>
            <w:tcW w:type="dxa" w:w="2604"/>
            <w:vAlign w:val="center"/>
          </w:tcPr>
          <w:p>
            <w:pPr>
              <w:spacing w:before="0" w:after="0" w:line="252" w:lineRule="auto"/>
              <w:jc w:val="left"/>
            </w:pPr>
            <w:r/>
            <w:r>
              <w:rPr>
                <w:rFonts w:ascii="Calibri" w:hAnsi="Calibri"/>
                <w:b w:val="0"/>
                <w:sz w:val="17"/>
              </w:rPr>
              <w:t>job_description_engine.py</w:t>
            </w:r>
          </w:p>
        </w:tc>
        <w:tc>
          <w:tcPr>
            <w:tcW w:type="dxa" w:w="2232"/>
            <w:vAlign w:val="center"/>
          </w:tcPr>
          <w:p>
            <w:pPr>
              <w:spacing w:before="0" w:after="0" w:line="252" w:lineRule="auto"/>
              <w:jc w:val="left"/>
            </w:pPr>
            <w:r/>
            <w:r>
              <w:rPr>
                <w:rFonts w:ascii="Calibri" w:hAnsi="Calibri"/>
                <w:b w:val="0"/>
                <w:sz w:val="17"/>
              </w:rPr>
              <w:t>Extracts requirements that become matching inputs.</w:t>
            </w:r>
          </w:p>
        </w:tc>
        <w:tc>
          <w:tcPr>
            <w:tcW w:type="dxa" w:w="2790"/>
            <w:vAlign w:val="center"/>
          </w:tcPr>
          <w:p>
            <w:pPr>
              <w:spacing w:before="0" w:after="0" w:line="252" w:lineRule="auto"/>
              <w:jc w:val="left"/>
            </w:pPr>
            <w:r/>
            <w:r>
              <w:rPr>
                <w:rFonts w:ascii="Calibri" w:hAnsi="Calibri"/>
                <w:b w:val="0"/>
                <w:sz w:val="17"/>
              </w:rPr>
              <w:t>Explains what the system understood from the job post.</w:t>
            </w:r>
          </w:p>
        </w:tc>
      </w:tr>
      <w:tr>
        <w:trPr>
          <w:cantSplit w:val="true"/>
        </w:trPr>
        <w:tc>
          <w:tcPr>
            <w:tcW w:type="dxa" w:w="1674"/>
            <w:vAlign w:val="center"/>
          </w:tcPr>
          <w:p>
            <w:pPr>
              <w:spacing w:before="0" w:after="0" w:line="252" w:lineRule="auto"/>
              <w:jc w:val="center"/>
            </w:pPr>
            <w:r/>
            <w:r>
              <w:rPr>
                <w:rFonts w:ascii="Calibri" w:hAnsi="Calibri"/>
                <w:b w:val="0"/>
                <w:sz w:val="17"/>
              </w:rPr>
              <w:t>Semantic embedder</w:t>
            </w:r>
          </w:p>
        </w:tc>
        <w:tc>
          <w:tcPr>
            <w:tcW w:type="dxa" w:w="2604"/>
            <w:vAlign w:val="center"/>
          </w:tcPr>
          <w:p>
            <w:pPr>
              <w:spacing w:before="0" w:after="0" w:line="252" w:lineRule="auto"/>
              <w:jc w:val="left"/>
            </w:pPr>
            <w:r/>
            <w:r>
              <w:rPr>
                <w:rFonts w:ascii="Calibri" w:hAnsi="Calibri"/>
                <w:b w:val="0"/>
                <w:sz w:val="17"/>
              </w:rPr>
              <w:t>embedder.py</w:t>
            </w:r>
          </w:p>
        </w:tc>
        <w:tc>
          <w:tcPr>
            <w:tcW w:type="dxa" w:w="2232"/>
            <w:vAlign w:val="center"/>
          </w:tcPr>
          <w:p>
            <w:pPr>
              <w:spacing w:before="0" w:after="0" w:line="252" w:lineRule="auto"/>
              <w:jc w:val="left"/>
            </w:pPr>
            <w:r/>
            <w:r>
              <w:rPr>
                <w:rFonts w:ascii="Calibri" w:hAnsi="Calibri"/>
                <w:b w:val="0"/>
                <w:sz w:val="17"/>
              </w:rPr>
              <w:t>Summary similarity and domain-similarity fallback.</w:t>
            </w:r>
          </w:p>
        </w:tc>
        <w:tc>
          <w:tcPr>
            <w:tcW w:type="dxa" w:w="2790"/>
            <w:vAlign w:val="center"/>
          </w:tcPr>
          <w:p>
            <w:pPr>
              <w:spacing w:before="0" w:after="0" w:line="252" w:lineRule="auto"/>
              <w:jc w:val="left"/>
            </w:pPr>
            <w:r/>
            <w:r>
              <w:rPr>
                <w:rFonts w:ascii="Calibri" w:hAnsi="Calibri"/>
                <w:b w:val="0"/>
                <w:sz w:val="17"/>
              </w:rPr>
              <w:t>Captures meaning beyond exact keyword overlap when dependencies are available.</w:t>
            </w:r>
          </w:p>
        </w:tc>
      </w:tr>
      <w:tr>
        <w:trPr>
          <w:cantSplit w:val="true"/>
        </w:trPr>
        <w:tc>
          <w:tcPr>
            <w:tcW w:type="dxa" w:w="1674"/>
            <w:vAlign w:val="center"/>
          </w:tcPr>
          <w:p>
            <w:pPr>
              <w:spacing w:before="0" w:after="0" w:line="252" w:lineRule="auto"/>
              <w:jc w:val="center"/>
            </w:pPr>
            <w:r/>
            <w:r>
              <w:rPr>
                <w:rFonts w:ascii="Calibri" w:hAnsi="Calibri"/>
                <w:b w:val="0"/>
                <w:sz w:val="17"/>
              </w:rPr>
              <w:t>Intelligent matcher</w:t>
            </w:r>
          </w:p>
        </w:tc>
        <w:tc>
          <w:tcPr>
            <w:tcW w:type="dxa" w:w="2604"/>
            <w:vAlign w:val="center"/>
          </w:tcPr>
          <w:p>
            <w:pPr>
              <w:spacing w:before="0" w:after="0" w:line="252" w:lineRule="auto"/>
              <w:jc w:val="left"/>
            </w:pPr>
            <w:r/>
            <w:r>
              <w:rPr>
                <w:rFonts w:ascii="Calibri" w:hAnsi="Calibri"/>
                <w:b w:val="0"/>
                <w:sz w:val="17"/>
              </w:rPr>
              <w:t>similarity.py, matching_config.json</w:t>
            </w:r>
          </w:p>
        </w:tc>
        <w:tc>
          <w:tcPr>
            <w:tcW w:type="dxa" w:w="2232"/>
            <w:vAlign w:val="center"/>
          </w:tcPr>
          <w:p>
            <w:pPr>
              <w:spacing w:before="0" w:after="0" w:line="252" w:lineRule="auto"/>
              <w:jc w:val="left"/>
            </w:pPr>
            <w:r/>
            <w:r>
              <w:rPr>
                <w:rFonts w:ascii="Calibri" w:hAnsi="Calibri"/>
                <w:b w:val="0"/>
                <w:sz w:val="17"/>
              </w:rPr>
              <w:t>Combines semantic, skill, and domain scores using seniority-aware weights.</w:t>
            </w:r>
          </w:p>
        </w:tc>
        <w:tc>
          <w:tcPr>
            <w:tcW w:type="dxa" w:w="2790"/>
            <w:vAlign w:val="center"/>
          </w:tcPr>
          <w:p>
            <w:pPr>
              <w:spacing w:before="0" w:after="0" w:line="252" w:lineRule="auto"/>
              <w:jc w:val="left"/>
            </w:pPr>
            <w:r/>
            <w:r>
              <w:rPr>
                <w:rFonts w:ascii="Calibri" w:hAnsi="Calibri"/>
                <w:b w:val="0"/>
                <w:sz w:val="17"/>
              </w:rPr>
              <w:t>Produces score breakdown and qualification flag.</w:t>
            </w:r>
          </w:p>
        </w:tc>
      </w:tr>
      <w:tr>
        <w:trPr>
          <w:cantSplit w:val="true"/>
        </w:trPr>
        <w:tc>
          <w:tcPr>
            <w:tcW w:type="dxa" w:w="1674"/>
            <w:vAlign w:val="center"/>
          </w:tcPr>
          <w:p>
            <w:pPr>
              <w:spacing w:before="0" w:after="0" w:line="252" w:lineRule="auto"/>
              <w:jc w:val="center"/>
            </w:pPr>
            <w:r/>
            <w:r>
              <w:rPr>
                <w:rFonts w:ascii="Calibri" w:hAnsi="Calibri"/>
                <w:b w:val="0"/>
                <w:sz w:val="17"/>
              </w:rPr>
              <w:t>Constraint validator</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Applies capped penalties for mandatory gaps, experience gaps, and seniority mismatch.</w:t>
            </w:r>
          </w:p>
        </w:tc>
        <w:tc>
          <w:tcPr>
            <w:tcW w:type="dxa" w:w="2790"/>
            <w:vAlign w:val="center"/>
          </w:tcPr>
          <w:p>
            <w:pPr>
              <w:spacing w:before="0" w:after="0" w:line="252" w:lineRule="auto"/>
              <w:jc w:val="left"/>
            </w:pPr>
            <w:r/>
            <w:r>
              <w:rPr>
                <w:rFonts w:ascii="Calibri" w:hAnsi="Calibri"/>
                <w:b w:val="0"/>
                <w:sz w:val="17"/>
              </w:rPr>
              <w:t>Lists missing mandatory skills and mismatch reasons.</w:t>
            </w:r>
          </w:p>
        </w:tc>
      </w:tr>
      <w:tr>
        <w:trPr>
          <w:cantSplit w:val="true"/>
        </w:trPr>
        <w:tc>
          <w:tcPr>
            <w:tcW w:type="dxa" w:w="1674"/>
            <w:vAlign w:val="center"/>
          </w:tcPr>
          <w:p>
            <w:pPr>
              <w:spacing w:before="0" w:after="0" w:line="252" w:lineRule="auto"/>
              <w:jc w:val="center"/>
            </w:pPr>
            <w:r/>
            <w:r>
              <w:rPr>
                <w:rFonts w:ascii="Calibri" w:hAnsi="Calibri"/>
                <w:b w:val="0"/>
                <w:sz w:val="17"/>
              </w:rPr>
              <w:t>Fit analysis generator</w:t>
            </w:r>
          </w:p>
        </w:tc>
        <w:tc>
          <w:tcPr>
            <w:tcW w:type="dxa" w:w="2604"/>
            <w:vAlign w:val="center"/>
          </w:tcPr>
          <w:p>
            <w:pPr>
              <w:spacing w:before="0" w:after="0" w:line="252" w:lineRule="auto"/>
              <w:jc w:val="left"/>
            </w:pPr>
            <w:r/>
            <w:r>
              <w:rPr>
                <w:rFonts w:ascii="Calibri" w:hAnsi="Calibri"/>
                <w:b w:val="0"/>
                <w:sz w:val="17"/>
              </w:rPr>
              <w:t>fit_analysis_generator.py</w:t>
            </w:r>
          </w:p>
        </w:tc>
        <w:tc>
          <w:tcPr>
            <w:tcW w:type="dxa" w:w="2232"/>
            <w:vAlign w:val="center"/>
          </w:tcPr>
          <w:p>
            <w:pPr>
              <w:spacing w:before="0" w:after="0" w:line="252" w:lineRule="auto"/>
              <w:jc w:val="left"/>
            </w:pPr>
            <w:r/>
            <w:r>
              <w:rPr>
                <w:rFonts w:ascii="Calibri" w:hAnsi="Calibri"/>
                <w:b w:val="0"/>
                <w:sz w:val="17"/>
              </w:rPr>
              <w:t>Converts score ranges into verdict categories.</w:t>
            </w:r>
          </w:p>
        </w:tc>
        <w:tc>
          <w:tcPr>
            <w:tcW w:type="dxa" w:w="2790"/>
            <w:vAlign w:val="center"/>
          </w:tcPr>
          <w:p>
            <w:pPr>
              <w:spacing w:before="0" w:after="0" w:line="252" w:lineRule="auto"/>
              <w:jc w:val="left"/>
            </w:pPr>
            <w:r/>
            <w:r>
              <w:rPr>
                <w:rFonts w:ascii="Calibri" w:hAnsi="Calibri"/>
                <w:b w:val="0"/>
                <w:sz w:val="17"/>
              </w:rPr>
              <w:t>Generates strengths, gaps, and red flags for the UI.</w:t>
            </w:r>
          </w:p>
        </w:tc>
      </w:tr>
      <w:tr>
        <w:trPr>
          <w:cantSplit w:val="true"/>
        </w:trPr>
        <w:tc>
          <w:tcPr>
            <w:tcW w:type="dxa" w:w="1674"/>
            <w:vAlign w:val="center"/>
          </w:tcPr>
          <w:p>
            <w:pPr>
              <w:spacing w:before="0" w:after="0" w:line="252" w:lineRule="auto"/>
              <w:jc w:val="center"/>
            </w:pPr>
            <w:r/>
            <w:r>
              <w:rPr>
                <w:rFonts w:ascii="Calibri" w:hAnsi="Calibri"/>
                <w:b w:val="0"/>
                <w:sz w:val="17"/>
              </w:rPr>
              <w:t>Ranking orchestrator</w:t>
            </w:r>
          </w:p>
        </w:tc>
        <w:tc>
          <w:tcPr>
            <w:tcW w:type="dxa" w:w="2604"/>
            <w:vAlign w:val="center"/>
          </w:tcPr>
          <w:p>
            <w:pPr>
              <w:spacing w:before="0" w:after="0" w:line="252" w:lineRule="auto"/>
              <w:jc w:val="left"/>
            </w:pPr>
            <w:r/>
            <w:r>
              <w:rPr>
                <w:rFonts w:ascii="Calibri" w:hAnsi="Calibri"/>
                <w:b w:val="0"/>
                <w:sz w:val="17"/>
              </w:rPr>
              <w:t>ranking_orchestrator.py</w:t>
            </w:r>
          </w:p>
        </w:tc>
        <w:tc>
          <w:tcPr>
            <w:tcW w:type="dxa" w:w="2232"/>
            <w:vAlign w:val="center"/>
          </w:tcPr>
          <w:p>
            <w:pPr>
              <w:spacing w:before="0" w:after="0" w:line="252" w:lineRule="auto"/>
              <w:jc w:val="left"/>
            </w:pPr>
            <w:r/>
            <w:r>
              <w:rPr>
                <w:rFonts w:ascii="Calibri" w:hAnsi="Calibri"/>
                <w:b w:val="0"/>
                <w:sz w:val="17"/>
              </w:rPr>
              <w:t>Applies matcher repeatedly across candidates/jobs.</w:t>
            </w:r>
          </w:p>
        </w:tc>
        <w:tc>
          <w:tcPr>
            <w:tcW w:type="dxa" w:w="2790"/>
            <w:vAlign w:val="center"/>
          </w:tcPr>
          <w:p>
            <w:pPr>
              <w:spacing w:before="0" w:after="0" w:line="252" w:lineRule="auto"/>
              <w:jc w:val="left"/>
            </w:pPr>
            <w:r/>
            <w:r>
              <w:rPr>
                <w:rFonts w:ascii="Calibri" w:hAnsi="Calibri"/>
                <w:b w:val="0"/>
                <w:sz w:val="17"/>
              </w:rPr>
              <w:t>Sorts candidates or opportunities by explainable fit.</w:t>
            </w:r>
          </w:p>
        </w:tc>
      </w:tr>
    </w:tbl>
    <w:p>
      <w:pPr>
        <w:spacing w:after="80"/>
      </w:pPr>
    </w:p>
    <w:p>
      <w:bookmarkStart w:id="2055571726" w:name="bm_table_12"/>
      <w:pPr>
        <w:jc w:val="center"/>
      </w:pPr>
      <w:r>
        <w:rPr>
          <w:i/>
        </w:rPr>
        <w:t>Table 12. Layer 3 matching engine details.</w:t>
      </w:r>
      <w:bookmarkEnd w:id="2055571726"/>
    </w:p>
    <w:p>
      <w:bookmarkStart w:id="1118560487" w:name="bm_5_5_8_semantic_embedding_caching_and_tf_idf_fallback"/>
      <w:pPr>
        <w:pStyle w:val="Heading3"/>
        <w:keepNext/>
      </w:pPr>
      <w:r>
        <w:t>5.5.8 Semantic Embedding, Caching, and TF-IDF Fallback</w:t>
      </w:r>
      <w:bookmarkEnd w:id="1118560487"/>
    </w:p>
    <w:p>
      <w:r>
        <w:t>The semantic embedder uses the configured sentence-transformer model name, with all-MiniLM-L6-v2 as the default. The class is implemented as a singleton so that model loading is not repeated for every request. It keeps a bounded embedding cache of 2,000 entries and can optionally apply dynamic quantization through EMBEDDER_QUANTIZE. If the embedding stack is unavailable, it returns zero vectors and the calling code falls back to transparent lower-confidence behavior instead of pretending semantic comparison succeeded.</w:t>
      </w:r>
    </w:p>
    <w:p>
      <w:r>
        <w:t>The FastAPI /api/hybrid-match endpoint also combines semantic-style matching with the pure Python TF-IDF matcher when the TF-IDF module is importable. In that endpoint, semantic/adaptive scoring contributes 60 percent and TF-IDF contributes 40 percent. This gives the demo a useful exact-keyword safety check for skills such as Laravel, Docker, MySQL, React, AWS, or Kubernetes.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Method</w:t>
            </w:r>
          </w:p>
        </w:tc>
        <w:tc>
          <w:tcPr>
            <w:tcW w:type="dxa" w:w="2604"/>
            <w:vAlign w:val="center"/>
            <w:shd w:fill="D9EAF7"/>
          </w:tcPr>
          <w:p>
            <w:pPr>
              <w:spacing w:before="0" w:after="0" w:line="252" w:lineRule="auto"/>
              <w:jc w:val="left"/>
            </w:pPr>
            <w:r/>
            <w:r>
              <w:rPr>
                <w:rFonts w:ascii="Calibri" w:hAnsi="Calibri"/>
                <w:b/>
                <w:sz w:val="17"/>
              </w:rPr>
              <w:t>Repository Evidence</w:t>
            </w:r>
          </w:p>
        </w:tc>
        <w:tc>
          <w:tcPr>
            <w:tcW w:type="dxa" w:w="2232"/>
            <w:vAlign w:val="center"/>
            <w:shd w:fill="D9EAF7"/>
          </w:tcPr>
          <w:p>
            <w:pPr>
              <w:spacing w:before="0" w:after="0" w:line="252" w:lineRule="auto"/>
              <w:jc w:val="left"/>
            </w:pPr>
            <w:r/>
            <w:r>
              <w:rPr>
                <w:rFonts w:ascii="Calibri" w:hAnsi="Calibri"/>
                <w:b/>
                <w:sz w:val="17"/>
              </w:rPr>
              <w:t>Strength</w:t>
            </w:r>
          </w:p>
        </w:tc>
        <w:tc>
          <w:tcPr>
            <w:tcW w:type="dxa" w:w="2790"/>
            <w:vAlign w:val="center"/>
            <w:shd w:fill="D9EAF7"/>
          </w:tcPr>
          <w:p>
            <w:pPr>
              <w:spacing w:before="0" w:after="0" w:line="252" w:lineRule="auto"/>
              <w:jc w:val="left"/>
            </w:pPr>
            <w:r/>
            <w:r>
              <w:rPr>
                <w:rFonts w:ascii="Calibri" w:hAnsi="Calibri"/>
                <w:b/>
                <w:sz w:val="17"/>
              </w:rPr>
              <w:t>Limitation</w:t>
            </w:r>
          </w:p>
        </w:tc>
      </w:tr>
      <w:tr>
        <w:trPr>
          <w:cantSplit w:val="true"/>
        </w:trPr>
        <w:tc>
          <w:tcPr>
            <w:tcW w:type="dxa" w:w="1674"/>
            <w:vAlign w:val="center"/>
          </w:tcPr>
          <w:p>
            <w:pPr>
              <w:spacing w:before="0" w:after="0" w:line="252" w:lineRule="auto"/>
              <w:jc w:val="center"/>
            </w:pPr>
            <w:r/>
            <w:r>
              <w:rPr>
                <w:rFonts w:ascii="Calibri" w:hAnsi="Calibri"/>
                <w:b w:val="0"/>
                <w:sz w:val="17"/>
              </w:rPr>
              <w:t>Sentence embeddings</w:t>
            </w:r>
          </w:p>
        </w:tc>
        <w:tc>
          <w:tcPr>
            <w:tcW w:type="dxa" w:w="2604"/>
            <w:vAlign w:val="center"/>
          </w:tcPr>
          <w:p>
            <w:pPr>
              <w:spacing w:before="0" w:after="0" w:line="252" w:lineRule="auto"/>
              <w:jc w:val="left"/>
            </w:pPr>
            <w:r/>
            <w:r>
              <w:rPr>
                <w:rFonts w:ascii="Calibri" w:hAnsi="Calibri"/>
                <w:b w:val="0"/>
                <w:sz w:val="17"/>
              </w:rPr>
              <w:t>layer3/embedder.py</w:t>
            </w:r>
          </w:p>
        </w:tc>
        <w:tc>
          <w:tcPr>
            <w:tcW w:type="dxa" w:w="2232"/>
            <w:vAlign w:val="center"/>
          </w:tcPr>
          <w:p>
            <w:pPr>
              <w:spacing w:before="0" w:after="0" w:line="252" w:lineRule="auto"/>
              <w:jc w:val="left"/>
            </w:pPr>
            <w:r/>
            <w:r>
              <w:rPr>
                <w:rFonts w:ascii="Calibri" w:hAnsi="Calibri"/>
                <w:b w:val="0"/>
                <w:sz w:val="17"/>
              </w:rPr>
              <w:t>Captures meaning even when words differ.</w:t>
            </w:r>
          </w:p>
        </w:tc>
        <w:tc>
          <w:tcPr>
            <w:tcW w:type="dxa" w:w="2790"/>
            <w:vAlign w:val="center"/>
          </w:tcPr>
          <w:p>
            <w:pPr>
              <w:spacing w:before="0" w:after="0" w:line="252" w:lineRule="auto"/>
              <w:jc w:val="left"/>
            </w:pPr>
            <w:r/>
            <w:r>
              <w:rPr>
                <w:rFonts w:ascii="Calibri" w:hAnsi="Calibri"/>
                <w:b w:val="0"/>
                <w:sz w:val="17"/>
              </w:rPr>
              <w:t>Requires sentence-transformer dependencies and model loading.</w:t>
            </w:r>
          </w:p>
        </w:tc>
      </w:tr>
      <w:tr>
        <w:trPr>
          <w:cantSplit w:val="true"/>
        </w:trPr>
        <w:tc>
          <w:tcPr>
            <w:tcW w:type="dxa" w:w="1674"/>
            <w:vAlign w:val="center"/>
          </w:tcPr>
          <w:p>
            <w:pPr>
              <w:spacing w:before="0" w:after="0" w:line="252" w:lineRule="auto"/>
              <w:jc w:val="center"/>
            </w:pPr>
            <w:r/>
            <w:r>
              <w:rPr>
                <w:rFonts w:ascii="Calibri" w:hAnsi="Calibri"/>
                <w:b w:val="0"/>
                <w:sz w:val="17"/>
              </w:rPr>
              <w:t>Domain similarity</w:t>
            </w:r>
          </w:p>
        </w:tc>
        <w:tc>
          <w:tcPr>
            <w:tcW w:type="dxa" w:w="2604"/>
            <w:vAlign w:val="center"/>
          </w:tcPr>
          <w:p>
            <w:pPr>
              <w:spacing w:before="0" w:after="0" w:line="252" w:lineRule="auto"/>
              <w:jc w:val="left"/>
            </w:pPr>
            <w:r/>
            <w:r>
              <w:rPr>
                <w:rFonts w:ascii="Calibri" w:hAnsi="Calibri"/>
                <w:b w:val="0"/>
                <w:sz w:val="17"/>
              </w:rPr>
              <w:t>layer3/similarity.py</w:t>
            </w:r>
          </w:p>
        </w:tc>
        <w:tc>
          <w:tcPr>
            <w:tcW w:type="dxa" w:w="2232"/>
            <w:vAlign w:val="center"/>
          </w:tcPr>
          <w:p>
            <w:pPr>
              <w:spacing w:before="0" w:after="0" w:line="252" w:lineRule="auto"/>
              <w:jc w:val="left"/>
            </w:pPr>
            <w:r/>
            <w:r>
              <w:rPr>
                <w:rFonts w:ascii="Calibri" w:hAnsi="Calibri"/>
                <w:b w:val="0"/>
                <w:sz w:val="17"/>
              </w:rPr>
              <w:t>Allows related domains to receive partial credit.</w:t>
            </w:r>
          </w:p>
        </w:tc>
        <w:tc>
          <w:tcPr>
            <w:tcW w:type="dxa" w:w="2790"/>
            <w:vAlign w:val="center"/>
          </w:tcPr>
          <w:p>
            <w:pPr>
              <w:spacing w:before="0" w:after="0" w:line="252" w:lineRule="auto"/>
              <w:jc w:val="left"/>
            </w:pPr>
            <w:r/>
            <w:r>
              <w:rPr>
                <w:rFonts w:ascii="Calibri" w:hAnsi="Calibri"/>
                <w:b w:val="0"/>
                <w:sz w:val="17"/>
              </w:rPr>
              <w:t>Low domain similarity is cut off below the configured threshold.</w:t>
            </w:r>
          </w:p>
        </w:tc>
      </w:tr>
      <w:tr>
        <w:trPr>
          <w:cantSplit w:val="true"/>
        </w:trPr>
        <w:tc>
          <w:tcPr>
            <w:tcW w:type="dxa" w:w="1674"/>
            <w:vAlign w:val="center"/>
          </w:tcPr>
          <w:p>
            <w:pPr>
              <w:spacing w:before="0" w:after="0" w:line="252" w:lineRule="auto"/>
              <w:jc w:val="center"/>
            </w:pPr>
            <w:r/>
            <w:r>
              <w:rPr>
                <w:rFonts w:ascii="Calibri" w:hAnsi="Calibri"/>
                <w:b w:val="0"/>
                <w:sz w:val="17"/>
              </w:rPr>
              <w:t>Skill text similarity</w:t>
            </w:r>
          </w:p>
        </w:tc>
        <w:tc>
          <w:tcPr>
            <w:tcW w:type="dxa" w:w="2604"/>
            <w:vAlign w:val="center"/>
          </w:tcPr>
          <w:p>
            <w:pPr>
              <w:spacing w:before="0" w:after="0" w:line="252" w:lineRule="auto"/>
              <w:jc w:val="left"/>
            </w:pPr>
            <w:r/>
            <w:r>
              <w:rPr>
                <w:rFonts w:ascii="Calibri" w:hAnsi="Calibri"/>
                <w:b w:val="0"/>
                <w:sz w:val="17"/>
              </w:rPr>
              <w:t>layer3/similarity.py</w:t>
            </w:r>
          </w:p>
        </w:tc>
        <w:tc>
          <w:tcPr>
            <w:tcW w:type="dxa" w:w="2232"/>
            <w:vAlign w:val="center"/>
          </w:tcPr>
          <w:p>
            <w:pPr>
              <w:spacing w:before="0" w:after="0" w:line="252" w:lineRule="auto"/>
              <w:jc w:val="left"/>
            </w:pPr>
            <w:r/>
            <w:r>
              <w:rPr>
                <w:rFonts w:ascii="Calibri" w:hAnsi="Calibri"/>
                <w:b w:val="0"/>
                <w:sz w:val="17"/>
              </w:rPr>
              <w:t>Compares extracted CV skills against mandatory and bonus job skills.</w:t>
            </w:r>
          </w:p>
        </w:tc>
        <w:tc>
          <w:tcPr>
            <w:tcW w:type="dxa" w:w="2790"/>
            <w:vAlign w:val="center"/>
          </w:tcPr>
          <w:p>
            <w:pPr>
              <w:spacing w:before="0" w:after="0" w:line="252" w:lineRule="auto"/>
              <w:jc w:val="left"/>
            </w:pPr>
            <w:r/>
            <w:r>
              <w:rPr>
                <w:rFonts w:ascii="Calibri" w:hAnsi="Calibri"/>
                <w:b w:val="0"/>
                <w:sz w:val="17"/>
              </w:rPr>
              <w:t>Quality depends on upstream extraction and canonicalization.</w:t>
            </w:r>
          </w:p>
        </w:tc>
      </w:tr>
      <w:tr>
        <w:trPr>
          <w:cantSplit w:val="true"/>
        </w:trPr>
        <w:tc>
          <w:tcPr>
            <w:tcW w:type="dxa" w:w="1674"/>
            <w:vAlign w:val="center"/>
          </w:tcPr>
          <w:p>
            <w:pPr>
              <w:spacing w:before="0" w:after="0" w:line="252" w:lineRule="auto"/>
              <w:jc w:val="center"/>
            </w:pPr>
            <w:r/>
            <w:r>
              <w:rPr>
                <w:rFonts w:ascii="Calibri" w:hAnsi="Calibri"/>
                <w:b w:val="0"/>
                <w:sz w:val="17"/>
              </w:rPr>
              <w:t>TF-IDF fallback</w:t>
            </w:r>
          </w:p>
        </w:tc>
        <w:tc>
          <w:tcPr>
            <w:tcW w:type="dxa" w:w="2604"/>
            <w:vAlign w:val="center"/>
          </w:tcPr>
          <w:p>
            <w:pPr>
              <w:spacing w:before="0" w:after="0" w:line="252" w:lineRule="auto"/>
              <w:jc w:val="left"/>
            </w:pPr>
            <w:r/>
            <w:r>
              <w:rPr>
                <w:rFonts w:ascii="Calibri" w:hAnsi="Calibri"/>
                <w:b w:val="0"/>
                <w:sz w:val="17"/>
              </w:rPr>
              <w:t>layer3/tfidf.py, /api/hybrid-match</w:t>
            </w:r>
          </w:p>
        </w:tc>
        <w:tc>
          <w:tcPr>
            <w:tcW w:type="dxa" w:w="2232"/>
            <w:vAlign w:val="center"/>
          </w:tcPr>
          <w:p>
            <w:pPr>
              <w:spacing w:before="0" w:after="0" w:line="252" w:lineRule="auto"/>
              <w:jc w:val="left"/>
            </w:pPr>
            <w:r/>
            <w:r>
              <w:rPr>
                <w:rFonts w:ascii="Calibri" w:hAnsi="Calibri"/>
                <w:b w:val="0"/>
                <w:sz w:val="17"/>
              </w:rPr>
              <w:t>Lightweight deterministic keyword overlap.</w:t>
            </w:r>
          </w:p>
        </w:tc>
        <w:tc>
          <w:tcPr>
            <w:tcW w:type="dxa" w:w="2790"/>
            <w:vAlign w:val="center"/>
          </w:tcPr>
          <w:p>
            <w:pPr>
              <w:spacing w:before="0" w:after="0" w:line="252" w:lineRule="auto"/>
              <w:jc w:val="left"/>
            </w:pPr>
            <w:r/>
            <w:r>
              <w:rPr>
                <w:rFonts w:ascii="Calibri" w:hAnsi="Calibri"/>
                <w:b w:val="0"/>
                <w:sz w:val="17"/>
              </w:rPr>
              <w:t>Does not understand synonyms or phrase meaning.</w:t>
            </w:r>
          </w:p>
        </w:tc>
      </w:tr>
      <w:tr>
        <w:trPr>
          <w:cantSplit w:val="true"/>
        </w:trPr>
        <w:tc>
          <w:tcPr>
            <w:tcW w:type="dxa" w:w="1674"/>
            <w:vAlign w:val="center"/>
          </w:tcPr>
          <w:p>
            <w:pPr>
              <w:spacing w:before="0" w:after="0" w:line="252" w:lineRule="auto"/>
              <w:jc w:val="center"/>
            </w:pPr>
            <w:r/>
            <w:r>
              <w:rPr>
                <w:rFonts w:ascii="Calibri" w:hAnsi="Calibri"/>
                <w:b w:val="0"/>
                <w:sz w:val="17"/>
              </w:rPr>
              <w:t>Constraint penalties</w:t>
            </w:r>
          </w:p>
        </w:tc>
        <w:tc>
          <w:tcPr>
            <w:tcW w:type="dxa" w:w="2604"/>
            <w:vAlign w:val="center"/>
          </w:tcPr>
          <w:p>
            <w:pPr>
              <w:spacing w:before="0" w:after="0" w:line="252" w:lineRule="auto"/>
              <w:jc w:val="left"/>
            </w:pPr>
            <w:r/>
            <w:r>
              <w:rPr>
                <w:rFonts w:ascii="Calibri" w:hAnsi="Calibri"/>
                <w:b w:val="0"/>
                <w:sz w:val="17"/>
              </w:rPr>
              <w:t>constraint_validator.py</w:t>
            </w:r>
          </w:p>
        </w:tc>
        <w:tc>
          <w:tcPr>
            <w:tcW w:type="dxa" w:w="2232"/>
            <w:vAlign w:val="center"/>
          </w:tcPr>
          <w:p>
            <w:pPr>
              <w:spacing w:before="0" w:after="0" w:line="252" w:lineRule="auto"/>
              <w:jc w:val="left"/>
            </w:pPr>
            <w:r/>
            <w:r>
              <w:rPr>
                <w:rFonts w:ascii="Calibri" w:hAnsi="Calibri"/>
                <w:b w:val="0"/>
                <w:sz w:val="17"/>
              </w:rPr>
              <w:t>Prevents high scores when hard requirements are missing.</w:t>
            </w:r>
          </w:p>
        </w:tc>
        <w:tc>
          <w:tcPr>
            <w:tcW w:type="dxa" w:w="2790"/>
            <w:vAlign w:val="center"/>
          </w:tcPr>
          <w:p>
            <w:pPr>
              <w:spacing w:before="0" w:after="0" w:line="252" w:lineRule="auto"/>
              <w:jc w:val="left"/>
            </w:pPr>
            <w:r/>
            <w:r>
              <w:rPr>
                <w:rFonts w:ascii="Calibri" w:hAnsi="Calibri"/>
                <w:b w:val="0"/>
                <w:sz w:val="17"/>
              </w:rPr>
              <w:t>Penalty weights need larger evaluation data for calibration.</w:t>
            </w:r>
          </w:p>
        </w:tc>
      </w:tr>
    </w:tbl>
    <w:p>
      <w:pPr>
        <w:spacing w:after="80"/>
      </w:pPr>
    </w:p>
    <w:p>
      <w:bookmarkStart w:id="1054494396" w:name="bm_table_13"/>
      <w:pPr>
        <w:jc w:val="center"/>
      </w:pPr>
      <w:r>
        <w:rPr>
          <w:i/>
        </w:rPr>
        <w:t>Table 13. Semantic embedding and TF-IDF fallback comparison.</w:t>
      </w:r>
      <w:bookmarkEnd w:id="1054494396"/>
    </w:p>
    <w:p>
      <w:bookmarkStart w:id="658313258" w:name="bm_5_5_9_ner_token_processing_and_bio_tagging"/>
      <w:pPr>
        <w:pStyle w:val="Heading3"/>
        <w:keepNext/>
      </w:pPr>
      <w:r>
        <w:t>5.5.9 NER Token Processing and BIO Tagging</w:t>
      </w:r>
      <w:bookmarkEnd w:id="658313258"/>
    </w:p>
    <w:p>
      <w:r>
        <w:t>The training notebook uses character-span annotations and converts them into token labels. Each text sample is tokenized with offsets; special tokens are assigned -100 so they are ignored by the loss; tokens whose offsets fall inside an entity span are assigned B- or I- labels. The cased BERT tokenizer is appropriate for CV text because names, certificates, role titles, and technology names often rely on capitalization. At runtime, long CV text is chunked with overlap, model predictions are merged, subword prefixes are cleaned, and duplicate/noisy entities are filtered before canonicalization.</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5_ner_token_processing.png"/>
                    <pic:cNvPicPr/>
                  </pic:nvPicPr>
                  <pic:blipFill>
                    <a:blip r:embed="rId32"/>
                    <a:stretch>
                      <a:fillRect/>
                    </a:stretch>
                  </pic:blipFill>
                  <pic:spPr>
                    <a:xfrm>
                      <a:off x="0" y="0"/>
                      <a:ext cx="5577840" cy="3486150"/>
                    </a:xfrm>
                    <a:prstGeom prst="rect"/>
                  </pic:spPr>
                </pic:pic>
              </a:graphicData>
            </a:graphic>
          </wp:inline>
        </w:drawing>
      </w:r>
    </w:p>
    <w:p>
      <w:bookmarkStart w:id="463006656" w:name="bm_figure_15"/>
      <w:pPr>
        <w:jc w:val="center"/>
      </w:pPr>
      <w:r>
        <w:rPr>
          <w:i/>
        </w:rPr>
        <w:t>Figure 15. NER token processing and BIO tagging.</w:t>
      </w:r>
      <w:bookmarkEnd w:id="46300665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Simplified Text Token</w:t>
            </w:r>
          </w:p>
        </w:tc>
        <w:tc>
          <w:tcPr>
            <w:tcW w:type="dxa" w:w="2790"/>
            <w:vAlign w:val="center"/>
            <w:shd w:fill="D9EAF7"/>
          </w:tcPr>
          <w:p>
            <w:pPr>
              <w:spacing w:before="0" w:after="0" w:line="252" w:lineRule="auto"/>
              <w:jc w:val="left"/>
            </w:pPr>
            <w:r/>
            <w:r>
              <w:rPr>
                <w:rFonts w:ascii="Calibri" w:hAnsi="Calibri"/>
                <w:b/>
                <w:sz w:val="17"/>
              </w:rPr>
              <w:t>BIO Label</w:t>
            </w:r>
          </w:p>
        </w:tc>
        <w:tc>
          <w:tcPr>
            <w:tcW w:type="dxa" w:w="4464"/>
            <w:vAlign w:val="center"/>
            <w:shd w:fill="D9EAF7"/>
          </w:tcPr>
          <w:p>
            <w:pPr>
              <w:spacing w:before="0" w:after="0" w:line="252" w:lineRule="auto"/>
              <w:jc w:val="left"/>
            </w:pPr>
            <w:r/>
            <w:r>
              <w:rPr>
                <w:rFonts w:ascii="Calibri" w:hAnsi="Calibri"/>
                <w:b/>
                <w:sz w:val="17"/>
              </w:rPr>
              <w:t>Why It Matters</w:t>
            </w:r>
          </w:p>
        </w:tc>
      </w:tr>
      <w:tr>
        <w:trPr>
          <w:cantSplit w:val="true"/>
        </w:trPr>
        <w:tc>
          <w:tcPr>
            <w:tcW w:type="dxa" w:w="2046"/>
            <w:vAlign w:val="center"/>
          </w:tcPr>
          <w:p>
            <w:pPr>
              <w:spacing w:before="0" w:after="0" w:line="252" w:lineRule="auto"/>
              <w:jc w:val="center"/>
            </w:pPr>
            <w:r/>
            <w:r>
              <w:rPr>
                <w:rFonts w:ascii="Calibri" w:hAnsi="Calibri"/>
                <w:b w:val="0"/>
                <w:sz w:val="17"/>
              </w:rPr>
              <w:t>Experienced</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Ordinary descriptive word, not extracted as an entity.</w:t>
            </w:r>
          </w:p>
        </w:tc>
      </w:tr>
      <w:tr>
        <w:trPr>
          <w:cantSplit w:val="true"/>
        </w:trPr>
        <w:tc>
          <w:tcPr>
            <w:tcW w:type="dxa" w:w="2046"/>
            <w:vAlign w:val="center"/>
          </w:tcPr>
          <w:p>
            <w:pPr>
              <w:spacing w:before="0" w:after="0" w:line="252" w:lineRule="auto"/>
              <w:jc w:val="center"/>
            </w:pPr>
            <w:r/>
            <w:r>
              <w:rPr>
                <w:rFonts w:ascii="Calibri" w:hAnsi="Calibri"/>
                <w:b w:val="0"/>
                <w:sz w:val="17"/>
              </w:rPr>
              <w:t>Backend</w:t>
            </w:r>
          </w:p>
        </w:tc>
        <w:tc>
          <w:tcPr>
            <w:tcW w:type="dxa" w:w="2790"/>
            <w:vAlign w:val="center"/>
          </w:tcPr>
          <w:p>
            <w:pPr>
              <w:spacing w:before="0" w:after="0" w:line="252" w:lineRule="auto"/>
              <w:jc w:val="left"/>
            </w:pPr>
            <w:r/>
            <w:r>
              <w:rPr>
                <w:rFonts w:ascii="Calibri" w:hAnsi="Calibri"/>
                <w:b w:val="0"/>
                <w:sz w:val="17"/>
              </w:rPr>
              <w:t>B-ROLE</w:t>
            </w:r>
          </w:p>
        </w:tc>
        <w:tc>
          <w:tcPr>
            <w:tcW w:type="dxa" w:w="4464"/>
            <w:vAlign w:val="center"/>
          </w:tcPr>
          <w:p>
            <w:pPr>
              <w:spacing w:before="0" w:after="0" w:line="252" w:lineRule="auto"/>
              <w:jc w:val="left"/>
            </w:pPr>
            <w:r/>
            <w:r>
              <w:rPr>
                <w:rFonts w:ascii="Calibri" w:hAnsi="Calibri"/>
                <w:b w:val="0"/>
                <w:sz w:val="17"/>
              </w:rPr>
              <w:t>Start of a role phrase.</w:t>
            </w:r>
          </w:p>
        </w:tc>
      </w:tr>
      <w:tr>
        <w:trPr>
          <w:cantSplit w:val="true"/>
        </w:trPr>
        <w:tc>
          <w:tcPr>
            <w:tcW w:type="dxa" w:w="2046"/>
            <w:vAlign w:val="center"/>
          </w:tcPr>
          <w:p>
            <w:pPr>
              <w:spacing w:before="0" w:after="0" w:line="252" w:lineRule="auto"/>
              <w:jc w:val="center"/>
            </w:pPr>
            <w:r/>
            <w:r>
              <w:rPr>
                <w:rFonts w:ascii="Calibri" w:hAnsi="Calibri"/>
                <w:b w:val="0"/>
                <w:sz w:val="17"/>
              </w:rPr>
              <w:t>Developer</w:t>
            </w:r>
          </w:p>
        </w:tc>
        <w:tc>
          <w:tcPr>
            <w:tcW w:type="dxa" w:w="2790"/>
            <w:vAlign w:val="center"/>
          </w:tcPr>
          <w:p>
            <w:pPr>
              <w:spacing w:before="0" w:after="0" w:line="252" w:lineRule="auto"/>
              <w:jc w:val="left"/>
            </w:pPr>
            <w:r/>
            <w:r>
              <w:rPr>
                <w:rFonts w:ascii="Calibri" w:hAnsi="Calibri"/>
                <w:b w:val="0"/>
                <w:sz w:val="17"/>
              </w:rPr>
              <w:t>I-ROLE</w:t>
            </w:r>
          </w:p>
        </w:tc>
        <w:tc>
          <w:tcPr>
            <w:tcW w:type="dxa" w:w="4464"/>
            <w:vAlign w:val="center"/>
          </w:tcPr>
          <w:p>
            <w:pPr>
              <w:spacing w:before="0" w:after="0" w:line="252" w:lineRule="auto"/>
              <w:jc w:val="left"/>
            </w:pPr>
            <w:r/>
            <w:r>
              <w:rPr>
                <w:rFonts w:ascii="Calibri" w:hAnsi="Calibri"/>
                <w:b w:val="0"/>
                <w:sz w:val="17"/>
              </w:rPr>
              <w:t>Continuation of the role phrase.</w:t>
            </w:r>
          </w:p>
        </w:tc>
      </w:tr>
      <w:tr>
        <w:trPr>
          <w:cantSplit w:val="true"/>
        </w:trPr>
        <w:tc>
          <w:tcPr>
            <w:tcW w:type="dxa" w:w="2046"/>
            <w:vAlign w:val="center"/>
          </w:tcPr>
          <w:p>
            <w:pPr>
              <w:spacing w:before="0" w:after="0" w:line="252" w:lineRule="auto"/>
              <w:jc w:val="center"/>
            </w:pPr>
            <w:r/>
            <w:r>
              <w:rPr>
                <w:rFonts w:ascii="Calibri" w:hAnsi="Calibri"/>
                <w:b w:val="0"/>
                <w:sz w:val="17"/>
              </w:rPr>
              <w:t>with</w:t>
            </w:r>
          </w:p>
        </w:tc>
        <w:tc>
          <w:tcPr>
            <w:tcW w:type="dxa" w:w="2790"/>
            <w:vAlign w:val="center"/>
          </w:tcPr>
          <w:p>
            <w:pPr>
              <w:spacing w:before="0" w:after="0" w:line="252" w:lineRule="auto"/>
              <w:jc w:val="left"/>
            </w:pPr>
            <w:r/>
            <w:r>
              <w:rPr>
                <w:rFonts w:ascii="Calibri" w:hAnsi="Calibri"/>
                <w:b w:val="0"/>
                <w:sz w:val="17"/>
              </w:rPr>
              <w:t>O</w:t>
            </w:r>
          </w:p>
        </w:tc>
        <w:tc>
          <w:tcPr>
            <w:tcW w:type="dxa" w:w="4464"/>
            <w:vAlign w:val="center"/>
          </w:tcPr>
          <w:p>
            <w:pPr>
              <w:spacing w:before="0" w:after="0" w:line="252" w:lineRule="auto"/>
              <w:jc w:val="left"/>
            </w:pPr>
            <w:r/>
            <w:r>
              <w:rPr>
                <w:rFonts w:ascii="Calibri" w:hAnsi="Calibri"/>
                <w:b w:val="0"/>
                <w:sz w:val="17"/>
              </w:rPr>
              <w:t>Connector word.</w:t>
            </w:r>
          </w:p>
        </w:tc>
      </w:tr>
      <w:tr>
        <w:trPr>
          <w:cantSplit w:val="true"/>
        </w:trPr>
        <w:tc>
          <w:tcPr>
            <w:tcW w:type="dxa" w:w="2046"/>
            <w:vAlign w:val="center"/>
          </w:tcPr>
          <w:p>
            <w:pPr>
              <w:spacing w:before="0" w:after="0" w:line="252" w:lineRule="auto"/>
              <w:jc w:val="center"/>
            </w:pPr>
            <w:r/>
            <w:r>
              <w:rPr>
                <w:rFonts w:ascii="Calibri" w:hAnsi="Calibri"/>
                <w:b w:val="0"/>
                <w:sz w:val="17"/>
              </w:rPr>
              <w:t>Laravel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Docker</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r>
        <w:trPr>
          <w:cantSplit w:val="true"/>
        </w:trPr>
        <w:tc>
          <w:tcPr>
            <w:tcW w:type="dxa" w:w="2046"/>
            <w:vAlign w:val="center"/>
          </w:tcPr>
          <w:p>
            <w:pPr>
              <w:spacing w:before="0" w:after="0" w:line="252" w:lineRule="auto"/>
              <w:jc w:val="center"/>
            </w:pPr>
            <w:r/>
            <w:r>
              <w:rPr>
                <w:rFonts w:ascii="Calibri" w:hAnsi="Calibri"/>
                <w:b w:val="0"/>
                <w:sz w:val="17"/>
              </w:rPr>
              <w:t>MySQL</w:t>
            </w:r>
          </w:p>
        </w:tc>
        <w:tc>
          <w:tcPr>
            <w:tcW w:type="dxa" w:w="2790"/>
            <w:vAlign w:val="center"/>
          </w:tcPr>
          <w:p>
            <w:pPr>
              <w:spacing w:before="0" w:after="0" w:line="252" w:lineRule="auto"/>
              <w:jc w:val="left"/>
            </w:pPr>
            <w:r/>
            <w:r>
              <w:rPr>
                <w:rFonts w:ascii="Calibri" w:hAnsi="Calibri"/>
                <w:b w:val="0"/>
                <w:sz w:val="17"/>
              </w:rPr>
              <w:t>B-SKILL</w:t>
            </w:r>
          </w:p>
        </w:tc>
        <w:tc>
          <w:tcPr>
            <w:tcW w:type="dxa" w:w="4464"/>
            <w:vAlign w:val="center"/>
          </w:tcPr>
          <w:p>
            <w:pPr>
              <w:spacing w:before="0" w:after="0" w:line="252" w:lineRule="auto"/>
              <w:jc w:val="left"/>
            </w:pPr>
            <w:r/>
            <w:r>
              <w:rPr>
                <w:rFonts w:ascii="Calibri" w:hAnsi="Calibri"/>
                <w:b w:val="0"/>
                <w:sz w:val="17"/>
              </w:rPr>
              <w:t>Skill entity.</w:t>
            </w:r>
          </w:p>
        </w:tc>
      </w:tr>
    </w:tbl>
    <w:p>
      <w:pPr>
        <w:spacing w:after="80"/>
      </w:pPr>
    </w:p>
    <w:p>
      <w:bookmarkStart w:id="2035273732" w:name="bm_table_14"/>
      <w:pPr>
        <w:jc w:val="center"/>
      </w:pPr>
      <w:r>
        <w:rPr>
          <w:i/>
        </w:rPr>
        <w:t>Table 14. Simplified BIO tagging example.</w:t>
      </w:r>
      <w:bookmarkEnd w:id="2035273732"/>
    </w:p>
    <w:p>
      <w:bookmarkStart w:id="420528398" w:name="bm_5_5_10_ai_cv_analyzer_source_code_inventory"/>
      <w:pPr>
        <w:pStyle w:val="Heading3"/>
        <w:keepNext/>
      </w:pPr>
      <w:r>
        <w:t>5.5.10 AI CV Analyzer Source Code Inventory</w:t>
      </w:r>
      <w:bookmarkEnd w:id="420528398"/>
    </w:p>
    <w:p>
      <w:r>
        <w:t>The AI CV Analyzer was audited as source code, not only as a running service. The inventory below summarizes the relevant repository areas. Full support notes are stored under docs/graduation-book/model-analysis/.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Representative Files</w:t>
            </w:r>
          </w:p>
        </w:tc>
        <w:tc>
          <w:tcPr>
            <w:tcW w:type="dxa" w:w="4464"/>
            <w:vAlign w:val="center"/>
            <w:shd w:fill="D9EAF7"/>
          </w:tcPr>
          <w:p>
            <w:pPr>
              <w:spacing w:before="0" w:after="0" w:line="252" w:lineRule="auto"/>
              <w:jc w:val="left"/>
            </w:pPr>
            <w:r/>
            <w:r>
              <w:rPr>
                <w:rFonts w:ascii="Calibri" w:hAnsi="Calibri"/>
                <w:b/>
                <w:sz w:val="17"/>
              </w:rPr>
              <w:t>Main Responsibility</w:t>
            </w:r>
          </w:p>
        </w:tc>
      </w:tr>
      <w:tr>
        <w:trPr>
          <w:cantSplit w:val="true"/>
        </w:trPr>
        <w:tc>
          <w:tcPr>
            <w:tcW w:type="dxa" w:w="2046"/>
            <w:vAlign w:val="center"/>
          </w:tcPr>
          <w:p>
            <w:pPr>
              <w:spacing w:before="0" w:after="0" w:line="252" w:lineRule="auto"/>
              <w:jc w:val="center"/>
            </w:pPr>
            <w:r/>
            <w:r>
              <w:rPr>
                <w:rFonts w:ascii="Calibri" w:hAnsi="Calibri"/>
                <w:b w:val="0"/>
                <w:sz w:val="17"/>
              </w:rPr>
              <w:t>FastAPI service</w:t>
            </w:r>
          </w:p>
        </w:tc>
        <w:tc>
          <w:tcPr>
            <w:tcW w:type="dxa" w:w="2790"/>
            <w:vAlign w:val="center"/>
          </w:tcPr>
          <w:p>
            <w:pPr>
              <w:spacing w:before="0" w:after="0" w:line="252" w:lineRule="auto"/>
              <w:jc w:val="left"/>
            </w:pPr>
            <w:r/>
            <w:r>
              <w:rPr>
                <w:rFonts w:ascii="Calibri" w:hAnsi="Calibri"/>
                <w:b w:val="0"/>
                <w:sz w:val="17"/>
              </w:rPr>
              <w:t>main.py, Dockerfile, requirements.txt, .env.example</w:t>
            </w:r>
          </w:p>
        </w:tc>
        <w:tc>
          <w:tcPr>
            <w:tcW w:type="dxa" w:w="4464"/>
            <w:vAlign w:val="center"/>
          </w:tcPr>
          <w:p>
            <w:pPr>
              <w:spacing w:before="0" w:after="0" w:line="252" w:lineRule="auto"/>
              <w:jc w:val="left"/>
            </w:pPr>
            <w:r/>
            <w:r>
              <w:rPr>
                <w:rFonts w:ascii="Calibri" w:hAnsi="Calibri"/>
                <w:b w:val="0"/>
                <w:sz w:val="17"/>
              </w:rPr>
              <w:t>Service startup, endpoints, container runtime, and documented configuration variables.</w:t>
            </w:r>
          </w:p>
        </w:tc>
      </w:tr>
      <w:tr>
        <w:trPr>
          <w:cantSplit w:val="true"/>
        </w:trPr>
        <w:tc>
          <w:tcPr>
            <w:tcW w:type="dxa" w:w="2046"/>
            <w:vAlign w:val="center"/>
          </w:tcPr>
          <w:p>
            <w:pPr>
              <w:spacing w:before="0" w:after="0" w:line="252" w:lineRule="auto"/>
              <w:jc w:val="center"/>
            </w:pPr>
            <w:r/>
            <w:r>
              <w:rPr>
                <w:rFonts w:ascii="Calibri" w:hAnsi="Calibri"/>
                <w:b w:val="0"/>
                <w:sz w:val="17"/>
              </w:rPr>
              <w:t>Layer 1 understanding</w:t>
            </w:r>
          </w:p>
        </w:tc>
        <w:tc>
          <w:tcPr>
            <w:tcW w:type="dxa" w:w="2790"/>
            <w:vAlign w:val="center"/>
          </w:tcPr>
          <w:p>
            <w:pPr>
              <w:spacing w:before="0" w:after="0" w:line="252" w:lineRule="auto"/>
              <w:jc w:val="left"/>
            </w:pPr>
            <w:r/>
            <w:r>
              <w:rPr>
                <w:rFonts w:ascii="Calibri" w:hAnsi="Calibri"/>
                <w:b w:val="0"/>
                <w:sz w:val="17"/>
              </w:rPr>
              <w:t>layer1/*.py, layer1/data/config.json</w:t>
            </w:r>
          </w:p>
        </w:tc>
        <w:tc>
          <w:tcPr>
            <w:tcW w:type="dxa" w:w="4464"/>
            <w:vAlign w:val="center"/>
          </w:tcPr>
          <w:p>
            <w:pPr>
              <w:spacing w:before="0" w:after="0" w:line="252" w:lineRule="auto"/>
              <w:jc w:val="left"/>
            </w:pPr>
            <w:r/>
            <w:r>
              <w:rPr>
                <w:rFonts w:ascii="Calibri" w:hAnsi="Calibri"/>
                <w:b w:val="0"/>
                <w:sz w:val="17"/>
              </w:rPr>
              <w:t>PDF/image text extraction, OCR fallback, sectioning, NER, contact extraction, experience analysis, and canonicalization.</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layer2/*.py, layer2/data/taxonomy.json</w:t>
            </w:r>
          </w:p>
        </w:tc>
        <w:tc>
          <w:tcPr>
            <w:tcW w:type="dxa" w:w="4464"/>
            <w:vAlign w:val="center"/>
          </w:tcPr>
          <w:p>
            <w:pPr>
              <w:spacing w:before="0" w:after="0" w:line="252" w:lineRule="auto"/>
              <w:jc w:val="left"/>
            </w:pPr>
            <w:r/>
            <w:r>
              <w:rPr>
                <w:rFonts w:ascii="Calibri" w:hAnsi="Calibri"/>
                <w:b w:val="0"/>
                <w:sz w:val="17"/>
              </w:rPr>
              <w:t>Domain, seniority, and skill-category enrichment.</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layer3/*.py, layer3/matching_config.json</w:t>
            </w:r>
          </w:p>
        </w:tc>
        <w:tc>
          <w:tcPr>
            <w:tcW w:type="dxa" w:w="4464"/>
            <w:vAlign w:val="center"/>
          </w:tcPr>
          <w:p>
            <w:pPr>
              <w:spacing w:before="0" w:after="0" w:line="252" w:lineRule="auto"/>
              <w:jc w:val="left"/>
            </w:pPr>
            <w:r/>
            <w:r>
              <w:rPr>
                <w:rFonts w:ascii="Calibri" w:hAnsi="Calibri"/>
                <w:b w:val="0"/>
                <w:sz w:val="17"/>
              </w:rPr>
              <w:t>Job parsing, semantic/TF-IDF matching, constraints, fit explanation, and ranking.</w:t>
            </w:r>
          </w:p>
        </w:tc>
      </w:tr>
      <w:tr>
        <w:trPr>
          <w:cantSplit w:val="true"/>
        </w:trPr>
        <w:tc>
          <w:tcPr>
            <w:tcW w:type="dxa" w:w="2046"/>
            <w:vAlign w:val="center"/>
          </w:tcPr>
          <w:p>
            <w:pPr>
              <w:spacing w:before="0" w:after="0" w:line="252" w:lineRule="auto"/>
              <w:jc w:val="center"/>
            </w:pPr>
            <w:r/>
            <w:r>
              <w:rPr>
                <w:rFonts w:ascii="Calibri" w:hAnsi="Calibri"/>
                <w:b w:val="0"/>
                <w:sz w:val="17"/>
              </w:rPr>
              <w:t>Training workflow</w:t>
            </w:r>
          </w:p>
        </w:tc>
        <w:tc>
          <w:tcPr>
            <w:tcW w:type="dxa" w:w="2790"/>
            <w:vAlign w:val="center"/>
          </w:tcPr>
          <w:p>
            <w:pPr>
              <w:spacing w:before="0" w:after="0" w:line="252" w:lineRule="auto"/>
              <w:jc w:val="left"/>
            </w:pPr>
            <w:r/>
            <w:r>
              <w:rPr>
                <w:rFonts w:ascii="Calibri" w:hAnsi="Calibri"/>
                <w:b w:val="0"/>
                <w:sz w:val="17"/>
              </w:rPr>
              <w:t>training/generate_tech_dataset.py, clean_dataset.py, train_ner.ipynb</w:t>
            </w:r>
          </w:p>
        </w:tc>
        <w:tc>
          <w:tcPr>
            <w:tcW w:type="dxa" w:w="4464"/>
            <w:vAlign w:val="center"/>
          </w:tcPr>
          <w:p>
            <w:pPr>
              <w:spacing w:before="0" w:after="0" w:line="252" w:lineRule="auto"/>
              <w:jc w:val="left"/>
            </w:pPr>
            <w:r/>
            <w:r>
              <w:rPr>
                <w:rFonts w:ascii="Calibri" w:hAnsi="Calibri"/>
                <w:b w:val="0"/>
                <w:sz w:val="17"/>
              </w:rPr>
              <w:t>Synthetic labeled dataset generation, cleaning, token alignment, Trainer setup, metrics code, and export.</w:t>
            </w:r>
          </w:p>
        </w:tc>
      </w:tr>
      <w:tr>
        <w:trPr>
          <w:cantSplit w:val="true"/>
        </w:trPr>
        <w:tc>
          <w:tcPr>
            <w:tcW w:type="dxa" w:w="2046"/>
            <w:vAlign w:val="center"/>
          </w:tcPr>
          <w:p>
            <w:pPr>
              <w:spacing w:before="0" w:after="0" w:line="252" w:lineRule="auto"/>
              <w:jc w:val="center"/>
            </w:pPr>
            <w:r/>
            <w:r>
              <w:rPr>
                <w:rFonts w:ascii="Calibri" w:hAnsi="Calibri"/>
                <w:b w:val="0"/>
                <w:sz w:val="17"/>
              </w:rPr>
              <w:t>Diagnostics and tests</w:t>
            </w:r>
          </w:p>
        </w:tc>
        <w:tc>
          <w:tcPr>
            <w:tcW w:type="dxa" w:w="2790"/>
            <w:vAlign w:val="center"/>
          </w:tcPr>
          <w:p>
            <w:pPr>
              <w:spacing w:before="0" w:after="0" w:line="252" w:lineRule="auto"/>
              <w:jc w:val="left"/>
            </w:pPr>
            <w:r/>
            <w:r>
              <w:rPr>
                <w:rFonts w:ascii="Calibri" w:hAnsi="Calibri"/>
                <w:b w:val="0"/>
                <w:sz w:val="17"/>
              </w:rPr>
              <w:t>scripts/verify_phase*.py, tests/test_service_api.py, tests/trace_cv.py, manual tests</w:t>
            </w:r>
          </w:p>
        </w:tc>
        <w:tc>
          <w:tcPr>
            <w:tcW w:type="dxa" w:w="4464"/>
            <w:vAlign w:val="center"/>
          </w:tcPr>
          <w:p>
            <w:pPr>
              <w:spacing w:before="0" w:after="0" w:line="252" w:lineRule="auto"/>
              <w:jc w:val="left"/>
            </w:pPr>
            <w:r/>
            <w:r>
              <w:rPr>
                <w:rFonts w:ascii="Calibri" w:hAnsi="Calibri"/>
                <w:b w:val="0"/>
                <w:sz w:val="17"/>
              </w:rPr>
              <w:t>Phase checks, service API tests with fakes, tracing, and manual validation helpers.</w:t>
            </w:r>
          </w:p>
        </w:tc>
      </w:tr>
      <w:tr>
        <w:trPr>
          <w:cantSplit w:val="true"/>
        </w:trPr>
        <w:tc>
          <w:tcPr>
            <w:tcW w:type="dxa" w:w="2046"/>
            <w:vAlign w:val="center"/>
          </w:tcPr>
          <w:p>
            <w:pPr>
              <w:spacing w:before="0" w:after="0" w:line="252" w:lineRule="auto"/>
              <w:jc w:val="center"/>
            </w:pPr>
            <w:r/>
            <w:r>
              <w:rPr>
                <w:rFonts w:ascii="Calibri" w:hAnsi="Calibri"/>
                <w:b w:val="0"/>
                <w:sz w:val="17"/>
              </w:rPr>
              <w:t>Documentation</w:t>
            </w:r>
          </w:p>
        </w:tc>
        <w:tc>
          <w:tcPr>
            <w:tcW w:type="dxa" w:w="2790"/>
            <w:vAlign w:val="center"/>
          </w:tcPr>
          <w:p>
            <w:pPr>
              <w:spacing w:before="0" w:after="0" w:line="252" w:lineRule="auto"/>
              <w:jc w:val="left"/>
            </w:pPr>
            <w:r/>
            <w:r>
              <w:rPr>
                <w:rFonts w:ascii="Calibri" w:hAnsi="Calibri"/>
                <w:b w:val="0"/>
                <w:sz w:val="17"/>
              </w:rPr>
              <w:t>Layer README and EXPLAIN files</w:t>
            </w:r>
          </w:p>
        </w:tc>
        <w:tc>
          <w:tcPr>
            <w:tcW w:type="dxa" w:w="4464"/>
            <w:vAlign w:val="center"/>
          </w:tcPr>
          <w:p>
            <w:pPr>
              <w:spacing w:before="0" w:after="0" w:line="252" w:lineRule="auto"/>
              <w:jc w:val="left"/>
            </w:pPr>
            <w:r/>
            <w:r>
              <w:rPr>
                <w:rFonts w:ascii="Calibri" w:hAnsi="Calibri"/>
                <w:b w:val="0"/>
                <w:sz w:val="17"/>
              </w:rPr>
              <w:t>Developer explanations for analyzer layers and matching logic.</w:t>
            </w:r>
          </w:p>
        </w:tc>
      </w:tr>
      <w:tr>
        <w:trPr>
          <w:cantSplit w:val="true"/>
        </w:trPr>
        <w:tc>
          <w:tcPr>
            <w:tcW w:type="dxa" w:w="2046"/>
            <w:vAlign w:val="center"/>
          </w:tcPr>
          <w:p>
            <w:pPr>
              <w:spacing w:before="0" w:after="0" w:line="252" w:lineRule="auto"/>
              <w:jc w:val="center"/>
            </w:pPr>
            <w:r/>
            <w:r>
              <w:rPr>
                <w:rFonts w:ascii="Calibri" w:hAnsi="Calibri"/>
                <w:b w:val="0"/>
                <w:sz w:val="17"/>
              </w:rPr>
              <w:t>Ignored deployment assets</w:t>
            </w:r>
          </w:p>
        </w:tc>
        <w:tc>
          <w:tcPr>
            <w:tcW w:type="dxa" w:w="2790"/>
            <w:vAlign w:val="center"/>
          </w:tcPr>
          <w:p>
            <w:pPr>
              <w:spacing w:before="0" w:after="0" w:line="252" w:lineRule="auto"/>
              <w:jc w:val="left"/>
            </w:pPr>
            <w:r/>
            <w:r>
              <w:rPr>
                <w:rFonts w:ascii="Calibri" w:hAnsi="Calibri"/>
                <w:b w:val="0"/>
                <w:sz w:val="17"/>
              </w:rPr>
              <w:t>.env, models/ner_weights/...</w:t>
            </w:r>
          </w:p>
        </w:tc>
        <w:tc>
          <w:tcPr>
            <w:tcW w:type="dxa" w:w="4464"/>
            <w:vAlign w:val="center"/>
          </w:tcPr>
          <w:p>
            <w:pPr>
              <w:spacing w:before="0" w:after="0" w:line="252" w:lineRule="auto"/>
              <w:jc w:val="left"/>
            </w:pPr>
            <w:r/>
            <w:r>
              <w:rPr>
                <w:rFonts w:ascii="Calibri" w:hAnsi="Calibri"/>
                <w:b w:val="0"/>
                <w:sz w:val="17"/>
              </w:rPr>
              <w:t>Local secrets and model weights are intentionally ignored; only safe metadata was inspected locally.</w:t>
            </w:r>
          </w:p>
        </w:tc>
      </w:tr>
    </w:tbl>
    <w:p>
      <w:pPr>
        <w:spacing w:after="80"/>
      </w:pPr>
    </w:p>
    <w:p>
      <w:bookmarkStart w:id="1887443741" w:name="bm_table_15"/>
      <w:pPr>
        <w:jc w:val="center"/>
      </w:pPr>
      <w:r>
        <w:rPr>
          <w:i/>
        </w:rPr>
        <w:t>Table 15. AI CV Analyzer source inventory summary.</w:t>
      </w:r>
      <w:bookmarkEnd w:id="18874437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Algorithm or Workflow</w:t>
            </w:r>
          </w:p>
        </w:tc>
        <w:tc>
          <w:tcPr>
            <w:tcW w:type="dxa" w:w="2790"/>
            <w:vAlign w:val="center"/>
            <w:shd w:fill="D9EAF7"/>
          </w:tcPr>
          <w:p>
            <w:pPr>
              <w:spacing w:before="0" w:after="0" w:line="252" w:lineRule="auto"/>
              <w:jc w:val="left"/>
            </w:pPr>
            <w:r/>
            <w:r>
              <w:rPr>
                <w:rFonts w:ascii="Calibri" w:hAnsi="Calibri"/>
                <w:b/>
                <w:sz w:val="17"/>
              </w:rPr>
              <w:t>Primary File(s)</w:t>
            </w:r>
          </w:p>
        </w:tc>
        <w:tc>
          <w:tcPr>
            <w:tcW w:type="dxa" w:w="4464"/>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Parse-CV request routing</w:t>
            </w:r>
          </w:p>
        </w:tc>
        <w:tc>
          <w:tcPr>
            <w:tcW w:type="dxa" w:w="2790"/>
            <w:vAlign w:val="center"/>
          </w:tcPr>
          <w:p>
            <w:pPr>
              <w:spacing w:before="0" w:after="0" w:line="252" w:lineRule="auto"/>
              <w:jc w:val="left"/>
            </w:pPr>
            <w:r/>
            <w:r>
              <w:rPr>
                <w:rFonts w:ascii="Calibri" w:hAnsi="Calibri"/>
                <w:b w:val="0"/>
                <w:sz w:val="17"/>
              </w:rPr>
              <w:t>main.py</w:t>
            </w:r>
          </w:p>
        </w:tc>
        <w:tc>
          <w:tcPr>
            <w:tcW w:type="dxa" w:w="4464"/>
            <w:vAlign w:val="center"/>
          </w:tcPr>
          <w:p>
            <w:pPr>
              <w:spacing w:before="0" w:after="0" w:line="252" w:lineRule="auto"/>
              <w:jc w:val="left"/>
            </w:pPr>
            <w:r/>
            <w:r>
              <w:rPr>
                <w:rFonts w:ascii="Calibri" w:hAnsi="Calibri"/>
                <w:b w:val="0"/>
                <w:sz w:val="17"/>
              </w:rPr>
              <w:t>File validation, image/PDF branching, timeout and error wrappers.</w:t>
            </w:r>
          </w:p>
        </w:tc>
      </w:tr>
      <w:tr>
        <w:trPr>
          <w:cantSplit w:val="true"/>
        </w:trPr>
        <w:tc>
          <w:tcPr>
            <w:tcW w:type="dxa" w:w="2046"/>
            <w:vAlign w:val="center"/>
          </w:tcPr>
          <w:p>
            <w:pPr>
              <w:spacing w:before="0" w:after="0" w:line="252" w:lineRule="auto"/>
              <w:jc w:val="center"/>
            </w:pPr>
            <w:r/>
            <w:r>
              <w:rPr>
                <w:rFonts w:ascii="Calibri" w:hAnsi="Calibri"/>
                <w:b w:val="0"/>
                <w:sz w:val="17"/>
              </w:rPr>
              <w:t>Ordered PDF extraction</w:t>
            </w:r>
          </w:p>
        </w:tc>
        <w:tc>
          <w:tcPr>
            <w:tcW w:type="dxa" w:w="2790"/>
            <w:vAlign w:val="center"/>
          </w:tcPr>
          <w:p>
            <w:pPr>
              <w:spacing w:before="0" w:after="0" w:line="252" w:lineRule="auto"/>
              <w:jc w:val="left"/>
            </w:pPr>
            <w:r/>
            <w:r>
              <w:rPr>
                <w:rFonts w:ascii="Calibri" w:hAnsi="Calibri"/>
                <w:b w:val="0"/>
                <w:sz w:val="17"/>
              </w:rPr>
              <w:t>layer1/spatial_parser.py</w:t>
            </w:r>
          </w:p>
        </w:tc>
        <w:tc>
          <w:tcPr>
            <w:tcW w:type="dxa" w:w="4464"/>
            <w:vAlign w:val="center"/>
          </w:tcPr>
          <w:p>
            <w:pPr>
              <w:spacing w:before="0" w:after="0" w:line="252" w:lineRule="auto"/>
              <w:jc w:val="left"/>
            </w:pPr>
            <w:r/>
            <w:r>
              <w:rPr>
                <w:rFonts w:ascii="Calibri" w:hAnsi="Calibri"/>
                <w:b w:val="0"/>
                <w:sz w:val="17"/>
              </w:rPr>
              <w:t>Adaptive row/column ordering and dehyphenation.</w:t>
            </w:r>
          </w:p>
        </w:tc>
      </w:tr>
      <w:tr>
        <w:trPr>
          <w:cantSplit w:val="true"/>
        </w:trPr>
        <w:tc>
          <w:tcPr>
            <w:tcW w:type="dxa" w:w="2046"/>
            <w:vAlign w:val="center"/>
          </w:tcPr>
          <w:p>
            <w:pPr>
              <w:spacing w:before="0" w:after="0" w:line="252" w:lineRule="auto"/>
              <w:jc w:val="center"/>
            </w:pPr>
            <w:r/>
            <w:r>
              <w:rPr>
                <w:rFonts w:ascii="Calibri" w:hAnsi="Calibri"/>
                <w:b w:val="0"/>
                <w:sz w:val="17"/>
              </w:rPr>
              <w:t>OCR fallback</w:t>
            </w:r>
          </w:p>
        </w:tc>
        <w:tc>
          <w:tcPr>
            <w:tcW w:type="dxa" w:w="2790"/>
            <w:vAlign w:val="center"/>
          </w:tcPr>
          <w:p>
            <w:pPr>
              <w:spacing w:before="0" w:after="0" w:line="252" w:lineRule="auto"/>
              <w:jc w:val="left"/>
            </w:pPr>
            <w:r/>
            <w:r>
              <w:rPr>
                <w:rFonts w:ascii="Calibri" w:hAnsi="Calibri"/>
                <w:b w:val="0"/>
                <w:sz w:val="17"/>
              </w:rPr>
              <w:t>layer1/ocr_pipeline.py, CVOrchestrator</w:t>
            </w:r>
          </w:p>
        </w:tc>
        <w:tc>
          <w:tcPr>
            <w:tcW w:type="dxa" w:w="4464"/>
            <w:vAlign w:val="center"/>
          </w:tcPr>
          <w:p>
            <w:pPr>
              <w:spacing w:before="0" w:after="0" w:line="252" w:lineRule="auto"/>
              <w:jc w:val="left"/>
            </w:pPr>
            <w:r/>
            <w:r>
              <w:rPr>
                <w:rFonts w:ascii="Calibri" w:hAnsi="Calibri"/>
                <w:b w:val="0"/>
                <w:sz w:val="17"/>
              </w:rPr>
              <w:t>Used when PDF text is absent or too short.</w:t>
            </w:r>
          </w:p>
        </w:tc>
      </w:tr>
      <w:tr>
        <w:trPr>
          <w:cantSplit w:val="true"/>
        </w:trPr>
        <w:tc>
          <w:tcPr>
            <w:tcW w:type="dxa" w:w="2046"/>
            <w:vAlign w:val="center"/>
          </w:tcPr>
          <w:p>
            <w:pPr>
              <w:spacing w:before="0" w:after="0" w:line="252" w:lineRule="auto"/>
              <w:jc w:val="center"/>
            </w:pPr>
            <w:r/>
            <w:r>
              <w:rPr>
                <w:rFonts w:ascii="Calibri" w:hAnsi="Calibri"/>
                <w:b w:val="0"/>
                <w:sz w:val="17"/>
              </w:rPr>
              <w:t>NER extraction</w:t>
            </w:r>
          </w:p>
        </w:tc>
        <w:tc>
          <w:tcPr>
            <w:tcW w:type="dxa" w:w="2790"/>
            <w:vAlign w:val="center"/>
          </w:tcPr>
          <w:p>
            <w:pPr>
              <w:spacing w:before="0" w:after="0" w:line="252" w:lineRule="auto"/>
              <w:jc w:val="left"/>
            </w:pPr>
            <w:r/>
            <w:r>
              <w:rPr>
                <w:rFonts w:ascii="Calibri" w:hAnsi="Calibri"/>
                <w:b w:val="0"/>
                <w:sz w:val="17"/>
              </w:rPr>
              <w:t>layer1/advanced_ner.py</w:t>
            </w:r>
          </w:p>
        </w:tc>
        <w:tc>
          <w:tcPr>
            <w:tcW w:type="dxa" w:w="4464"/>
            <w:vAlign w:val="center"/>
          </w:tcPr>
          <w:p>
            <w:pPr>
              <w:spacing w:before="0" w:after="0" w:line="252" w:lineRule="auto"/>
              <w:jc w:val="left"/>
            </w:pPr>
            <w:r/>
            <w:r>
              <w:rPr>
                <w:rFonts w:ascii="Calibri" w:hAnsi="Calibri"/>
                <w:b w:val="0"/>
                <w:sz w:val="17"/>
              </w:rPr>
              <w:t>Singleton model loading, chunked inference, entity merging, and cleanup.</w:t>
            </w:r>
          </w:p>
        </w:tc>
      </w:tr>
      <w:tr>
        <w:trPr>
          <w:cantSplit w:val="true"/>
        </w:trPr>
        <w:tc>
          <w:tcPr>
            <w:tcW w:type="dxa" w:w="2046"/>
            <w:vAlign w:val="center"/>
          </w:tcPr>
          <w:p>
            <w:pPr>
              <w:spacing w:before="0" w:after="0" w:line="252" w:lineRule="auto"/>
              <w:jc w:val="center"/>
            </w:pPr>
            <w:r/>
            <w:r>
              <w:rPr>
                <w:rFonts w:ascii="Calibri" w:hAnsi="Calibri"/>
                <w:b w:val="0"/>
                <w:sz w:val="17"/>
              </w:rPr>
              <w:t>Skill normalization</w:t>
            </w:r>
          </w:p>
        </w:tc>
        <w:tc>
          <w:tcPr>
            <w:tcW w:type="dxa" w:w="2790"/>
            <w:vAlign w:val="center"/>
          </w:tcPr>
          <w:p>
            <w:pPr>
              <w:spacing w:before="0" w:after="0" w:line="252" w:lineRule="auto"/>
              <w:jc w:val="left"/>
            </w:pPr>
            <w:r/>
            <w:r>
              <w:rPr>
                <w:rFonts w:ascii="Calibri" w:hAnsi="Calibri"/>
                <w:b w:val="0"/>
                <w:sz w:val="17"/>
              </w:rPr>
              <w:t>layer1/canonicalizer.py</w:t>
            </w:r>
          </w:p>
        </w:tc>
        <w:tc>
          <w:tcPr>
            <w:tcW w:type="dxa" w:w="4464"/>
            <w:vAlign w:val="center"/>
          </w:tcPr>
          <w:p>
            <w:pPr>
              <w:spacing w:before="0" w:after="0" w:line="252" w:lineRule="auto"/>
              <w:jc w:val="left"/>
            </w:pPr>
            <w:r/>
            <w:r>
              <w:rPr>
                <w:rFonts w:ascii="Calibri" w:hAnsi="Calibri"/>
                <w:b w:val="0"/>
                <w:sz w:val="17"/>
              </w:rPr>
              <w:t>Exact, fuzzy, and semantic mapping toward canonical names.</w:t>
            </w:r>
          </w:p>
        </w:tc>
      </w:tr>
      <w:tr>
        <w:trPr>
          <w:cantSplit w:val="true"/>
        </w:trPr>
        <w:tc>
          <w:tcPr>
            <w:tcW w:type="dxa" w:w="2046"/>
            <w:vAlign w:val="center"/>
          </w:tcPr>
          <w:p>
            <w:pPr>
              <w:spacing w:before="0" w:after="0" w:line="252" w:lineRule="auto"/>
              <w:jc w:val="center"/>
            </w:pPr>
            <w:r/>
            <w:r>
              <w:rPr>
                <w:rFonts w:ascii="Calibri" w:hAnsi="Calibri"/>
                <w:b w:val="0"/>
                <w:sz w:val="17"/>
              </w:rPr>
              <w:t>Experience calculation</w:t>
            </w:r>
          </w:p>
        </w:tc>
        <w:tc>
          <w:tcPr>
            <w:tcW w:type="dxa" w:w="2790"/>
            <w:vAlign w:val="center"/>
          </w:tcPr>
          <w:p>
            <w:pPr>
              <w:spacing w:before="0" w:after="0" w:line="252" w:lineRule="auto"/>
              <w:jc w:val="left"/>
            </w:pPr>
            <w:r/>
            <w:r>
              <w:rPr>
                <w:rFonts w:ascii="Calibri" w:hAnsi="Calibri"/>
                <w:b w:val="0"/>
                <w:sz w:val="17"/>
              </w:rPr>
              <w:t>layer1/experience_engine.py</w:t>
            </w:r>
          </w:p>
        </w:tc>
        <w:tc>
          <w:tcPr>
            <w:tcW w:type="dxa" w:w="4464"/>
            <w:vAlign w:val="center"/>
          </w:tcPr>
          <w:p>
            <w:pPr>
              <w:spacing w:before="0" w:after="0" w:line="252" w:lineRule="auto"/>
              <w:jc w:val="left"/>
            </w:pPr>
            <w:r/>
            <w:r>
              <w:rPr>
                <w:rFonts w:ascii="Calibri" w:hAnsi="Calibri"/>
                <w:b w:val="0"/>
                <w:sz w:val="17"/>
              </w:rPr>
              <w:t>Date ranges, total years, skill durations, gaps, overlaps, and action verbs.</w:t>
            </w:r>
          </w:p>
        </w:tc>
      </w:tr>
      <w:tr>
        <w:trPr>
          <w:cantSplit w:val="true"/>
        </w:trPr>
        <w:tc>
          <w:tcPr>
            <w:tcW w:type="dxa" w:w="2046"/>
            <w:vAlign w:val="center"/>
          </w:tcPr>
          <w:p>
            <w:pPr>
              <w:spacing w:before="0" w:after="0" w:line="252" w:lineRule="auto"/>
              <w:jc w:val="center"/>
            </w:pPr>
            <w:r/>
            <w:r>
              <w:rPr>
                <w:rFonts w:ascii="Calibri" w:hAnsi="Calibri"/>
                <w:b w:val="0"/>
                <w:sz w:val="17"/>
              </w:rPr>
              <w:t>Seniority inference</w:t>
            </w:r>
          </w:p>
        </w:tc>
        <w:tc>
          <w:tcPr>
            <w:tcW w:type="dxa" w:w="2790"/>
            <w:vAlign w:val="center"/>
          </w:tcPr>
          <w:p>
            <w:pPr>
              <w:spacing w:before="0" w:after="0" w:line="252" w:lineRule="auto"/>
              <w:jc w:val="left"/>
            </w:pPr>
            <w:r/>
            <w:r>
              <w:rPr>
                <w:rFonts w:ascii="Calibri" w:hAnsi="Calibri"/>
                <w:b w:val="0"/>
                <w:sz w:val="17"/>
              </w:rPr>
              <w:t>layer1/orchestrator.py, layer2/seniority_engine.py</w:t>
            </w:r>
          </w:p>
        </w:tc>
        <w:tc>
          <w:tcPr>
            <w:tcW w:type="dxa" w:w="4464"/>
            <w:vAlign w:val="center"/>
          </w:tcPr>
          <w:p>
            <w:pPr>
              <w:spacing w:before="0" w:after="0" w:line="252" w:lineRule="auto"/>
              <w:jc w:val="left"/>
            </w:pPr>
            <w:r/>
            <w:r>
              <w:rPr>
                <w:rFonts w:ascii="Calibri" w:hAnsi="Calibri"/>
                <w:b w:val="0"/>
                <w:sz w:val="17"/>
              </w:rPr>
              <w:t>Combines title keywords, years, semantic hints, and action verbs.</w:t>
            </w:r>
          </w:p>
        </w:tc>
      </w:tr>
      <w:tr>
        <w:trPr>
          <w:cantSplit w:val="true"/>
        </w:trPr>
        <w:tc>
          <w:tcPr>
            <w:tcW w:type="dxa" w:w="2046"/>
            <w:vAlign w:val="center"/>
          </w:tcPr>
          <w:p>
            <w:pPr>
              <w:spacing w:before="0" w:after="0" w:line="252" w:lineRule="auto"/>
              <w:jc w:val="center"/>
            </w:pPr>
            <w:r/>
            <w:r>
              <w:rPr>
                <w:rFonts w:ascii="Calibri" w:hAnsi="Calibri"/>
                <w:b w:val="0"/>
                <w:sz w:val="17"/>
              </w:rPr>
              <w:t>Domain classification</w:t>
            </w:r>
          </w:p>
        </w:tc>
        <w:tc>
          <w:tcPr>
            <w:tcW w:type="dxa" w:w="2790"/>
            <w:vAlign w:val="center"/>
          </w:tcPr>
          <w:p>
            <w:pPr>
              <w:spacing w:before="0" w:after="0" w:line="252" w:lineRule="auto"/>
              <w:jc w:val="left"/>
            </w:pPr>
            <w:r/>
            <w:r>
              <w:rPr>
                <w:rFonts w:ascii="Calibri" w:hAnsi="Calibri"/>
                <w:b w:val="0"/>
                <w:sz w:val="17"/>
              </w:rPr>
              <w:t>layer2/domain_engine.py</w:t>
            </w:r>
          </w:p>
        </w:tc>
        <w:tc>
          <w:tcPr>
            <w:tcW w:type="dxa" w:w="4464"/>
            <w:vAlign w:val="center"/>
          </w:tcPr>
          <w:p>
            <w:pPr>
              <w:spacing w:before="0" w:after="0" w:line="252" w:lineRule="auto"/>
              <w:jc w:val="left"/>
            </w:pPr>
            <w:r/>
            <w:r>
              <w:rPr>
                <w:rFonts w:ascii="Calibri" w:hAnsi="Calibri"/>
                <w:b w:val="0"/>
                <w:sz w:val="17"/>
              </w:rPr>
              <w:t>Embedding comparison against taxonomy descriptions.</w:t>
            </w:r>
          </w:p>
        </w:tc>
      </w:tr>
      <w:tr>
        <w:trPr>
          <w:cantSplit w:val="true"/>
        </w:trPr>
        <w:tc>
          <w:tcPr>
            <w:tcW w:type="dxa" w:w="2046"/>
            <w:vAlign w:val="center"/>
          </w:tcPr>
          <w:p>
            <w:pPr>
              <w:spacing w:before="0" w:after="0" w:line="252" w:lineRule="auto"/>
              <w:jc w:val="center"/>
            </w:pPr>
            <w:r/>
            <w:r>
              <w:rPr>
                <w:rFonts w:ascii="Calibri" w:hAnsi="Calibri"/>
                <w:b w:val="0"/>
                <w:sz w:val="17"/>
              </w:rPr>
              <w:t>Job parsing</w:t>
            </w:r>
          </w:p>
        </w:tc>
        <w:tc>
          <w:tcPr>
            <w:tcW w:type="dxa" w:w="2790"/>
            <w:vAlign w:val="center"/>
          </w:tcPr>
          <w:p>
            <w:pPr>
              <w:spacing w:before="0" w:after="0" w:line="252" w:lineRule="auto"/>
              <w:jc w:val="left"/>
            </w:pPr>
            <w:r/>
            <w:r>
              <w:rPr>
                <w:rFonts w:ascii="Calibri" w:hAnsi="Calibri"/>
                <w:b w:val="0"/>
                <w:sz w:val="17"/>
              </w:rPr>
              <w:t>layer3/job_description_engine.py</w:t>
            </w:r>
          </w:p>
        </w:tc>
        <w:tc>
          <w:tcPr>
            <w:tcW w:type="dxa" w:w="4464"/>
            <w:vAlign w:val="center"/>
          </w:tcPr>
          <w:p>
            <w:pPr>
              <w:spacing w:before="0" w:after="0" w:line="252" w:lineRule="auto"/>
              <w:jc w:val="left"/>
            </w:pPr>
            <w:r/>
            <w:r>
              <w:rPr>
                <w:rFonts w:ascii="Calibri" w:hAnsi="Calibri"/>
                <w:b w:val="0"/>
                <w:sz w:val="17"/>
              </w:rPr>
              <w:t>Seniority, years, mandatory/bonus skills, domain, and summary extraction.</w:t>
            </w:r>
          </w:p>
        </w:tc>
      </w:tr>
      <w:tr>
        <w:trPr>
          <w:cantSplit w:val="true"/>
        </w:trPr>
        <w:tc>
          <w:tcPr>
            <w:tcW w:type="dxa" w:w="2046"/>
            <w:vAlign w:val="center"/>
          </w:tcPr>
          <w:p>
            <w:pPr>
              <w:spacing w:before="0" w:after="0" w:line="252" w:lineRule="auto"/>
              <w:jc w:val="center"/>
            </w:pPr>
            <w:r/>
            <w:r>
              <w:rPr>
                <w:rFonts w:ascii="Calibri" w:hAnsi="Calibri"/>
                <w:b w:val="0"/>
                <w:sz w:val="17"/>
              </w:rPr>
              <w:t>Hybrid match scoring</w:t>
            </w:r>
          </w:p>
        </w:tc>
        <w:tc>
          <w:tcPr>
            <w:tcW w:type="dxa" w:w="2790"/>
            <w:vAlign w:val="center"/>
          </w:tcPr>
          <w:p>
            <w:pPr>
              <w:spacing w:before="0" w:after="0" w:line="252" w:lineRule="auto"/>
              <w:jc w:val="left"/>
            </w:pPr>
            <w:r/>
            <w:r>
              <w:rPr>
                <w:rFonts w:ascii="Calibri" w:hAnsi="Calibri"/>
                <w:b w:val="0"/>
                <w:sz w:val="17"/>
              </w:rPr>
              <w:t>layer3/similarity.py, layer3/constraint_validator.py</w:t>
            </w:r>
          </w:p>
        </w:tc>
        <w:tc>
          <w:tcPr>
            <w:tcW w:type="dxa" w:w="4464"/>
            <w:vAlign w:val="center"/>
          </w:tcPr>
          <w:p>
            <w:pPr>
              <w:spacing w:before="0" w:after="0" w:line="252" w:lineRule="auto"/>
              <w:jc w:val="left"/>
            </w:pPr>
            <w:r/>
            <w:r>
              <w:rPr>
                <w:rFonts w:ascii="Calibri" w:hAnsi="Calibri"/>
                <w:b w:val="0"/>
                <w:sz w:val="17"/>
              </w:rPr>
              <w:t>Weighted semantic/skill/domain score minus constraint penalties plus bonus boost.</w:t>
            </w:r>
          </w:p>
        </w:tc>
      </w:tr>
      <w:tr>
        <w:trPr>
          <w:cantSplit w:val="true"/>
        </w:trPr>
        <w:tc>
          <w:tcPr>
            <w:tcW w:type="dxa" w:w="2046"/>
            <w:vAlign w:val="center"/>
          </w:tcPr>
          <w:p>
            <w:pPr>
              <w:spacing w:before="0" w:after="0" w:line="252" w:lineRule="auto"/>
              <w:jc w:val="center"/>
            </w:pPr>
            <w:r/>
            <w:r>
              <w:rPr>
                <w:rFonts w:ascii="Calibri" w:hAnsi="Calibri"/>
                <w:b w:val="0"/>
                <w:sz w:val="17"/>
              </w:rPr>
              <w:t>TF-IDF fallback</w:t>
            </w:r>
          </w:p>
        </w:tc>
        <w:tc>
          <w:tcPr>
            <w:tcW w:type="dxa" w:w="2790"/>
            <w:vAlign w:val="center"/>
          </w:tcPr>
          <w:p>
            <w:pPr>
              <w:spacing w:before="0" w:after="0" w:line="252" w:lineRule="auto"/>
              <w:jc w:val="left"/>
            </w:pPr>
            <w:r/>
            <w:r>
              <w:rPr>
                <w:rFonts w:ascii="Calibri" w:hAnsi="Calibri"/>
                <w:b w:val="0"/>
                <w:sz w:val="17"/>
              </w:rPr>
              <w:t>layer3/tfidf.py, main.py</w:t>
            </w:r>
          </w:p>
        </w:tc>
        <w:tc>
          <w:tcPr>
            <w:tcW w:type="dxa" w:w="4464"/>
            <w:vAlign w:val="center"/>
          </w:tcPr>
          <w:p>
            <w:pPr>
              <w:spacing w:before="0" w:after="0" w:line="252" w:lineRule="auto"/>
              <w:jc w:val="left"/>
            </w:pPr>
            <w:r/>
            <w:r>
              <w:rPr>
                <w:rFonts w:ascii="Calibri" w:hAnsi="Calibri"/>
                <w:b w:val="0"/>
                <w:sz w:val="17"/>
              </w:rPr>
              <w:t>Pure Python sparse cosine score used in hybrid endpoint.</w:t>
            </w:r>
          </w:p>
        </w:tc>
      </w:tr>
      <w:tr>
        <w:trPr>
          <w:cantSplit w:val="true"/>
        </w:trPr>
        <w:tc>
          <w:tcPr>
            <w:tcW w:type="dxa" w:w="2046"/>
            <w:vAlign w:val="center"/>
          </w:tcPr>
          <w:p>
            <w:pPr>
              <w:spacing w:before="0" w:after="0" w:line="252" w:lineRule="auto"/>
              <w:jc w:val="center"/>
            </w:pPr>
            <w:r/>
            <w:r>
              <w:rPr>
                <w:rFonts w:ascii="Calibri" w:hAnsi="Calibri"/>
                <w:b w:val="0"/>
                <w:sz w:val="17"/>
              </w:rPr>
              <w:t>Fit explanation</w:t>
            </w:r>
          </w:p>
        </w:tc>
        <w:tc>
          <w:tcPr>
            <w:tcW w:type="dxa" w:w="2790"/>
            <w:vAlign w:val="center"/>
          </w:tcPr>
          <w:p>
            <w:pPr>
              <w:spacing w:before="0" w:after="0" w:line="252" w:lineRule="auto"/>
              <w:jc w:val="left"/>
            </w:pPr>
            <w:r/>
            <w:r>
              <w:rPr>
                <w:rFonts w:ascii="Calibri" w:hAnsi="Calibri"/>
                <w:b w:val="0"/>
                <w:sz w:val="17"/>
              </w:rPr>
              <w:t>layer3/fit_analysis_generator.py</w:t>
            </w:r>
          </w:p>
        </w:tc>
        <w:tc>
          <w:tcPr>
            <w:tcW w:type="dxa" w:w="4464"/>
            <w:vAlign w:val="center"/>
          </w:tcPr>
          <w:p>
            <w:pPr>
              <w:spacing w:before="0" w:after="0" w:line="252" w:lineRule="auto"/>
              <w:jc w:val="left"/>
            </w:pPr>
            <w:r/>
            <w:r>
              <w:rPr>
                <w:rFonts w:ascii="Calibri" w:hAnsi="Calibri"/>
                <w:b w:val="0"/>
                <w:sz w:val="17"/>
              </w:rPr>
              <w:t>Verdict, strengths, gaps, and red flags.</w:t>
            </w:r>
          </w:p>
        </w:tc>
      </w:tr>
      <w:tr>
        <w:trPr>
          <w:cantSplit w:val="true"/>
        </w:trPr>
        <w:tc>
          <w:tcPr>
            <w:tcW w:type="dxa" w:w="2046"/>
            <w:vAlign w:val="center"/>
          </w:tcPr>
          <w:p>
            <w:pPr>
              <w:spacing w:before="0" w:after="0" w:line="252" w:lineRule="auto"/>
              <w:jc w:val="center"/>
            </w:pPr>
            <w:r/>
            <w:r>
              <w:rPr>
                <w:rFonts w:ascii="Calibri" w:hAnsi="Calibri"/>
                <w:b w:val="0"/>
                <w:sz w:val="17"/>
              </w:rPr>
              <w:t>NER training</w:t>
            </w:r>
          </w:p>
        </w:tc>
        <w:tc>
          <w:tcPr>
            <w:tcW w:type="dxa" w:w="2790"/>
            <w:vAlign w:val="center"/>
          </w:tcPr>
          <w:p>
            <w:pPr>
              <w:spacing w:before="0" w:after="0" w:line="252" w:lineRule="auto"/>
              <w:jc w:val="left"/>
            </w:pPr>
            <w:r/>
            <w:r>
              <w:rPr>
                <w:rFonts w:ascii="Calibri" w:hAnsi="Calibri"/>
                <w:b w:val="0"/>
                <w:sz w:val="17"/>
              </w:rPr>
              <w:t>training/train_ner.ipynb</w:t>
            </w:r>
          </w:p>
        </w:tc>
        <w:tc>
          <w:tcPr>
            <w:tcW w:type="dxa" w:w="4464"/>
            <w:vAlign w:val="center"/>
          </w:tcPr>
          <w:p>
            <w:pPr>
              <w:spacing w:before="0" w:after="0" w:line="252" w:lineRule="auto"/>
              <w:jc w:val="left"/>
            </w:pPr>
            <w:r/>
            <w:r>
              <w:rPr>
                <w:rFonts w:ascii="Calibri" w:hAnsi="Calibri"/>
                <w:b w:val="0"/>
                <w:sz w:val="17"/>
              </w:rPr>
              <w:t>BERT base checkpoint, BIO labels, token alignment, Trainer, seqeval metrics.</w:t>
            </w:r>
          </w:p>
        </w:tc>
      </w:tr>
      <w:tr>
        <w:trPr>
          <w:cantSplit w:val="true"/>
        </w:trPr>
        <w:tc>
          <w:tcPr>
            <w:tcW w:type="dxa" w:w="2046"/>
            <w:vAlign w:val="center"/>
          </w:tcPr>
          <w:p>
            <w:pPr>
              <w:spacing w:before="0" w:after="0" w:line="252" w:lineRule="auto"/>
              <w:jc w:val="center"/>
            </w:pPr>
            <w:r/>
            <w:r>
              <w:rPr>
                <w:rFonts w:ascii="Calibri" w:hAnsi="Calibri"/>
                <w:b w:val="0"/>
                <w:sz w:val="17"/>
              </w:rPr>
              <w:t>Synthetic data generation</w:t>
            </w:r>
          </w:p>
        </w:tc>
        <w:tc>
          <w:tcPr>
            <w:tcW w:type="dxa" w:w="2790"/>
            <w:vAlign w:val="center"/>
          </w:tcPr>
          <w:p>
            <w:pPr>
              <w:spacing w:before="0" w:after="0" w:line="252" w:lineRule="auto"/>
              <w:jc w:val="left"/>
            </w:pPr>
            <w:r/>
            <w:r>
              <w:rPr>
                <w:rFonts w:ascii="Calibri" w:hAnsi="Calibri"/>
                <w:b w:val="0"/>
                <w:sz w:val="17"/>
              </w:rPr>
              <w:t>training/generate_tech_dataset.py</w:t>
            </w:r>
          </w:p>
        </w:tc>
        <w:tc>
          <w:tcPr>
            <w:tcW w:type="dxa" w:w="4464"/>
            <w:vAlign w:val="center"/>
          </w:tcPr>
          <w:p>
            <w:pPr>
              <w:spacing w:before="0" w:after="0" w:line="252" w:lineRule="auto"/>
              <w:jc w:val="left"/>
            </w:pPr>
            <w:r/>
            <w:r>
              <w:rPr>
                <w:rFonts w:ascii="Calibri" w:hAnsi="Calibri"/>
                <w:b w:val="0"/>
                <w:sz w:val="17"/>
              </w:rPr>
              <w:t>Gemini-based generation with key rotation and negative decoys.</w:t>
            </w:r>
          </w:p>
        </w:tc>
      </w:tr>
    </w:tbl>
    <w:p>
      <w:pPr>
        <w:spacing w:after="80"/>
      </w:pPr>
    </w:p>
    <w:p>
      <w:bookmarkStart w:id="461272473" w:name="bm_table_16"/>
      <w:pPr>
        <w:jc w:val="center"/>
      </w:pPr>
      <w:r>
        <w:rPr>
          <w:i/>
        </w:rPr>
        <w:t>Table 16. Algorithm-to-file mapping.</w:t>
      </w:r>
      <w:bookmarkEnd w:id="461272473"/>
    </w:p>
    <w:p>
      <w:bookmarkStart w:id="1009824856" w:name="bm_5_6_profile_and_skills_management"/>
      <w:pPr>
        <w:pStyle w:val="Heading2"/>
        <w:keepNext/>
      </w:pPr>
      <w:r>
        <w:t>5.6 Profile and Skills Management</w:t>
      </w:r>
      <w:bookmarkEnd w:id="1009824856"/>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24" name="Picture 24"/>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bookmarkStart w:id="1713677218" w:name="bm_figure_25"/>
      <w:pPr>
        <w:jc w:val="center"/>
      </w:pPr>
      <w:r>
        <w:rPr>
          <w:i/>
        </w:rPr>
        <w:t>Figure 25. Extracted profile and skills page.</w:t>
      </w:r>
      <w:bookmarkEnd w:id="1713677218"/>
    </w:p>
    <w:p>
      <w:bookmarkStart w:id="319734388" w:name="bm_5_7_job_data_model"/>
      <w:pPr>
        <w:pStyle w:val="Heading2"/>
        <w:keepNext/>
      </w:pPr>
      <w:r>
        <w:t>5.7 Job Data Model</w:t>
      </w:r>
      <w:bookmarkEnd w:id="319734388"/>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915323857" w:name="bm_5_8_ai_job_miner_and_scraping_sources"/>
      <w:pPr>
        <w:pStyle w:val="Heading2"/>
        <w:keepNext/>
      </w:pPr>
      <w:r>
        <w:t>5.8 AI Job Miner and Scraping Sources</w:t>
      </w:r>
      <w:bookmarkEnd w:id="1915323857"/>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bookmarkStart w:id="1187676428" w:name="bm_figure_34"/>
      <w:pPr>
        <w:jc w:val="center"/>
      </w:pPr>
      <w:r>
        <w:rPr>
          <w:i/>
        </w:rPr>
        <w:t>Figure 34. Admin sources diagnostics page.</w:t>
      </w:r>
      <w:bookmarkEnd w:id="1187676428"/>
    </w:p>
    <w:p>
      <w:bookmarkStart w:id="1403724626" w:name="bm_5_9_job_recommendations"/>
      <w:pPr>
        <w:pStyle w:val="Heading2"/>
        <w:keepNext/>
      </w:pPr>
      <w:r>
        <w:t>5.9 Job Recommendations</w:t>
      </w:r>
      <w:bookmarkEnd w:id="1403724626"/>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bookmarkStart w:id="1337946205" w:name="bm_figure_26"/>
      <w:pPr>
        <w:jc w:val="center"/>
      </w:pPr>
      <w:r>
        <w:rPr>
          <w:i/>
        </w:rPr>
        <w:t>Figure 26. Jobs recommendations page.</w:t>
      </w:r>
      <w:bookmarkEnd w:id="1337946205"/>
    </w:p>
    <w:p>
      <w:bookmarkStart w:id="185197430" w:name="bm_5_10_gap_analysis"/>
      <w:pPr>
        <w:pStyle w:val="Heading2"/>
        <w:keepNext/>
      </w:pPr>
      <w:r>
        <w:t>5.10 Gap Analysis</w:t>
      </w:r>
      <w:bookmarkEnd w:id="185197430"/>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bookmarkStart w:id="102376785" w:name="bm_figure_28"/>
      <w:pPr>
        <w:jc w:val="center"/>
      </w:pPr>
      <w:r>
        <w:rPr>
          <w:i/>
        </w:rPr>
        <w:t>Figure 28. Gap analysis page.</w:t>
      </w:r>
      <w:bookmarkEnd w:id="102376785"/>
    </w:p>
    <w:p>
      <w:bookmarkStart w:id="189930675" w:name="bm_5_11_application_tracker"/>
      <w:pPr>
        <w:pStyle w:val="Heading2"/>
        <w:keepNext/>
      </w:pPr>
      <w:r>
        <w:t>5.11 Application Tracker</w:t>
      </w:r>
      <w:bookmarkEnd w:id="189930675"/>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bookmarkStart w:id="81672094" w:name="bm_figure_29"/>
      <w:pPr>
        <w:jc w:val="center"/>
      </w:pPr>
      <w:r>
        <w:rPr>
          <w:i/>
        </w:rPr>
        <w:t>Figure 29. Applications tracker page.</w:t>
      </w:r>
      <w:bookmarkEnd w:id="81672094"/>
    </w:p>
    <w:p>
      <w:bookmarkStart w:id="8296055" w:name="bm_5_12_admin_dashboard"/>
      <w:pPr>
        <w:pStyle w:val="Heading2"/>
        <w:keepNext/>
      </w:pPr>
      <w:r>
        <w:t>5.12 Admin Dashboard</w:t>
      </w:r>
      <w:bookmarkEnd w:id="8296055"/>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bookmarkStart w:id="599181731" w:name="bm_figure_32"/>
      <w:pPr>
        <w:jc w:val="center"/>
      </w:pPr>
      <w:r>
        <w:rPr>
          <w:i/>
        </w:rPr>
        <w:t>Figure 32. Admin dashboard.</w:t>
      </w:r>
      <w:bookmarkEnd w:id="599181731"/>
    </w:p>
    <w:p>
      <w:bookmarkStart w:id="430649660" w:name="bm_5_13_admin_source_diagnostics"/>
      <w:pPr>
        <w:pStyle w:val="Heading2"/>
        <w:keepNext/>
      </w:pPr>
      <w:r>
        <w:t>5.13 Admin Source Diagnostics</w:t>
      </w:r>
      <w:bookmarkEnd w:id="430649660"/>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bookmarkStart w:id="223375691" w:name="bm_figure_35"/>
      <w:pPr>
        <w:jc w:val="center"/>
      </w:pPr>
      <w:r>
        <w:rPr>
          <w:i/>
        </w:rPr>
        <w:t>Figure 35. Admin target roles page.</w:t>
      </w:r>
      <w:bookmarkEnd w:id="223375691"/>
    </w:p>
    <w:p>
      <w:bookmarkStart w:id="914362730" w:name="bm_5_14_system_health_and_monitoring"/>
      <w:pPr>
        <w:pStyle w:val="Heading2"/>
        <w:keepNext/>
      </w:pPr>
      <w:r>
        <w:t>5.14 System Health and Monitoring</w:t>
      </w:r>
      <w:bookmarkEnd w:id="914362730"/>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bookmarkStart w:id="822090650" w:name="bm_figure_31"/>
      <w:pPr>
        <w:jc w:val="center"/>
      </w:pPr>
      <w:r>
        <w:rPr>
          <w:i/>
        </w:rPr>
        <w:t>Figure 31. System status page.</w:t>
      </w:r>
      <w:bookmarkEnd w:id="822090650"/>
    </w:p>
    <w:p>
      <w:bookmarkStart w:id="1960258264" w:name="bm_5_15_error_handling_and_fallbacks"/>
      <w:pPr>
        <w:pStyle w:val="Heading2"/>
        <w:keepNext/>
      </w:pPr>
      <w:r>
        <w:t>5.15 Error Handling and Fallbacks</w:t>
      </w:r>
      <w:bookmarkEnd w:id="1960258264"/>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526760965" w:name="bm_5_16_internationalization_and_ui_preview_modules"/>
      <w:pPr>
        <w:pStyle w:val="Heading2"/>
        <w:keepNext/>
      </w:pPr>
      <w:r>
        <w:t>5.16 Internationalization and UI Preview Modules</w:t>
      </w:r>
      <w:bookmarkEnd w:id="1526760965"/>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bookmarkStart w:id="2128705095" w:name="bm_figure_30"/>
      <w:pPr>
        <w:jc w:val="center"/>
      </w:pPr>
      <w:r>
        <w:rPr>
          <w:i/>
        </w:rPr>
        <w:t>Figure 30. Tools Hub preview page.</w:t>
      </w:r>
      <w:bookmarkEnd w:id="2128705095"/>
    </w:p>
    <w:p>
      <w:bookmarkStart w:id="644504814" w:name="bm_5_17_dockerized_runtime_flow"/>
      <w:pPr>
        <w:pStyle w:val="Heading2"/>
        <w:keepNext/>
      </w:pPr>
      <w:r>
        <w:t>5.17 Dockerized Runtime Flow</w:t>
      </w:r>
      <w:bookmarkEnd w:id="644504814"/>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33" name="Picture 33"/>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bookmarkStart w:id="1277228540" w:name="bm_figure_36"/>
      <w:pPr>
        <w:jc w:val="center"/>
      </w:pPr>
      <w:r>
        <w:rPr>
          <w:i/>
        </w:rPr>
        <w:t>Figure 36. Docker services evidence.</w:t>
      </w:r>
      <w:bookmarkEnd w:id="1277228540"/>
    </w:p>
    <w:p>
      <w:r>
        <w:br w:type="page"/>
      </w:r>
    </w:p>
    <w:p>
      <w:bookmarkStart w:id="849950765" w:name="bm_chapter_6_testing_and_evaluation"/>
      <w:pPr>
        <w:pStyle w:val="Heading1"/>
        <w:keepNext/>
      </w:pPr>
      <w:r>
        <w:t>Chapter 6: Testing and Evaluation</w:t>
      </w:r>
      <w:bookmarkEnd w:id="849950765"/>
    </w:p>
    <w:p>
      <w:bookmarkStart w:id="1008405637" w:name="bm_6_1_introduction"/>
      <w:pPr>
        <w:pStyle w:val="Heading2"/>
        <w:keepNext/>
      </w:pPr>
      <w:r>
        <w:t>6.1 Introduction</w:t>
      </w:r>
      <w:bookmarkEnd w:id="1008405637"/>
    </w:p>
    <w:p>
      <w:r>
        <w:t>Evaluation was performed using repository-aware commands and browser evidence. The goal was to verify that each major part of the graduation/demo system runs and to document limitations honestly.</w:t>
      </w:r>
    </w:p>
    <w:p>
      <w:bookmarkStart w:id="1444175904" w:name="bm_6_2_testing_strategy"/>
      <w:pPr>
        <w:pStyle w:val="Heading2"/>
        <w:keepNext/>
      </w:pPr>
      <w:r>
        <w:t>6.2 Testing Strategy</w:t>
      </w:r>
      <w:bookmarkEnd w:id="144417590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11858124" w:name="bm_6_3_backend_testing"/>
      <w:pPr>
        <w:pStyle w:val="Heading2"/>
        <w:keepNext/>
      </w:pPr>
      <w:r>
        <w:t>6.3 Backend Testing</w:t>
      </w:r>
      <w:bookmarkEnd w:id="111858124"/>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228725198" w:name="bm_6_4_frontend_testing"/>
      <w:pPr>
        <w:pStyle w:val="Heading2"/>
        <w:keepNext/>
      </w:pPr>
      <w:r>
        <w:t>6.4 Frontend Testing</w:t>
      </w:r>
      <w:bookmarkEnd w:id="1228725198"/>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1879954666" w:name="bm_6_5_python_services_testing"/>
      <w:pPr>
        <w:pStyle w:val="Heading2"/>
        <w:keepNext/>
      </w:pPr>
      <w:r>
        <w:t>6.5 Python Services Testing</w:t>
      </w:r>
      <w:bookmarkEnd w:id="1879954666"/>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801072656" w:name="bm_6_6_docker_and_integration_testing"/>
      <w:pPr>
        <w:pStyle w:val="Heading2"/>
        <w:keepNext/>
      </w:pPr>
      <w:r>
        <w:t>6.6 Docker and Integration Testing</w:t>
      </w:r>
      <w:bookmarkEnd w:id="801072656"/>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34" name="Picture 34"/>
            <wp:cNvGraphicFramePr>
              <a:graphicFrameLocks noChangeAspect="1"/>
            </wp:cNvGraphicFramePr>
            <a:graphic>
              <a:graphicData uri="http://schemas.openxmlformats.org/drawingml/2006/picture">
                <pic:pic>
                  <pic:nvPicPr>
                    <pic:cNvPr id="0" name="19_validation_summary.png"/>
                    <pic:cNvPicPr/>
                  </pic:nvPicPr>
                  <pic:blipFill>
                    <a:blip r:embed="rId43"/>
                    <a:stretch>
                      <a:fillRect/>
                    </a:stretch>
                  </pic:blipFill>
                  <pic:spPr>
                    <a:xfrm>
                      <a:off x="0" y="0"/>
                      <a:ext cx="5577840" cy="3486150"/>
                    </a:xfrm>
                    <a:prstGeom prst="rect"/>
                  </pic:spPr>
                </pic:pic>
              </a:graphicData>
            </a:graphic>
          </wp:inline>
        </w:drawing>
      </w:r>
    </w:p>
    <w:p>
      <w:bookmarkStart w:id="63277370" w:name="bm_figure_37"/>
      <w:pPr>
        <w:jc w:val="center"/>
      </w:pPr>
      <w:r>
        <w:rPr>
          <w:i/>
        </w:rPr>
        <w:t>Figure 37. Validation command evidence.</w:t>
      </w:r>
      <w:bookmarkEnd w:id="63277370"/>
    </w:p>
    <w:p>
      <w:bookmarkStart w:id="1824055389" w:name="bm_6_7_ci_cd_validation"/>
      <w:pPr>
        <w:pStyle w:val="Heading2"/>
        <w:keepNext/>
      </w:pPr>
      <w:r>
        <w:t>6.7 CI/CD Validation</w:t>
      </w:r>
      <w:bookmarkEnd w:id="1824055389"/>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381656300" w:name="bm_6_8_ai_cv_analyzer_model_evidence"/>
      <w:pPr>
        <w:pStyle w:val="Heading2"/>
        <w:keepNext/>
      </w:pPr>
      <w:r>
        <w:t>6.8 AI CV Analyzer Model Evidence</w:t>
      </w:r>
      <w:bookmarkEnd w:id="381656300"/>
    </w:p>
    <w:p>
      <w:r>
        <w:t>The AI CV Analyzer training workflow was inspected from repository files and helper documentation, but full model training was not executed during this documentation update. The reasons are practical and evidence-based: the generator requires external Gemini API keys, the cleaned training dataset is not committed, the runtime dependencies for transformer inference were not installed in the bundled documentation Python environment, and the notebook is designed for a Colab/T4-style GPU runtime. Therefore, this book documents the architecture, training plan, optional local deployment artifact, and available tests without inventing final model metrics.</w:t>
      </w:r>
    </w:p>
    <w:p>
      <w:r>
        <w:t>The notebook contains metric code for precision, recall, F1, and accuracy through sequence-labeling evaluation, but its code cells do not contain saved outputs. The committed files alone do not provide the final labeled evaluation dataset, final training run log, or model weights. A local ignored artifact folder was present on this workstation and safe metadata was inspected, but model binaries remain outside Git. The mini evaluation below is useful for regression-style demonstration, but it remains synthetic and deterministic rather than a production model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Evidence Item</w:t>
            </w:r>
          </w:p>
        </w:tc>
        <w:tc>
          <w:tcPr>
            <w:tcW w:type="dxa" w:w="2604"/>
            <w:vAlign w:val="center"/>
            <w:shd w:fill="D9EAF7"/>
          </w:tcPr>
          <w:p>
            <w:pPr>
              <w:spacing w:before="0" w:after="0" w:line="252" w:lineRule="auto"/>
              <w:jc w:val="left"/>
            </w:pPr>
            <w:r/>
            <w:r>
              <w:rPr>
                <w:rFonts w:ascii="Calibri" w:hAnsi="Calibri"/>
                <w:b/>
                <w:sz w:val="17"/>
              </w:rPr>
              <w:t>Status</w:t>
            </w:r>
          </w:p>
        </w:tc>
        <w:tc>
          <w:tcPr>
            <w:tcW w:type="dxa" w:w="2232"/>
            <w:vAlign w:val="center"/>
            <w:shd w:fill="D9EAF7"/>
          </w:tcPr>
          <w:p>
            <w:pPr>
              <w:spacing w:before="0" w:after="0" w:line="252" w:lineRule="auto"/>
              <w:jc w:val="left"/>
            </w:pPr>
            <w:r/>
            <w:r>
              <w:rPr>
                <w:rFonts w:ascii="Calibri" w:hAnsi="Calibri"/>
                <w:b/>
                <w:sz w:val="17"/>
              </w:rPr>
              <w:t>What It Proves</w:t>
            </w:r>
          </w:p>
        </w:tc>
        <w:tc>
          <w:tcPr>
            <w:tcW w:type="dxa" w:w="2790"/>
            <w:vAlign w:val="center"/>
            <w:shd w:fill="D9EAF7"/>
          </w:tcPr>
          <w:p>
            <w:pPr>
              <w:spacing w:before="0" w:after="0" w:line="252" w:lineRule="auto"/>
              <w:jc w:val="left"/>
            </w:pPr>
            <w:r/>
            <w:r>
              <w:rPr>
                <w:rFonts w:ascii="Calibri" w:hAnsi="Calibri"/>
                <w:b/>
                <w:sz w:val="17"/>
              </w:rPr>
              <w:t>What It Does Not Prove</w:t>
            </w:r>
          </w:p>
        </w:tc>
      </w:tr>
      <w:tr>
        <w:trPr>
          <w:cantSplit w:val="true"/>
        </w:trPr>
        <w:tc>
          <w:tcPr>
            <w:tcW w:type="dxa" w:w="1674"/>
            <w:vAlign w:val="center"/>
          </w:tcPr>
          <w:p>
            <w:pPr>
              <w:spacing w:before="0" w:after="0" w:line="252" w:lineRule="auto"/>
              <w:jc w:val="center"/>
            </w:pPr>
            <w:r/>
            <w:r>
              <w:rPr>
                <w:rFonts w:ascii="Calibri" w:hAnsi="Calibri"/>
                <w:b w:val="0"/>
                <w:sz w:val="17"/>
              </w:rPr>
              <w:t>Runtime NER artifact path</w:t>
            </w:r>
          </w:p>
        </w:tc>
        <w:tc>
          <w:tcPr>
            <w:tcW w:type="dxa" w:w="2604"/>
            <w:vAlign w:val="center"/>
          </w:tcPr>
          <w:p>
            <w:pPr>
              <w:spacing w:before="0" w:after="0" w:line="252" w:lineRule="auto"/>
              <w:jc w:val="left"/>
            </w:pPr>
            <w:r/>
            <w:r>
              <w:rPr>
                <w:rFonts w:ascii="Calibri" w:hAnsi="Calibri"/>
                <w:b w:val="0"/>
                <w:sz w:val="17"/>
              </w:rPr>
              <w:t>Code checks ai-cv-analyzer/models/ner_weights/career_compass_ner_final; the folder is ignored by Git.</w:t>
            </w:r>
          </w:p>
        </w:tc>
        <w:tc>
          <w:tcPr>
            <w:tcW w:type="dxa" w:w="2232"/>
            <w:vAlign w:val="center"/>
          </w:tcPr>
          <w:p>
            <w:pPr>
              <w:spacing w:before="0" w:after="0" w:line="252" w:lineRule="auto"/>
              <w:jc w:val="left"/>
            </w:pPr>
            <w:r/>
            <w:r>
              <w:rPr>
                <w:rFonts w:ascii="Calibri" w:hAnsi="Calibri"/>
                <w:b w:val="0"/>
                <w:sz w:val="17"/>
              </w:rPr>
              <w:t>The service can load a local token-classification model when deployed.</w:t>
            </w:r>
          </w:p>
        </w:tc>
        <w:tc>
          <w:tcPr>
            <w:tcW w:type="dxa" w:w="2790"/>
            <w:vAlign w:val="center"/>
          </w:tcPr>
          <w:p>
            <w:pPr>
              <w:spacing w:before="0" w:after="0" w:line="252" w:lineRule="auto"/>
              <w:jc w:val="left"/>
            </w:pPr>
            <w:r/>
            <w:r>
              <w:rPr>
                <w:rFonts w:ascii="Calibri" w:hAnsi="Calibri"/>
                <w:b w:val="0"/>
                <w:sz w:val="17"/>
              </w:rPr>
              <w:t>It does not prove the artifact is committed or provide a final held-out F1 score.</w:t>
            </w:r>
          </w:p>
        </w:tc>
      </w:tr>
      <w:tr>
        <w:trPr>
          <w:cantSplit w:val="true"/>
        </w:trPr>
        <w:tc>
          <w:tcPr>
            <w:tcW w:type="dxa" w:w="1674"/>
            <w:vAlign w:val="center"/>
          </w:tcPr>
          <w:p>
            <w:pPr>
              <w:spacing w:before="0" w:after="0" w:line="252" w:lineRule="auto"/>
              <w:jc w:val="center"/>
            </w:pPr>
            <w:r/>
            <w:r>
              <w:rPr>
                <w:rFonts w:ascii="Calibri" w:hAnsi="Calibri"/>
                <w:b w:val="0"/>
                <w:sz w:val="17"/>
              </w:rPr>
              <w:t>Local ignored metadata</w:t>
            </w:r>
          </w:p>
        </w:tc>
        <w:tc>
          <w:tcPr>
            <w:tcW w:type="dxa" w:w="2604"/>
            <w:vAlign w:val="center"/>
          </w:tcPr>
          <w:p>
            <w:pPr>
              <w:spacing w:before="0" w:after="0" w:line="252" w:lineRule="auto"/>
              <w:jc w:val="left"/>
            </w:pPr>
            <w:r/>
            <w:r>
              <w:rPr>
                <w:rFonts w:ascii="Calibri" w:hAnsi="Calibri"/>
                <w:b w:val="0"/>
                <w:sz w:val="17"/>
              </w:rPr>
              <w:t>config.json and tokenizer metadata were inspected locally without copying weights.</w:t>
            </w:r>
          </w:p>
        </w:tc>
        <w:tc>
          <w:tcPr>
            <w:tcW w:type="dxa" w:w="2232"/>
            <w:vAlign w:val="center"/>
          </w:tcPr>
          <w:p>
            <w:pPr>
              <w:spacing w:before="0" w:after="0" w:line="252" w:lineRule="auto"/>
              <w:jc w:val="left"/>
            </w:pPr>
            <w:r/>
            <w:r>
              <w:rPr>
                <w:rFonts w:ascii="Calibri" w:hAnsi="Calibri"/>
                <w:b w:val="0"/>
                <w:sz w:val="17"/>
              </w:rPr>
              <w:t>The local artifact uses a BERT token-classification configuration and cased tokenizer.</w:t>
            </w:r>
          </w:p>
        </w:tc>
        <w:tc>
          <w:tcPr>
            <w:tcW w:type="dxa" w:w="2790"/>
            <w:vAlign w:val="center"/>
          </w:tcPr>
          <w:p>
            <w:pPr>
              <w:spacing w:before="0" w:after="0" w:line="252" w:lineRule="auto"/>
              <w:jc w:val="left"/>
            </w:pPr>
            <w:r/>
            <w:r>
              <w:rPr>
                <w:rFonts w:ascii="Calibri" w:hAnsi="Calibri"/>
                <w:b w:val="0"/>
                <w:sz w:val="17"/>
              </w:rPr>
              <w:t>It is not a portable repository artifact.</w:t>
            </w:r>
          </w:p>
        </w:tc>
      </w:tr>
      <w:tr>
        <w:trPr>
          <w:cantSplit w:val="true"/>
        </w:trPr>
        <w:tc>
          <w:tcPr>
            <w:tcW w:type="dxa" w:w="1674"/>
            <w:vAlign w:val="center"/>
          </w:tcPr>
          <w:p>
            <w:pPr>
              <w:spacing w:before="0" w:after="0" w:line="252" w:lineRule="auto"/>
              <w:jc w:val="center"/>
            </w:pPr>
            <w:r/>
            <w:r>
              <w:rPr>
                <w:rFonts w:ascii="Calibri" w:hAnsi="Calibri"/>
                <w:b w:val="0"/>
                <w:sz w:val="17"/>
              </w:rPr>
              <w:t>Training notebook</w:t>
            </w:r>
          </w:p>
        </w:tc>
        <w:tc>
          <w:tcPr>
            <w:tcW w:type="dxa" w:w="2604"/>
            <w:vAlign w:val="center"/>
          </w:tcPr>
          <w:p>
            <w:pPr>
              <w:spacing w:before="0" w:after="0" w:line="252" w:lineRule="auto"/>
              <w:jc w:val="left"/>
            </w:pPr>
            <w:r/>
            <w:r>
              <w:rPr>
                <w:rFonts w:ascii="Calibri" w:hAnsi="Calibri"/>
                <w:b w:val="0"/>
                <w:sz w:val="17"/>
              </w:rPr>
              <w:t>Present under ai-cv-analyzer/training/train_ner.ipynb</w:t>
            </w:r>
          </w:p>
        </w:tc>
        <w:tc>
          <w:tcPr>
            <w:tcW w:type="dxa" w:w="2232"/>
            <w:vAlign w:val="center"/>
          </w:tcPr>
          <w:p>
            <w:pPr>
              <w:spacing w:before="0" w:after="0" w:line="252" w:lineRule="auto"/>
              <w:jc w:val="left"/>
            </w:pPr>
            <w:r/>
            <w:r>
              <w:rPr>
                <w:rFonts w:ascii="Calibri" w:hAnsi="Calibri"/>
                <w:b w:val="0"/>
                <w:sz w:val="17"/>
              </w:rPr>
              <w:t>The training process, label map, token alignment, Trainer setup, metrics code, and export steps are documented.</w:t>
            </w:r>
          </w:p>
        </w:tc>
        <w:tc>
          <w:tcPr>
            <w:tcW w:type="dxa" w:w="2790"/>
            <w:vAlign w:val="center"/>
          </w:tcPr>
          <w:p>
            <w:pPr>
              <w:spacing w:before="0" w:after="0" w:line="252" w:lineRule="auto"/>
              <w:jc w:val="left"/>
            </w:pPr>
            <w:r/>
            <w:r>
              <w:rPr>
                <w:rFonts w:ascii="Calibri" w:hAnsi="Calibri"/>
                <w:b w:val="0"/>
                <w:sz w:val="17"/>
              </w:rPr>
              <w:t>It does not include committed output cells with final metrics.</w:t>
            </w:r>
          </w:p>
        </w:tc>
      </w:tr>
      <w:tr>
        <w:trPr>
          <w:cantSplit w:val="true"/>
        </w:trPr>
        <w:tc>
          <w:tcPr>
            <w:tcW w:type="dxa" w:w="1674"/>
            <w:vAlign w:val="center"/>
          </w:tcPr>
          <w:p>
            <w:pPr>
              <w:spacing w:before="0" w:after="0" w:line="252" w:lineRule="auto"/>
              <w:jc w:val="center"/>
            </w:pPr>
            <w:r/>
            <w:r>
              <w:rPr>
                <w:rFonts w:ascii="Calibri" w:hAnsi="Calibri"/>
                <w:b w:val="0"/>
                <w:sz w:val="17"/>
              </w:rPr>
              <w:t>Dataset generator</w:t>
            </w:r>
          </w:p>
        </w:tc>
        <w:tc>
          <w:tcPr>
            <w:tcW w:type="dxa" w:w="2604"/>
            <w:vAlign w:val="center"/>
          </w:tcPr>
          <w:p>
            <w:pPr>
              <w:spacing w:before="0" w:after="0" w:line="252" w:lineRule="auto"/>
              <w:jc w:val="left"/>
            </w:pPr>
            <w:r/>
            <w:r>
              <w:rPr>
                <w:rFonts w:ascii="Calibri" w:hAnsi="Calibri"/>
                <w:b w:val="0"/>
                <w:sz w:val="17"/>
              </w:rPr>
              <w:t>Present under ai-cv-analyzer/training/generate_tech_dataset.py</w:t>
            </w:r>
          </w:p>
        </w:tc>
        <w:tc>
          <w:tcPr>
            <w:tcW w:type="dxa" w:w="2232"/>
            <w:vAlign w:val="center"/>
          </w:tcPr>
          <w:p>
            <w:pPr>
              <w:spacing w:before="0" w:after="0" w:line="252" w:lineRule="auto"/>
              <w:jc w:val="left"/>
            </w:pPr>
            <w:r/>
            <w:r>
              <w:rPr>
                <w:rFonts w:ascii="Calibri" w:hAnsi="Calibri"/>
                <w:b w:val="0"/>
                <w:sz w:val="17"/>
              </w:rPr>
              <w:t>Synthetic labeled data can be generated from Gemini with key rotation and negative decoys.</w:t>
            </w:r>
          </w:p>
        </w:tc>
        <w:tc>
          <w:tcPr>
            <w:tcW w:type="dxa" w:w="2790"/>
            <w:vAlign w:val="center"/>
          </w:tcPr>
          <w:p>
            <w:pPr>
              <w:spacing w:before="0" w:after="0" w:line="252" w:lineRule="auto"/>
              <w:jc w:val="left"/>
            </w:pPr>
            <w:r/>
            <w:r>
              <w:rPr>
                <w:rFonts w:ascii="Calibri" w:hAnsi="Calibri"/>
                <w:b w:val="0"/>
                <w:sz w:val="17"/>
              </w:rPr>
              <w:t>It was not run here because it requires API keys and would generate a large dataset.</w:t>
            </w:r>
          </w:p>
        </w:tc>
      </w:tr>
      <w:tr>
        <w:trPr>
          <w:cantSplit w:val="true"/>
        </w:trPr>
        <w:tc>
          <w:tcPr>
            <w:tcW w:type="dxa" w:w="1674"/>
            <w:vAlign w:val="center"/>
          </w:tcPr>
          <w:p>
            <w:pPr>
              <w:spacing w:before="0" w:after="0" w:line="252" w:lineRule="auto"/>
              <w:jc w:val="center"/>
            </w:pPr>
            <w:r/>
            <w:r>
              <w:rPr>
                <w:rFonts w:ascii="Calibri" w:hAnsi="Calibri"/>
                <w:b w:val="0"/>
                <w:sz w:val="17"/>
              </w:rPr>
              <w:t>Dataset cleaner</w:t>
            </w:r>
          </w:p>
        </w:tc>
        <w:tc>
          <w:tcPr>
            <w:tcW w:type="dxa" w:w="2604"/>
            <w:vAlign w:val="center"/>
          </w:tcPr>
          <w:p>
            <w:pPr>
              <w:spacing w:before="0" w:after="0" w:line="252" w:lineRule="auto"/>
              <w:jc w:val="left"/>
            </w:pPr>
            <w:r/>
            <w:r>
              <w:rPr>
                <w:rFonts w:ascii="Calibri" w:hAnsi="Calibri"/>
                <w:b w:val="0"/>
                <w:sz w:val="17"/>
              </w:rPr>
              <w:t>Present under ai-cv-analyzer/training/clean_dataset.py</w:t>
            </w:r>
          </w:p>
        </w:tc>
        <w:tc>
          <w:tcPr>
            <w:tcW w:type="dxa" w:w="2232"/>
            <w:vAlign w:val="center"/>
          </w:tcPr>
          <w:p>
            <w:pPr>
              <w:spacing w:before="0" w:after="0" w:line="252" w:lineRule="auto"/>
              <w:jc w:val="left"/>
            </w:pPr>
            <w:r/>
            <w:r>
              <w:rPr>
                <w:rFonts w:ascii="Calibri" w:hAnsi="Calibri"/>
                <w:b w:val="0"/>
                <w:sz w:val="17"/>
              </w:rPr>
              <w:t>Dataset normalization, deduplication, and span validation are part of the workflow.</w:t>
            </w:r>
          </w:p>
        </w:tc>
        <w:tc>
          <w:tcPr>
            <w:tcW w:type="dxa" w:w="2790"/>
            <w:vAlign w:val="center"/>
          </w:tcPr>
          <w:p>
            <w:pPr>
              <w:spacing w:before="0" w:after="0" w:line="252" w:lineRule="auto"/>
              <w:jc w:val="left"/>
            </w:pPr>
            <w:r/>
            <w:r>
              <w:rPr>
                <w:rFonts w:ascii="Calibri" w:hAnsi="Calibri"/>
                <w:b w:val="0"/>
                <w:sz w:val="17"/>
              </w:rPr>
              <w:t>The cleaned dataset file itself is not committed.</w:t>
            </w:r>
          </w:p>
        </w:tc>
      </w:tr>
      <w:tr>
        <w:trPr>
          <w:cantSplit w:val="true"/>
        </w:trPr>
        <w:tc>
          <w:tcPr>
            <w:tcW w:type="dxa" w:w="1674"/>
            <w:vAlign w:val="center"/>
          </w:tcPr>
          <w:p>
            <w:pPr>
              <w:spacing w:before="0" w:after="0" w:line="252" w:lineRule="auto"/>
              <w:jc w:val="center"/>
            </w:pPr>
            <w:r/>
            <w:r>
              <w:rPr>
                <w:rFonts w:ascii="Calibri" w:hAnsi="Calibri"/>
                <w:b w:val="0"/>
                <w:sz w:val="17"/>
              </w:rPr>
              <w:t>API tests</w:t>
            </w:r>
          </w:p>
        </w:tc>
        <w:tc>
          <w:tcPr>
            <w:tcW w:type="dxa" w:w="2604"/>
            <w:vAlign w:val="center"/>
          </w:tcPr>
          <w:p>
            <w:pPr>
              <w:spacing w:before="0" w:after="0" w:line="252" w:lineRule="auto"/>
              <w:jc w:val="left"/>
            </w:pPr>
            <w:r/>
            <w:r>
              <w:rPr>
                <w:rFonts w:ascii="Calibri" w:hAnsi="Calibri"/>
                <w:b w:val="0"/>
                <w:sz w:val="17"/>
              </w:rPr>
              <w:t>Present under ai-cv-analyzer/tests/test_service_api.py</w:t>
            </w:r>
          </w:p>
        </w:tc>
        <w:tc>
          <w:tcPr>
            <w:tcW w:type="dxa" w:w="2232"/>
            <w:vAlign w:val="center"/>
          </w:tcPr>
          <w:p>
            <w:pPr>
              <w:spacing w:before="0" w:after="0" w:line="252" w:lineRule="auto"/>
              <w:jc w:val="left"/>
            </w:pPr>
            <w:r/>
            <w:r>
              <w:rPr>
                <w:rFonts w:ascii="Calibri" w:hAnsi="Calibri"/>
                <w:b w:val="0"/>
                <w:sz w:val="17"/>
              </w:rPr>
              <w:t>FastAPI status handling and hybrid-match formula behavior are covered with fakes.</w:t>
            </w:r>
          </w:p>
        </w:tc>
        <w:tc>
          <w:tcPr>
            <w:tcW w:type="dxa" w:w="2790"/>
            <w:vAlign w:val="center"/>
          </w:tcPr>
          <w:p>
            <w:pPr>
              <w:spacing w:before="0" w:after="0" w:line="252" w:lineRule="auto"/>
              <w:jc w:val="left"/>
            </w:pPr>
            <w:r/>
            <w:r>
              <w:rPr>
                <w:rFonts w:ascii="Calibri" w:hAnsi="Calibri"/>
                <w:b w:val="0"/>
                <w:sz w:val="17"/>
              </w:rPr>
              <w:t>These tests do not measure real NER model accuracy.</w:t>
            </w:r>
          </w:p>
        </w:tc>
      </w:tr>
      <w:tr>
        <w:trPr>
          <w:cantSplit w:val="true"/>
        </w:trPr>
        <w:tc>
          <w:tcPr>
            <w:tcW w:type="dxa" w:w="1674"/>
            <w:vAlign w:val="center"/>
          </w:tcPr>
          <w:p>
            <w:pPr>
              <w:spacing w:before="0" w:after="0" w:line="252" w:lineRule="auto"/>
              <w:jc w:val="center"/>
            </w:pPr>
            <w:r/>
            <w:r>
              <w:rPr>
                <w:rFonts w:ascii="Calibri" w:hAnsi="Calibri"/>
                <w:b w:val="0"/>
                <w:sz w:val="17"/>
              </w:rPr>
              <w:t>Dependency probe</w:t>
            </w:r>
          </w:p>
        </w:tc>
        <w:tc>
          <w:tcPr>
            <w:tcW w:type="dxa" w:w="2604"/>
            <w:vAlign w:val="center"/>
          </w:tcPr>
          <w:p>
            <w:pPr>
              <w:spacing w:before="0" w:after="0" w:line="252" w:lineRule="auto"/>
              <w:jc w:val="left"/>
            </w:pPr>
            <w:r/>
            <w:r>
              <w:rPr>
                <w:rFonts w:ascii="Calibri" w:hAnsi="Calibri"/>
                <w:b w:val="0"/>
                <w:sz w:val="17"/>
              </w:rPr>
              <w:t>Local bundled Python lacked transformers, torch, sentence_transformers, OCR/PDF packages, and Gemini client libraries.</w:t>
            </w:r>
          </w:p>
        </w:tc>
        <w:tc>
          <w:tcPr>
            <w:tcW w:type="dxa" w:w="2232"/>
            <w:vAlign w:val="center"/>
          </w:tcPr>
          <w:p>
            <w:pPr>
              <w:spacing w:before="0" w:after="0" w:line="252" w:lineRule="auto"/>
              <w:jc w:val="left"/>
            </w:pPr>
            <w:r/>
            <w:r>
              <w:rPr>
                <w:rFonts w:ascii="Calibri" w:hAnsi="Calibri"/>
                <w:b w:val="0"/>
                <w:sz w:val="17"/>
              </w:rPr>
              <w:t>Explains why live model inference and training were not rerun during documentation generation.</w:t>
            </w:r>
          </w:p>
        </w:tc>
        <w:tc>
          <w:tcPr>
            <w:tcW w:type="dxa" w:w="2790"/>
            <w:vAlign w:val="center"/>
          </w:tcPr>
          <w:p>
            <w:pPr>
              <w:spacing w:before="0" w:after="0" w:line="252" w:lineRule="auto"/>
              <w:jc w:val="left"/>
            </w:pPr>
            <w:r/>
            <w:r>
              <w:rPr>
                <w:rFonts w:ascii="Calibri" w:hAnsi="Calibri"/>
                <w:b w:val="0"/>
                <w:sz w:val="17"/>
              </w:rPr>
              <w:t>It does not reflect what the Docker image may install at runtime.</w:t>
            </w:r>
          </w:p>
        </w:tc>
      </w:tr>
      <w:tr>
        <w:trPr>
          <w:cantSplit w:val="true"/>
        </w:trPr>
        <w:tc>
          <w:tcPr>
            <w:tcW w:type="dxa" w:w="1674"/>
            <w:vAlign w:val="center"/>
          </w:tcPr>
          <w:p>
            <w:pPr>
              <w:spacing w:before="0" w:after="0" w:line="252" w:lineRule="auto"/>
              <w:jc w:val="center"/>
            </w:pPr>
            <w:r/>
            <w:r>
              <w:rPr>
                <w:rFonts w:ascii="Calibri" w:hAnsi="Calibri"/>
                <w:b w:val="0"/>
                <w:sz w:val="17"/>
              </w:rPr>
              <w:t>Mini evaluation</w:t>
            </w:r>
          </w:p>
        </w:tc>
        <w:tc>
          <w:tcPr>
            <w:tcW w:type="dxa" w:w="2604"/>
            <w:vAlign w:val="center"/>
          </w:tcPr>
          <w:p>
            <w:pPr>
              <w:spacing w:before="0" w:after="0" w:line="252" w:lineRule="auto"/>
              <w:jc w:val="left"/>
            </w:pPr>
            <w:r/>
            <w:r>
              <w:rPr>
                <w:rFonts w:ascii="Calibri" w:hAnsi="Calibri"/>
                <w:b w:val="0"/>
                <w:sz w:val="17"/>
              </w:rPr>
              <w:t>Generated under docs/graduation-book/evaluation/</w:t>
            </w:r>
          </w:p>
        </w:tc>
        <w:tc>
          <w:tcPr>
            <w:tcW w:type="dxa" w:w="2232"/>
            <w:vAlign w:val="center"/>
          </w:tcPr>
          <w:p>
            <w:pPr>
              <w:spacing w:before="0" w:after="0" w:line="252" w:lineRule="auto"/>
              <w:jc w:val="left"/>
            </w:pPr>
            <w:r/>
            <w:r>
              <w:rPr>
                <w:rFonts w:ascii="Calibri" w:hAnsi="Calibri"/>
                <w:b w:val="0"/>
                <w:sz w:val="17"/>
              </w:rPr>
              <w:t>Synthetic skill/recommendation/gap logic can be checked repeatably.</w:t>
            </w:r>
          </w:p>
        </w:tc>
        <w:tc>
          <w:tcPr>
            <w:tcW w:type="dxa" w:w="2790"/>
            <w:vAlign w:val="center"/>
          </w:tcPr>
          <w:p>
            <w:pPr>
              <w:spacing w:before="0" w:after="0" w:line="252" w:lineRule="auto"/>
              <w:jc w:val="left"/>
            </w:pPr>
            <w:r/>
            <w:r>
              <w:rPr>
                <w:rFonts w:ascii="Calibri" w:hAnsi="Calibri"/>
                <w:b w:val="0"/>
                <w:sz w:val="17"/>
              </w:rPr>
              <w:t>It is not a statistical live-model benchmark.</w:t>
            </w:r>
          </w:p>
        </w:tc>
      </w:tr>
    </w:tbl>
    <w:p>
      <w:pPr>
        <w:spacing w:after="80"/>
      </w:pPr>
    </w:p>
    <w:p>
      <w:bookmarkStart w:id="1225267597" w:name="bm_table_17"/>
      <w:pPr>
        <w:jc w:val="center"/>
      </w:pPr>
      <w:r>
        <w:rPr>
          <w:i/>
        </w:rPr>
        <w:t>Table 17. Model evaluation evidence.</w:t>
      </w:r>
      <w:bookmarkEnd w:id="1225267597"/>
    </w:p>
    <w:p>
      <w:bookmarkStart w:id="690396654" w:name="bm_6_9_ner_extraction_examples"/>
      <w:pPr>
        <w:pStyle w:val="Heading2"/>
        <w:keepNext/>
      </w:pPr>
      <w:r>
        <w:t>6.9 NER Extraction Examples</w:t>
      </w:r>
      <w:bookmarkEnd w:id="690396654"/>
    </w:p>
    <w:p>
      <w:r>
        <w:t>The table below documents expected extraction behavior from the inspected NER labels and runtime post-processing. It is intentionally marked as example evidence rather than measured accuracy because transformer dependencies were not available in the local documentation runtime and the committed notebook does not include final output cells.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Example CV Text</w:t>
            </w:r>
          </w:p>
        </w:tc>
        <w:tc>
          <w:tcPr>
            <w:tcW w:type="dxa" w:w="2604"/>
            <w:vAlign w:val="center"/>
            <w:shd w:fill="D9EAF7"/>
          </w:tcPr>
          <w:p>
            <w:pPr>
              <w:spacing w:before="0" w:after="0" w:line="252" w:lineRule="auto"/>
              <w:jc w:val="left"/>
            </w:pPr>
            <w:r/>
            <w:r>
              <w:rPr>
                <w:rFonts w:ascii="Calibri" w:hAnsi="Calibri"/>
                <w:b/>
                <w:sz w:val="17"/>
              </w:rPr>
              <w:t>Expected NER Entities</w:t>
            </w:r>
          </w:p>
        </w:tc>
        <w:tc>
          <w:tcPr>
            <w:tcW w:type="dxa" w:w="2232"/>
            <w:vAlign w:val="center"/>
            <w:shd w:fill="D9EAF7"/>
          </w:tcPr>
          <w:p>
            <w:pPr>
              <w:spacing w:before="0" w:after="0" w:line="252" w:lineRule="auto"/>
              <w:jc w:val="left"/>
            </w:pPr>
            <w:r/>
            <w:r>
              <w:rPr>
                <w:rFonts w:ascii="Calibri" w:hAnsi="Calibri"/>
                <w:b/>
                <w:sz w:val="17"/>
              </w:rPr>
              <w:t>Downstream Use</w:t>
            </w:r>
          </w:p>
        </w:tc>
        <w:tc>
          <w:tcPr>
            <w:tcW w:type="dxa" w:w="2790"/>
            <w:vAlign w:val="center"/>
            <w:shd w:fill="D9EAF7"/>
          </w:tcPr>
          <w:p>
            <w:pPr>
              <w:spacing w:before="0" w:after="0" w:line="252" w:lineRule="auto"/>
              <w:jc w:val="left"/>
            </w:pPr>
            <w:r/>
            <w:r>
              <w:rPr>
                <w:rFonts w:ascii="Calibri" w:hAnsi="Calibri"/>
                <w:b/>
                <w:sz w:val="17"/>
              </w:rPr>
              <w:t>Evidence Type</w:t>
            </w:r>
          </w:p>
        </w:tc>
      </w:tr>
      <w:tr>
        <w:trPr>
          <w:cantSplit w:val="true"/>
        </w:trPr>
        <w:tc>
          <w:tcPr>
            <w:tcW w:type="dxa" w:w="1674"/>
            <w:vAlign w:val="center"/>
          </w:tcPr>
          <w:p>
            <w:pPr>
              <w:spacing w:before="0" w:after="0" w:line="252" w:lineRule="auto"/>
              <w:jc w:val="center"/>
            </w:pPr>
            <w:r/>
            <w:r>
              <w:rPr>
                <w:rFonts w:ascii="Calibri" w:hAnsi="Calibri"/>
                <w:b w:val="0"/>
                <w:sz w:val="17"/>
              </w:rPr>
              <w:t>Experienced Backend Developer with Laravel, Docker, and MySQL.</w:t>
            </w:r>
          </w:p>
        </w:tc>
        <w:tc>
          <w:tcPr>
            <w:tcW w:type="dxa" w:w="2604"/>
            <w:vAlign w:val="center"/>
          </w:tcPr>
          <w:p>
            <w:pPr>
              <w:spacing w:before="0" w:after="0" w:line="252" w:lineRule="auto"/>
              <w:jc w:val="left"/>
            </w:pPr>
            <w:r/>
            <w:r>
              <w:rPr>
                <w:rFonts w:ascii="Calibri" w:hAnsi="Calibri"/>
                <w:b w:val="0"/>
                <w:sz w:val="17"/>
              </w:rPr>
              <w:t>ROLE: Backend Developer; SKILL: Laravel, Docker, MySQL</w:t>
            </w:r>
          </w:p>
        </w:tc>
        <w:tc>
          <w:tcPr>
            <w:tcW w:type="dxa" w:w="2232"/>
            <w:vAlign w:val="center"/>
          </w:tcPr>
          <w:p>
            <w:pPr>
              <w:spacing w:before="0" w:after="0" w:line="252" w:lineRule="auto"/>
              <w:jc w:val="left"/>
            </w:pPr>
            <w:r/>
            <w:r>
              <w:rPr>
                <w:rFonts w:ascii="Calibri" w:hAnsi="Calibri"/>
                <w:b w:val="0"/>
                <w:sz w:val="17"/>
              </w:rPr>
              <w:t>Predicted role, extracted skills, backend/domain matching.</w:t>
            </w:r>
          </w:p>
        </w:tc>
        <w:tc>
          <w:tcPr>
            <w:tcW w:type="dxa" w:w="2790"/>
            <w:vAlign w:val="center"/>
          </w:tcPr>
          <w:p>
            <w:pPr>
              <w:spacing w:before="0" w:after="0" w:line="252" w:lineRule="auto"/>
              <w:jc w:val="left"/>
            </w:pPr>
            <w:r/>
            <w:r>
              <w:rPr>
                <w:rFonts w:ascii="Calibri" w:hAnsi="Calibri"/>
                <w:b w:val="0"/>
                <w:sz w:val="17"/>
              </w:rPr>
              <w:t>Illustrative example from label schema and code path.</w:t>
            </w:r>
          </w:p>
        </w:tc>
      </w:tr>
      <w:tr>
        <w:trPr>
          <w:cantSplit w:val="true"/>
        </w:trPr>
        <w:tc>
          <w:tcPr>
            <w:tcW w:type="dxa" w:w="1674"/>
            <w:vAlign w:val="center"/>
          </w:tcPr>
          <w:p>
            <w:pPr>
              <w:spacing w:before="0" w:after="0" w:line="252" w:lineRule="auto"/>
              <w:jc w:val="center"/>
            </w:pPr>
            <w:r/>
            <w:r>
              <w:rPr>
                <w:rFonts w:ascii="Calibri" w:hAnsi="Calibri"/>
                <w:b w:val="0"/>
                <w:sz w:val="17"/>
              </w:rPr>
              <w:t>Graduated from Faculty of Computers and Information, Kafr El-Sheikh University.</w:t>
            </w:r>
          </w:p>
        </w:tc>
        <w:tc>
          <w:tcPr>
            <w:tcW w:type="dxa" w:w="2604"/>
            <w:vAlign w:val="center"/>
          </w:tcPr>
          <w:p>
            <w:pPr>
              <w:spacing w:before="0" w:after="0" w:line="252" w:lineRule="auto"/>
              <w:jc w:val="left"/>
            </w:pPr>
            <w:r/>
            <w:r>
              <w:rPr>
                <w:rFonts w:ascii="Calibri" w:hAnsi="Calibri"/>
                <w:b w:val="0"/>
                <w:sz w:val="17"/>
              </w:rPr>
              <w:t>EDU: Faculty of Computers and Information, Kafr El-Sheikh University</w:t>
            </w:r>
          </w:p>
        </w:tc>
        <w:tc>
          <w:tcPr>
            <w:tcW w:type="dxa" w:w="2232"/>
            <w:vAlign w:val="center"/>
          </w:tcPr>
          <w:p>
            <w:pPr>
              <w:spacing w:before="0" w:after="0" w:line="252" w:lineRule="auto"/>
              <w:jc w:val="left"/>
            </w:pPr>
            <w:r/>
            <w:r>
              <w:rPr>
                <w:rFonts w:ascii="Calibri" w:hAnsi="Calibri"/>
                <w:b w:val="0"/>
                <w:sz w:val="17"/>
              </w:rPr>
              <w:t>Education/profile evidence.</w:t>
            </w:r>
          </w:p>
        </w:tc>
        <w:tc>
          <w:tcPr>
            <w:tcW w:type="dxa" w:w="2790"/>
            <w:vAlign w:val="center"/>
          </w:tcPr>
          <w:p>
            <w:pPr>
              <w:spacing w:before="0" w:after="0" w:line="252" w:lineRule="auto"/>
              <w:jc w:val="left"/>
            </w:pPr>
            <w:r/>
            <w:r>
              <w:rPr>
                <w:rFonts w:ascii="Calibri" w:hAnsi="Calibri"/>
                <w:b w:val="0"/>
                <w:sz w:val="17"/>
              </w:rPr>
              <w:t>Illustrative example from EDU label behavior.</w:t>
            </w:r>
          </w:p>
        </w:tc>
      </w:tr>
      <w:tr>
        <w:trPr>
          <w:cantSplit w:val="true"/>
        </w:trPr>
        <w:tc>
          <w:tcPr>
            <w:tcW w:type="dxa" w:w="1674"/>
            <w:vAlign w:val="center"/>
          </w:tcPr>
          <w:p>
            <w:pPr>
              <w:spacing w:before="0" w:after="0" w:line="252" w:lineRule="auto"/>
              <w:jc w:val="center"/>
            </w:pPr>
            <w:r/>
            <w:r>
              <w:rPr>
                <w:rFonts w:ascii="Calibri" w:hAnsi="Calibri"/>
                <w:b w:val="0"/>
                <w:sz w:val="17"/>
              </w:rPr>
              <w:t>AWS Cloud Practitioner certified with Kubernetes deployment experience.</w:t>
            </w:r>
          </w:p>
        </w:tc>
        <w:tc>
          <w:tcPr>
            <w:tcW w:type="dxa" w:w="2604"/>
            <w:vAlign w:val="center"/>
          </w:tcPr>
          <w:p>
            <w:pPr>
              <w:spacing w:before="0" w:after="0" w:line="252" w:lineRule="auto"/>
              <w:jc w:val="left"/>
            </w:pPr>
            <w:r/>
            <w:r>
              <w:rPr>
                <w:rFonts w:ascii="Calibri" w:hAnsi="Calibri"/>
                <w:b w:val="0"/>
                <w:sz w:val="17"/>
              </w:rPr>
              <w:t>CERT: AWS Cloud Practitioner; SKILL: Kubernetes</w:t>
            </w:r>
          </w:p>
        </w:tc>
        <w:tc>
          <w:tcPr>
            <w:tcW w:type="dxa" w:w="2232"/>
            <w:vAlign w:val="center"/>
          </w:tcPr>
          <w:p>
            <w:pPr>
              <w:spacing w:before="0" w:after="0" w:line="252" w:lineRule="auto"/>
              <w:jc w:val="left"/>
            </w:pPr>
            <w:r/>
            <w:r>
              <w:rPr>
                <w:rFonts w:ascii="Calibri" w:hAnsi="Calibri"/>
                <w:b w:val="0"/>
                <w:sz w:val="17"/>
              </w:rPr>
              <w:t>Certification and cloud/DevOps skill evidence.</w:t>
            </w:r>
          </w:p>
        </w:tc>
        <w:tc>
          <w:tcPr>
            <w:tcW w:type="dxa" w:w="2790"/>
            <w:vAlign w:val="center"/>
          </w:tcPr>
          <w:p>
            <w:pPr>
              <w:spacing w:before="0" w:after="0" w:line="252" w:lineRule="auto"/>
              <w:jc w:val="left"/>
            </w:pPr>
            <w:r/>
            <w:r>
              <w:rPr>
                <w:rFonts w:ascii="Calibri" w:hAnsi="Calibri"/>
                <w:b w:val="0"/>
                <w:sz w:val="17"/>
              </w:rPr>
              <w:t>Illustrative example from CERT/SKILL labels.</w:t>
            </w:r>
          </w:p>
        </w:tc>
      </w:tr>
      <w:tr>
        <w:trPr>
          <w:cantSplit w:val="true"/>
        </w:trPr>
        <w:tc>
          <w:tcPr>
            <w:tcW w:type="dxa" w:w="1674"/>
            <w:vAlign w:val="center"/>
          </w:tcPr>
          <w:p>
            <w:pPr>
              <w:spacing w:before="0" w:after="0" w:line="252" w:lineRule="auto"/>
              <w:jc w:val="center"/>
            </w:pPr>
            <w:r/>
            <w:r>
              <w:rPr>
                <w:rFonts w:ascii="Calibri" w:hAnsi="Calibri"/>
                <w:b w:val="0"/>
                <w:sz w:val="17"/>
              </w:rPr>
              <w:t>Leadership, communication, and teamwork across agile projects.</w:t>
            </w:r>
          </w:p>
        </w:tc>
        <w:tc>
          <w:tcPr>
            <w:tcW w:type="dxa" w:w="2604"/>
            <w:vAlign w:val="center"/>
          </w:tcPr>
          <w:p>
            <w:pPr>
              <w:spacing w:before="0" w:after="0" w:line="252" w:lineRule="auto"/>
              <w:jc w:val="left"/>
            </w:pPr>
            <w:r/>
            <w:r>
              <w:rPr>
                <w:rFonts w:ascii="Calibri" w:hAnsi="Calibri"/>
                <w:b w:val="0"/>
                <w:sz w:val="17"/>
              </w:rPr>
              <w:t>SOFT labels exist in training setup; runtime grouping mainly returns SKILL/ROLE/EDU/CERT.</w:t>
            </w:r>
          </w:p>
        </w:tc>
        <w:tc>
          <w:tcPr>
            <w:tcW w:type="dxa" w:w="2232"/>
            <w:vAlign w:val="center"/>
          </w:tcPr>
          <w:p>
            <w:pPr>
              <w:spacing w:before="0" w:after="0" w:line="252" w:lineRule="auto"/>
              <w:jc w:val="left"/>
            </w:pPr>
            <w:r/>
            <w:r>
              <w:rPr>
                <w:rFonts w:ascii="Calibri" w:hAnsi="Calibri"/>
                <w:b w:val="0"/>
                <w:sz w:val="17"/>
              </w:rPr>
              <w:t>Soft-skill interpretation is handled mostly by taxonomy and rule layers.</w:t>
            </w:r>
          </w:p>
        </w:tc>
        <w:tc>
          <w:tcPr>
            <w:tcW w:type="dxa" w:w="2790"/>
            <w:vAlign w:val="center"/>
          </w:tcPr>
          <w:p>
            <w:pPr>
              <w:spacing w:before="0" w:after="0" w:line="252" w:lineRule="auto"/>
              <w:jc w:val="left"/>
            </w:pPr>
            <w:r/>
            <w:r>
              <w:rPr>
                <w:rFonts w:ascii="Calibri" w:hAnsi="Calibri"/>
                <w:b w:val="0"/>
                <w:sz w:val="17"/>
              </w:rPr>
              <w:t>Limitation observed from runtime grouping code.</w:t>
            </w:r>
          </w:p>
        </w:tc>
      </w:tr>
    </w:tbl>
    <w:p>
      <w:pPr>
        <w:spacing w:after="80"/>
      </w:pPr>
    </w:p>
    <w:p>
      <w:bookmarkStart w:id="1096409973" w:name="bm_table_18"/>
      <w:pPr>
        <w:jc w:val="center"/>
      </w:pPr>
      <w:r>
        <w:rPr>
          <w:i/>
        </w:rPr>
        <w:t>Table 18. NER extraction examples.</w:t>
      </w:r>
      <w:bookmarkEnd w:id="1096409973"/>
    </w:p>
    <w:p>
      <w:bookmarkStart w:id="852691396" w:name="bm_6_10_semantic_matching_vs_tf_idf_fallback_examples"/>
      <w:pPr>
        <w:pStyle w:val="Heading2"/>
        <w:keepNext/>
      </w:pPr>
      <w:r>
        <w:t>6.10 Semantic Matching vs TF-IDF Fallback Examples</w:t>
      </w:r>
      <w:bookmarkEnd w:id="852691396"/>
    </w:p>
    <w:p>
      <w:r>
        <w:t>The semantic matching path could not be executed locally during this documentation update because sentence-transformer dependencies were unavailable in the bundled Python environment. The pure Python TF-IDF matcher was executed directly as a small deterministic fallback check. It gave a positive score for overlapping backend skills and zero for an unrelated mobile-role comparison.</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Pair</w:t>
            </w:r>
          </w:p>
        </w:tc>
        <w:tc>
          <w:tcPr>
            <w:tcW w:type="dxa" w:w="2604"/>
            <w:vAlign w:val="center"/>
            <w:shd w:fill="D9EAF7"/>
          </w:tcPr>
          <w:p>
            <w:pPr>
              <w:spacing w:before="0" w:after="0" w:line="252" w:lineRule="auto"/>
              <w:jc w:val="left"/>
            </w:pPr>
            <w:r/>
            <w:r>
              <w:rPr>
                <w:rFonts w:ascii="Calibri" w:hAnsi="Calibri"/>
                <w:b/>
                <w:sz w:val="17"/>
              </w:rPr>
              <w:t>Semantic Path Status</w:t>
            </w:r>
          </w:p>
        </w:tc>
        <w:tc>
          <w:tcPr>
            <w:tcW w:type="dxa" w:w="2232"/>
            <w:vAlign w:val="center"/>
            <w:shd w:fill="D9EAF7"/>
          </w:tcPr>
          <w:p>
            <w:pPr>
              <w:spacing w:before="0" w:after="0" w:line="252" w:lineRule="auto"/>
              <w:jc w:val="left"/>
            </w:pPr>
            <w:r/>
            <w:r>
              <w:rPr>
                <w:rFonts w:ascii="Calibri" w:hAnsi="Calibri"/>
                <w:b/>
                <w:sz w:val="17"/>
              </w:rPr>
              <w:t>TF-IDF Fallback Result</w:t>
            </w:r>
          </w:p>
        </w:tc>
        <w:tc>
          <w:tcPr>
            <w:tcW w:type="dxa" w:w="2790"/>
            <w:vAlign w:val="center"/>
            <w:shd w:fill="D9EAF7"/>
          </w:tcPr>
          <w:p>
            <w:pPr>
              <w:spacing w:before="0" w:after="0" w:line="252" w:lineRule="auto"/>
              <w:jc w:val="left"/>
            </w:pPr>
            <w:r/>
            <w:r>
              <w:rPr>
                <w:rFonts w:ascii="Calibri" w:hAnsi="Calibri"/>
                <w:b/>
                <w:sz w:val="17"/>
              </w:rPr>
              <w:t>Interpretation</w:t>
            </w:r>
          </w:p>
        </w:tc>
      </w:tr>
      <w:tr>
        <w:trPr>
          <w:cantSplit w:val="true"/>
        </w:trPr>
        <w:tc>
          <w:tcPr>
            <w:tcW w:type="dxa" w:w="1674"/>
            <w:vAlign w:val="center"/>
          </w:tcPr>
          <w:p>
            <w:pPr>
              <w:spacing w:before="0" w:after="0" w:line="252" w:lineRule="auto"/>
              <w:jc w:val="center"/>
            </w:pPr>
            <w:r/>
            <w:r>
              <w:rPr>
                <w:rFonts w:ascii="Calibri" w:hAnsi="Calibri"/>
                <w:b w:val="0"/>
                <w:sz w:val="17"/>
              </w:rPr>
              <w:t>CV: Laravel Docker MySQL REST APIs;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0.4316</w:t>
            </w:r>
          </w:p>
        </w:tc>
        <w:tc>
          <w:tcPr>
            <w:tcW w:type="dxa" w:w="2790"/>
            <w:vAlign w:val="center"/>
          </w:tcPr>
          <w:p>
            <w:pPr>
              <w:spacing w:before="0" w:after="0" w:line="252" w:lineRule="auto"/>
              <w:jc w:val="left"/>
            </w:pPr>
            <w:r/>
            <w:r>
              <w:rPr>
                <w:rFonts w:ascii="Calibri" w:hAnsi="Calibri"/>
                <w:b w:val="0"/>
                <w:sz w:val="17"/>
              </w:rPr>
              <w:t>Keyword overlap confirms a backend-oriented match signal.</w:t>
            </w:r>
          </w:p>
        </w:tc>
      </w:tr>
      <w:tr>
        <w:trPr>
          <w:cantSplit w:val="true"/>
        </w:trPr>
        <w:tc>
          <w:tcPr>
            <w:tcW w:type="dxa" w:w="1674"/>
            <w:vAlign w:val="center"/>
          </w:tcPr>
          <w:p>
            <w:pPr>
              <w:spacing w:before="0" w:after="0" w:line="252" w:lineRule="auto"/>
              <w:jc w:val="center"/>
            </w:pPr>
            <w:r/>
            <w:r>
              <w:rPr>
                <w:rFonts w:ascii="Calibri" w:hAnsi="Calibri"/>
                <w:b w:val="0"/>
                <w:sz w:val="17"/>
              </w:rPr>
              <w:t>CV: Flutter Dart mobile UI; Job: Backend developer with Laravel Docker MySQL</w:t>
            </w:r>
          </w:p>
        </w:tc>
        <w:tc>
          <w:tcPr>
            <w:tcW w:type="dxa" w:w="2604"/>
            <w:vAlign w:val="center"/>
          </w:tcPr>
          <w:p>
            <w:pPr>
              <w:spacing w:before="0" w:after="0" w:line="252" w:lineRule="auto"/>
              <w:jc w:val="left"/>
            </w:pPr>
            <w:r/>
            <w:r>
              <w:rPr>
                <w:rFonts w:ascii="Calibri" w:hAnsi="Calibri"/>
                <w:b w:val="0"/>
                <w:sz w:val="17"/>
              </w:rPr>
              <w:t>Not executed locally; dependencies unavailable.</w:t>
            </w:r>
          </w:p>
        </w:tc>
        <w:tc>
          <w:tcPr>
            <w:tcW w:type="dxa" w:w="2232"/>
            <w:vAlign w:val="center"/>
          </w:tcPr>
          <w:p>
            <w:pPr>
              <w:spacing w:before="0" w:after="0" w:line="252" w:lineRule="auto"/>
              <w:jc w:val="left"/>
            </w:pPr>
            <w:r/>
            <w:r>
              <w:rPr>
                <w:rFonts w:ascii="Calibri" w:hAnsi="Calibri"/>
                <w:b w:val="0"/>
                <w:sz w:val="17"/>
              </w:rPr>
              <w:t>0.0000</w:t>
            </w:r>
          </w:p>
        </w:tc>
        <w:tc>
          <w:tcPr>
            <w:tcW w:type="dxa" w:w="2790"/>
            <w:vAlign w:val="center"/>
          </w:tcPr>
          <w:p>
            <w:pPr>
              <w:spacing w:before="0" w:after="0" w:line="252" w:lineRule="auto"/>
              <w:jc w:val="left"/>
            </w:pPr>
            <w:r/>
            <w:r>
              <w:rPr>
                <w:rFonts w:ascii="Calibri" w:hAnsi="Calibri"/>
                <w:b w:val="0"/>
                <w:sz w:val="17"/>
              </w:rPr>
              <w:t>No meaningful keyword overlap, so fallback does not inflate score.</w:t>
            </w:r>
          </w:p>
        </w:tc>
      </w:tr>
      <w:tr>
        <w:trPr>
          <w:cantSplit w:val="true"/>
        </w:trPr>
        <w:tc>
          <w:tcPr>
            <w:tcW w:type="dxa" w:w="1674"/>
            <w:vAlign w:val="center"/>
          </w:tcPr>
          <w:p>
            <w:pPr>
              <w:spacing w:before="0" w:after="0" w:line="252" w:lineRule="auto"/>
              <w:jc w:val="center"/>
            </w:pPr>
            <w:r/>
            <w:r>
              <w:rPr>
                <w:rFonts w:ascii="Calibri" w:hAnsi="Calibri"/>
                <w:b w:val="0"/>
                <w:sz w:val="17"/>
              </w:rPr>
              <w:t>Expected runtime behavior</w:t>
            </w:r>
          </w:p>
        </w:tc>
        <w:tc>
          <w:tcPr>
            <w:tcW w:type="dxa" w:w="2604"/>
            <w:vAlign w:val="center"/>
          </w:tcPr>
          <w:p>
            <w:pPr>
              <w:spacing w:before="0" w:after="0" w:line="252" w:lineRule="auto"/>
              <w:jc w:val="left"/>
            </w:pPr>
            <w:r/>
            <w:r>
              <w:rPr>
                <w:rFonts w:ascii="Calibri" w:hAnsi="Calibri"/>
                <w:b w:val="0"/>
                <w:sz w:val="17"/>
              </w:rPr>
              <w:t>Sentence embeddings plus TF-IDF in /api/hybrid-match when both paths are available.</w:t>
            </w:r>
          </w:p>
        </w:tc>
        <w:tc>
          <w:tcPr>
            <w:tcW w:type="dxa" w:w="2232"/>
            <w:vAlign w:val="center"/>
          </w:tcPr>
          <w:p>
            <w:pPr>
              <w:spacing w:before="0" w:after="0" w:line="252" w:lineRule="auto"/>
              <w:jc w:val="left"/>
            </w:pPr>
            <w:r/>
            <w:r>
              <w:rPr>
                <w:rFonts w:ascii="Calibri" w:hAnsi="Calibri"/>
                <w:b w:val="0"/>
                <w:sz w:val="17"/>
              </w:rPr>
              <w:t>60 percent semantic/adaptive plus 40 percent TF-IDF in that endpoint.</w:t>
            </w:r>
          </w:p>
        </w:tc>
        <w:tc>
          <w:tcPr>
            <w:tcW w:type="dxa" w:w="2790"/>
            <w:vAlign w:val="center"/>
          </w:tcPr>
          <w:p>
            <w:pPr>
              <w:spacing w:before="0" w:after="0" w:line="252" w:lineRule="auto"/>
              <w:jc w:val="left"/>
            </w:pPr>
            <w:r/>
            <w:r>
              <w:rPr>
                <w:rFonts w:ascii="Calibri" w:hAnsi="Calibri"/>
                <w:b w:val="0"/>
                <w:sz w:val="17"/>
              </w:rPr>
              <w:t>The fallback helps explainable matching but is not a substitute for full semantic evaluation.</w:t>
            </w:r>
          </w:p>
        </w:tc>
      </w:tr>
    </w:tbl>
    <w:p>
      <w:pPr>
        <w:spacing w:after="80"/>
      </w:pPr>
    </w:p>
    <w:p>
      <w:bookmarkStart w:id="142597034" w:name="bm_table_19"/>
      <w:pPr>
        <w:jc w:val="center"/>
      </w:pPr>
      <w:r>
        <w:rPr>
          <w:i/>
        </w:rPr>
        <w:t>Table 19. Semantic matching and TF-IDF example results.</w:t>
      </w:r>
      <w:bookmarkEnd w:id="142597034"/>
    </w:p>
    <w:p>
      <w:bookmarkStart w:id="1401007937" w:name="bm_6_11_model_evaluation_limitations"/>
      <w:pPr>
        <w:pStyle w:val="Heading2"/>
        <w:keepNext/>
      </w:pPr>
      <w:r>
        <w:t>6.11 Model Evaluation Limitations</w:t>
      </w:r>
      <w:bookmarkEnd w:id="1401007937"/>
    </w:p>
    <w:p>
      <w:pPr>
        <w:pStyle w:val="ListBullet"/>
      </w:pPr>
      <w:r>
        <w:t>The committed notebook includes metric code but no saved metric output cells.</w:t>
      </w:r>
    </w:p>
    <w:p>
      <w:pPr>
        <w:pStyle w:val="ListBullet"/>
      </w:pPr>
      <w:r>
        <w:t>The cleaned labeled dataset used for final training is not committed.</w:t>
      </w:r>
    </w:p>
    <w:p>
      <w:pPr>
        <w:pStyle w:val="ListBullet"/>
      </w:pPr>
      <w:r>
        <w:t>The model-weight folder is ignored by Git; safe local metadata was inspected, but binary weights were not copied or benchmarked.</w:t>
      </w:r>
    </w:p>
    <w:p>
      <w:pPr>
        <w:pStyle w:val="ListBullet"/>
      </w:pPr>
      <w:r>
        <w:t>Local documentation Python did not include transformer, sentence-transformer, OCR, PDF, or Gemini packages, so live model inference and training were not rerun here.</w:t>
      </w:r>
    </w:p>
    <w:p>
      <w:pPr>
        <w:pStyle w:val="ListBullet"/>
      </w:pPr>
      <w:r>
        <w:t>The examples in Table 18 are expected-behavior examples, while the TF-IDF values in Table 19 are actual small local fallback checks.</w:t>
      </w:r>
    </w:p>
    <w:p>
      <w:pPr>
        <w:pStyle w:val="ListBullet"/>
      </w:pPr>
      <w:r>
        <w:t>A stronger final defense package should add a fixed labeled CV test set, saved per-label NER metrics, and CI-friendly inference smoke tests.</w:t>
      </w:r>
    </w:p>
    <w:p>
      <w:bookmarkStart w:id="2137539355" w:name="bm_6_12_cv_analyzer_mini_dataset_evaluation"/>
      <w:pPr>
        <w:pStyle w:val="Heading2"/>
        <w:keepNext/>
      </w:pPr>
      <w:r>
        <w:t>6.12 CV Analyzer Mini Dataset Evaluation</w:t>
      </w:r>
      <w:bookmarkEnd w:id="2137539355"/>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31924563" w:name="bm_6_13_recommendation_mini_dataset_evaluation"/>
      <w:pPr>
        <w:pStyle w:val="Heading2"/>
        <w:keepNext/>
      </w:pPr>
      <w:r>
        <w:t>6.13 Recommendation Mini Dataset Evaluation</w:t>
      </w:r>
      <w:bookmarkEnd w:id="31924563"/>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310306779" w:name="bm_6_14_gap_analysis_mini_dataset_evaluation"/>
      <w:pPr>
        <w:pStyle w:val="Heading2"/>
        <w:keepNext/>
      </w:pPr>
      <w:r>
        <w:t>6.14 Gap Analysis Mini Dataset Evaluation</w:t>
      </w:r>
      <w:bookmarkEnd w:id="1310306779"/>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445580302" w:name="bm_mini_dataset_files"/>
      <w:pPr>
        <w:pStyle w:val="Heading3"/>
        <w:keepNext/>
      </w:pPr>
      <w:r>
        <w:t>Mini Dataset Files</w:t>
      </w:r>
      <w:bookmarkEnd w:id="445580302"/>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240406496" w:name="bm_table_20"/>
      <w:pPr>
        <w:jc w:val="center"/>
      </w:pPr>
      <w:r>
        <w:rPr>
          <w:i/>
        </w:rPr>
        <w:t>Table 20. Mini CV dataset.</w:t>
      </w:r>
      <w:bookmarkEnd w:id="24040649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1651418378" w:name="bm_table_21"/>
      <w:pPr>
        <w:jc w:val="center"/>
      </w:pPr>
      <w:r>
        <w:rPr>
          <w:i/>
        </w:rPr>
        <w:t>Table 21. Mini job dataset.</w:t>
      </w:r>
      <w:bookmarkEnd w:id="1651418378"/>
    </w:p>
    <w:p>
      <w:bookmarkStart w:id="506263338" w:name="bm_metric_definitions"/>
      <w:pPr>
        <w:pStyle w:val="Heading3"/>
        <w:keepNext/>
      </w:pPr>
      <w:r>
        <w:t>Metric Definitions</w:t>
      </w:r>
      <w:bookmarkEnd w:id="506263338"/>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178487030" w:name="bm_table_22"/>
      <w:pPr>
        <w:jc w:val="center"/>
      </w:pPr>
      <w:r>
        <w:rPr>
          <w:i/>
        </w:rPr>
        <w:t>Table 22. Mini evaluation metrics.</w:t>
      </w:r>
      <w:bookmarkEnd w:id="178487030"/>
    </w:p>
    <w:p>
      <w:bookmarkStart w:id="1438769273" w:name="bm_recommendation_ranking_details"/>
      <w:pPr>
        <w:pStyle w:val="Heading3"/>
        <w:keepNext/>
      </w:pPr>
      <w:r>
        <w:t>Recommendation Ranking Details</w:t>
      </w:r>
      <w:bookmarkEnd w:id="1438769273"/>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1768489926" w:name="bm_table_23"/>
      <w:pPr>
        <w:jc w:val="center"/>
      </w:pPr>
      <w:r>
        <w:rPr>
          <w:i/>
        </w:rPr>
        <w:t>Table 23. Recommendation ranking details.</w:t>
      </w:r>
      <w:bookmarkEnd w:id="1768489926"/>
    </w:p>
    <w:p>
      <w:bookmarkStart w:id="1781143035" w:name="bm_gap_analysis_pair_details"/>
      <w:pPr>
        <w:pStyle w:val="Heading3"/>
        <w:keepNext/>
      </w:pPr>
      <w:r>
        <w:t>Gap Analysis Pair Details</w:t>
      </w:r>
      <w:bookmarkEnd w:id="17811430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654500185" w:name="bm_table_24"/>
      <w:pPr>
        <w:jc w:val="center"/>
      </w:pPr>
      <w:r>
        <w:rPr>
          <w:i/>
        </w:rPr>
        <w:t>Table 24. Gap analysis pair details.</w:t>
      </w:r>
      <w:bookmarkEnd w:id="1654500185"/>
    </w:p>
    <w:p>
      <w:bookmarkStart w:id="2124803670" w:name="bm_6_15_job_miner_evaluation"/>
      <w:pPr>
        <w:pStyle w:val="Heading2"/>
        <w:keepNext/>
      </w:pPr>
      <w:r>
        <w:t>6.15 Job Miner Evaluation</w:t>
      </w:r>
      <w:bookmarkEnd w:id="2124803670"/>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576205327" w:name="bm_6_16_application_tracker_evaluation"/>
      <w:pPr>
        <w:pStyle w:val="Heading2"/>
        <w:keepNext/>
      </w:pPr>
      <w:r>
        <w:t>6.16 Application Tracker Evaluation</w:t>
      </w:r>
      <w:bookmarkEnd w:id="576205327"/>
    </w:p>
    <w:p>
      <w:r>
        <w:t>The application tracker was evaluated by saving a selected job to the tracker and loading the Applications page. The screenshot shows saved opportunity state. Backend tests also include application tracker behavior.</w:t>
      </w:r>
    </w:p>
    <w:p>
      <w:bookmarkStart w:id="419429809" w:name="bm_6_17_admin_dashboard_evaluation"/>
      <w:pPr>
        <w:pStyle w:val="Heading2"/>
        <w:keepNext/>
      </w:pPr>
      <w:r>
        <w:t>6.17 Admin Dashboard Evaluation</w:t>
      </w:r>
      <w:bookmarkEnd w:id="419429809"/>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2097895603" w:name="bm_6_18_performance_observations"/>
      <w:pPr>
        <w:pStyle w:val="Heading2"/>
        <w:keepNext/>
      </w:pPr>
      <w:r>
        <w:t>6.18 Performance Observations</w:t>
      </w:r>
      <w:bookmarkEnd w:id="2097895603"/>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180772573" w:name="bm_6_19_evaluation_limitations"/>
      <w:pPr>
        <w:pStyle w:val="Heading2"/>
        <w:keepNext/>
      </w:pPr>
      <w:r>
        <w:t>6.19 Evaluation Limitations</w:t>
      </w:r>
      <w:bookmarkEnd w:id="180772573"/>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AI CV Analyzer training notebook was inspected, but full model training was not executed because the cleaned training dataset and external generation keys are not committed and the workflow is designed for Colab GPU execution.</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219981658" w:name="bm_6_20_summary_of_results"/>
      <w:pPr>
        <w:pStyle w:val="Heading2"/>
        <w:keepNext/>
      </w:pPr>
      <w:r>
        <w:t>6.20 Summary of Results</w:t>
      </w:r>
      <w:bookmarkEnd w:id="121998165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1041027711" w:name="bm_table_25"/>
      <w:pPr>
        <w:jc w:val="center"/>
      </w:pPr>
      <w:r>
        <w:rPr>
          <w:i/>
        </w:rPr>
        <w:t>Table 25. Automated validation results.</w:t>
      </w:r>
      <w:bookmarkEnd w:id="104102771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23-25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31</w:t>
            </w:r>
          </w:p>
        </w:tc>
      </w:tr>
    </w:tbl>
    <w:p>
      <w:pPr>
        <w:spacing w:after="80"/>
      </w:pPr>
    </w:p>
    <w:p>
      <w:bookmarkStart w:id="1876243514" w:name="bm_table_26"/>
      <w:pPr>
        <w:jc w:val="center"/>
      </w:pPr>
      <w:r>
        <w:rPr>
          <w:i/>
        </w:rPr>
        <w:t>Table 26. Manual functional evaluation matrix.</w:t>
      </w:r>
      <w:bookmarkEnd w:id="187624351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839403723" w:name="bm_table_27"/>
      <w:pPr>
        <w:jc w:val="center"/>
      </w:pPr>
      <w:r>
        <w:rPr>
          <w:i/>
        </w:rPr>
        <w:t>Table 27. Manual functional observations.</w:t>
      </w:r>
      <w:bookmarkEnd w:id="1839403723"/>
    </w:p>
    <w:p>
      <w:r>
        <w:br w:type="page"/>
      </w:r>
    </w:p>
    <w:p>
      <w:bookmarkStart w:id="1424237223" w:name="bm_chapter_7_security_and_privacy"/>
      <w:pPr>
        <w:pStyle w:val="Heading1"/>
        <w:keepNext/>
      </w:pPr>
      <w:r>
        <w:t>Chapter 7: Security and Privacy</w:t>
      </w:r>
      <w:bookmarkEnd w:id="1424237223"/>
    </w:p>
    <w:p>
      <w:bookmarkStart w:id="444363737" w:name="bm_7_1_introduction"/>
      <w:pPr>
        <w:pStyle w:val="Heading2"/>
        <w:keepNext/>
      </w:pPr>
      <w:r>
        <w:t>7.1 Introduction</w:t>
      </w:r>
      <w:bookmarkEnd w:id="444363737"/>
    </w:p>
    <w:p>
      <w:r>
        <w:t>Security in CareerCompass is implemented for a graduation/demo context. The system includes meaningful controls, but it should not be presented as production-grade without future hardening, legal review, and operational security work.</w:t>
      </w:r>
    </w:p>
    <w:p>
      <w:bookmarkStart w:id="1258933865" w:name="bm_7_2_authentication_and_authorization"/>
      <w:pPr>
        <w:pStyle w:val="Heading2"/>
        <w:keepNext/>
      </w:pPr>
      <w:r>
        <w:t>7.2 Authentication and Authorization</w:t>
      </w:r>
      <w:bookmarkEnd w:id="1258933865"/>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2116316118" w:name="bm_7_3_admin_access_control"/>
      <w:pPr>
        <w:pStyle w:val="Heading2"/>
        <w:keepNext/>
      </w:pPr>
      <w:r>
        <w:t>7.3 Admin Access Control</w:t>
      </w:r>
      <w:bookmarkEnd w:id="2116316118"/>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748468810" w:name="bm_7_4_cv_file_privacy"/>
      <w:pPr>
        <w:pStyle w:val="Heading2"/>
        <w:keepNext/>
      </w:pPr>
      <w:r>
        <w:t>7.4 CV File Privacy</w:t>
      </w:r>
      <w:bookmarkEnd w:id="748468810"/>
    </w:p>
    <w:p>
      <w:r>
        <w:t>CV files contain personal data. CareerCompass validates file type and size, stores files privately, and avoids public direct file exposure. OWASP's file upload guidance emphasizes validation, restricted storage, and safe handling [27].</w:t>
      </w:r>
    </w:p>
    <w:p>
      <w:bookmarkStart w:id="765909274" w:name="bm_7_5_private_storage_and_signed_downloads"/>
      <w:pPr>
        <w:pStyle w:val="Heading2"/>
        <w:keepNext/>
      </w:pPr>
      <w:r>
        <w:t>7.5 Private Storage and Signed Downloads</w:t>
      </w:r>
      <w:bookmarkEnd w:id="765909274"/>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r>
        <w:t>The model-training workflow is intentionally documented separately from runtime CV processing. Synthetic training snippets may be generated through Google AI developer tooling [34], [35], but real student CV uploads should not be sent to external AI APIs without explicit consent, a privacy notice, retention rules, and supervisory approval. In the demonstrated runtime, Laravel sends the uploaded file to the local FastAPI analyzer service and stores the file privately; the Gemini-based generator is a training-support script, not the normal CV-upload path.</w:t>
      </w:r>
    </w:p>
    <w:p>
      <w:bookmarkStart w:id="1364015884" w:name="bm_7_6_internal_service_tokens"/>
      <w:pPr>
        <w:pStyle w:val="Heading2"/>
        <w:keepNext/>
      </w:pPr>
      <w:r>
        <w:t>7.6 Internal Service Tokens</w:t>
      </w:r>
      <w:bookmarkEnd w:id="1364015884"/>
    </w:p>
    <w:p>
      <w:r>
        <w:t>Scraper import routes use a service token middleware. This reduces accidental public ingestion, but service tokens must be rotated, stored securely, and monitored in production.</w:t>
      </w:r>
    </w:p>
    <w:p>
      <w:bookmarkStart w:id="1224895015" w:name="bm_7_7_payload_and_file_validation"/>
      <w:pPr>
        <w:pStyle w:val="Heading2"/>
        <w:keepNext/>
      </w:pPr>
      <w:r>
        <w:t>7.7 Payload and File Validation</w:t>
      </w:r>
      <w:bookmarkEnd w:id="1224895015"/>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831967579" w:name="bm_7_8_logging_and_request_ids"/>
      <w:pPr>
        <w:pStyle w:val="Heading2"/>
        <w:keepNext/>
      </w:pPr>
      <w:r>
        <w:t>7.8 Logging and Request IDs</w:t>
      </w:r>
      <w:bookmarkEnd w:id="831967579"/>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1682104608" w:name="bm_7_9_demo_security_limitations"/>
      <w:pPr>
        <w:pStyle w:val="Heading2"/>
        <w:keepNext/>
      </w:pPr>
      <w:r>
        <w:t>7.9 Demo Security Limitations</w:t>
      </w:r>
      <w:bookmarkEnd w:id="168210460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2100045816" w:name="bm_table_28"/>
      <w:pPr>
        <w:jc w:val="center"/>
      </w:pPr>
      <w:r>
        <w:rPr>
          <w:i/>
        </w:rPr>
        <w:t>Table 28. Security and privacy controls.</w:t>
      </w:r>
      <w:bookmarkEnd w:id="2100045816"/>
    </w:p>
    <w:p>
      <w:bookmarkStart w:id="1483713669" w:name="bm_7_10_future_production_hardening"/>
      <w:pPr>
        <w:pStyle w:val="Heading2"/>
        <w:keepNext/>
      </w:pPr>
      <w:r>
        <w:t>7.10 Future Production Hardening</w:t>
      </w:r>
      <w:bookmarkEnd w:id="1483713669"/>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1230802693" w:name="bm_chapter_8_conclusion_and_future_work"/>
      <w:pPr>
        <w:pStyle w:val="Heading1"/>
        <w:keepNext/>
      </w:pPr>
      <w:r>
        <w:t>Chapter 8: Conclusion and Future Work</w:t>
      </w:r>
      <w:bookmarkEnd w:id="1230802693"/>
    </w:p>
    <w:p>
      <w:bookmarkStart w:id="471503102" w:name="bm_8_1_conclusion"/>
      <w:pPr>
        <w:pStyle w:val="Heading2"/>
        <w:keepNext/>
      </w:pPr>
      <w:r>
        <w:t>8.1 Conclusion</w:t>
      </w:r>
      <w:bookmarkEnd w:id="471503102"/>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1583618366" w:name="bm_8_2_project_achievements"/>
      <w:pPr>
        <w:pStyle w:val="Heading2"/>
        <w:keepNext/>
      </w:pPr>
      <w:r>
        <w:t>8.2 Project Achievements</w:t>
      </w:r>
      <w:bookmarkEnd w:id="1583618366"/>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Documented the AI CV Analyzer runtime architecture, optional local NER artifact path, synthetic data-generation workflow, and Colab training notebook.</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026122546" w:name="bm_8_3_educational_value"/>
      <w:pPr>
        <w:pStyle w:val="Heading2"/>
        <w:keepNext/>
      </w:pPr>
      <w:r>
        <w:t>8.3 Educational Value</w:t>
      </w:r>
      <w:bookmarkEnd w:id="2026122546"/>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138453503" w:name="bm_8_4_current_limitations"/>
      <w:pPr>
        <w:pStyle w:val="Heading2"/>
        <w:keepNext/>
      </w:pPr>
      <w:r>
        <w:t>8.4 Current Limitations</w:t>
      </w:r>
      <w:bookmarkEnd w:id="1138453503"/>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committed training logs, and repeatable model scoring.</w:t>
      </w:r>
    </w:p>
    <w:p>
      <w:pPr>
        <w:pStyle w:val="ListBullet"/>
      </w:pPr>
      <w:r>
        <w:t>The exported NER model artifact path is supported by the runtime, but model weights are ignored by Git and the repository does not include a reproducible final metric run from the training notebook.</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413991540" w:name="bm_8_5_future_work"/>
      <w:pPr>
        <w:pStyle w:val="Heading2"/>
        <w:keepNext/>
      </w:pPr>
      <w:r>
        <w:t>8.5 Future Work</w:t>
      </w:r>
      <w:bookmarkEnd w:id="413991540"/>
    </w:p>
    <w:p>
      <w:pPr>
        <w:pStyle w:val="ListBullet"/>
      </w:pPr>
      <w:r>
        <w:t>Add a larger CV/job evaluation dataset with manual labels.</w:t>
      </w:r>
    </w:p>
    <w:p>
      <w:pPr>
        <w:pStyle w:val="ListBullet"/>
      </w:pPr>
      <w:r>
        <w:t>Add a reproducible NER evaluation pipeline that runs on a fixed labeled test set and records per-label precision, recall, and F1.</w:t>
      </w:r>
    </w:p>
    <w:p>
      <w:pPr>
        <w:pStyle w:val="ListBullet"/>
      </w:pPr>
      <w:r>
        <w:t>Store model cards, dataset cards, and training-run summaries for each exported model artifact.</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823490610" w:name="bm_8_6_final_remarks"/>
      <w:pPr>
        <w:pStyle w:val="Heading2"/>
        <w:keepNext/>
      </w:pPr>
      <w:r>
        <w:t>8.6 Final Remarks</w:t>
      </w:r>
      <w:bookmarkEnd w:id="823490610"/>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860574193" w:name="bm_references"/>
      <w:pPr>
        <w:pStyle w:val="Heading1"/>
        <w:keepNext/>
      </w:pPr>
      <w:r>
        <w:t>References</w:t>
      </w:r>
      <w:bookmarkEnd w:id="1860574193"/>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t>[31] Hugging Face, "Transformers Documentation," Hugging Face Documentation, 2026. [Online]. Available: https://huggingface.co/docs/transformers/index. Accessed: June 6, 2026.</w:t>
      </w:r>
    </w:p>
    <w:p>
      <w:r>
        <w:t>[32] Hugging Face, "Token Classification," Hugging Face Documentation, 2026. [Online]. Available: https://huggingface.co/docs/transformers/tasks/token_classification. Accessed: June 6, 2026.</w:t>
      </w:r>
    </w:p>
    <w:p>
      <w:r>
        <w:t>[33] Hugging Face, "Trainer," Hugging Face Documentation, 2026. [Online]. Available: https://huggingface.co/docs/transformers/main_classes/trainer. Accessed: June 6, 2026.</w:t>
      </w:r>
    </w:p>
    <w:p>
      <w:r>
        <w:t>[34] Google, "Gemini API Documentation," Google AI for Developers, 2026. [Online]. Available: https://ai.google.dev/gemini-api/docs. Accessed: June 6, 2026.</w:t>
      </w:r>
    </w:p>
    <w:p>
      <w:r>
        <w:t>[35] Google, "Google AI Studio," Google AI for Developers, 2026. [Online]. Available: https://ai.google.dev/aistudio. Accessed: June 6, 2026.</w:t>
      </w:r>
    </w:p>
    <w:p>
      <w:r>
        <w:t>[36] Google, "Google Colaboratory FAQ," Google Research, 2026. [Online]. Available: https://research.google.com/colaboratory/faq.html. Accessed: June 6, 2026.</w:t>
      </w:r>
    </w:p>
    <w:p>
      <w:r>
        <w:t>[37] Jacob Devlin, Ming-Wei Chang, Kenton Lee, and Kristina Toutanova, "BERT: Pre-training of Deep Bidirectional Transformers for Language Understanding," arXiv, 2018. [Online]. Available: https://arxiv.org/abs/1810.04805. Accessed: June 6, 2026.</w:t>
      </w:r>
    </w:p>
    <w:p>
      <w:r>
        <w:t>[38] PyTorch, "Dynamic Quantization," PyTorch Tutorials, 2026. [Online]. Available: https://docs.pytorch.org/tutorials/recipes/recipes/dynamic_quantization.html. Accessed: June 6, 2026.</w:t>
      </w:r>
    </w:p>
    <w:p>
      <w:r>
        <w:br w:type="page"/>
      </w:r>
    </w:p>
    <w:p>
      <w:bookmarkStart w:id="696028637" w:name="bm_appendices"/>
      <w:pPr>
        <w:pStyle w:val="Heading1"/>
        <w:keepNext/>
      </w:pPr>
      <w:r>
        <w:t>Appendices</w:t>
      </w:r>
      <w:bookmarkEnd w:id="696028637"/>
    </w:p>
    <w:p>
      <w:bookmarkStart w:id="958438569" w:name="bm_appendix_a_api_endpoint_summary"/>
      <w:pPr>
        <w:pStyle w:val="Heading2"/>
        <w:keepNext/>
      </w:pPr>
      <w:r>
        <w:t>Appendix A: API Endpoint Summary</w:t>
      </w:r>
      <w:bookmarkEnd w:id="95843856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560374011" w:name="bm_table_29"/>
      <w:pPr>
        <w:jc w:val="center"/>
      </w:pPr>
      <w:r>
        <w:rPr>
          <w:i/>
        </w:rPr>
        <w:t>Table 29. API endpoint summary.</w:t>
      </w:r>
      <w:bookmarkEnd w:id="1560374011"/>
    </w:p>
    <w:p>
      <w:bookmarkStart w:id="63368466" w:name="bm_appendix_b_database_tables_summary"/>
      <w:pPr>
        <w:pStyle w:val="Heading2"/>
        <w:keepNext/>
      </w:pPr>
      <w:r>
        <w:t>Appendix B: Database Tables Summary</w:t>
      </w:r>
      <w:bookmarkEnd w:id="63368466"/>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984362357" w:name="bm_table_30"/>
      <w:pPr>
        <w:jc w:val="center"/>
      </w:pPr>
      <w:r>
        <w:rPr>
          <w:i/>
        </w:rPr>
        <w:t>Table 30. Database tables summary.</w:t>
      </w:r>
      <w:bookmarkEnd w:id="984362357"/>
    </w:p>
    <w:p>
      <w:bookmarkStart w:id="1313495741" w:name="bm_appendix_c_docker_services_summary"/>
      <w:pPr>
        <w:pStyle w:val="Heading2"/>
        <w:keepNext/>
      </w:pPr>
      <w:r>
        <w:t>Appendix C: Docker Services Summary</w:t>
      </w:r>
      <w:bookmarkEnd w:id="1313495741"/>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1887484449" w:name="bm_table_31"/>
      <w:pPr>
        <w:jc w:val="center"/>
      </w:pPr>
      <w:r>
        <w:rPr>
          <w:i/>
        </w:rPr>
        <w:t>Table 31. Docker services summary.</w:t>
      </w:r>
      <w:bookmarkEnd w:id="1887484449"/>
    </w:p>
    <w:p>
      <w:bookmarkStart w:id="1584237637" w:name="bm_appendix_d_screenshots"/>
      <w:pPr>
        <w:pStyle w:val="Heading2"/>
        <w:keepNext/>
      </w:pPr>
      <w:r>
        <w:t>Appendix D: Screenshots</w:t>
      </w:r>
      <w:bookmarkEnd w:id="1584237637"/>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01_home.png"/>
                    <pic:cNvPicPr/>
                  </pic:nvPicPr>
                  <pic:blipFill>
                    <a:blip r:embed="rId44"/>
                    <a:stretch>
                      <a:fillRect/>
                    </a:stretch>
                  </pic:blipFill>
                  <pic:spPr>
                    <a:xfrm>
                      <a:off x="0" y="0"/>
                      <a:ext cx="5577840" cy="3136004"/>
                    </a:xfrm>
                    <a:prstGeom prst="rect"/>
                  </pic:spPr>
                </pic:pic>
              </a:graphicData>
            </a:graphic>
          </wp:inline>
        </w:drawing>
      </w:r>
    </w:p>
    <w:p>
      <w:bookmarkStart w:id="1726283998" w:name="bm_figure_19"/>
      <w:pPr>
        <w:jc w:val="center"/>
      </w:pPr>
      <w:r>
        <w:rPr>
          <w:i/>
        </w:rPr>
        <w:t>Figure 19. Home page.</w:t>
      </w:r>
      <w:bookmarkEnd w:id="1726283998"/>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02_register.png"/>
                    <pic:cNvPicPr/>
                  </pic:nvPicPr>
                  <pic:blipFill>
                    <a:blip r:embed="rId45"/>
                    <a:stretch>
                      <a:fillRect/>
                    </a:stretch>
                  </pic:blipFill>
                  <pic:spPr>
                    <a:xfrm>
                      <a:off x="0" y="0"/>
                      <a:ext cx="5577840" cy="3136004"/>
                    </a:xfrm>
                    <a:prstGeom prst="rect"/>
                  </pic:spPr>
                </pic:pic>
              </a:graphicData>
            </a:graphic>
          </wp:inline>
        </w:drawing>
      </w:r>
    </w:p>
    <w:p>
      <w:bookmarkStart w:id="1727199761" w:name="bm_figure_20"/>
      <w:pPr>
        <w:jc w:val="center"/>
      </w:pPr>
      <w:r>
        <w:rPr>
          <w:i/>
        </w:rPr>
        <w:t>Figure 20. Register page.</w:t>
      </w:r>
      <w:bookmarkEnd w:id="1727199761"/>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03_login.png"/>
                    <pic:cNvPicPr/>
                  </pic:nvPicPr>
                  <pic:blipFill>
                    <a:blip r:embed="rId46"/>
                    <a:stretch>
                      <a:fillRect/>
                    </a:stretch>
                  </pic:blipFill>
                  <pic:spPr>
                    <a:xfrm>
                      <a:off x="0" y="0"/>
                      <a:ext cx="5577840" cy="3136004"/>
                    </a:xfrm>
                    <a:prstGeom prst="rect"/>
                  </pic:spPr>
                </pic:pic>
              </a:graphicData>
            </a:graphic>
          </wp:inline>
        </w:drawing>
      </w:r>
    </w:p>
    <w:p>
      <w:bookmarkStart w:id="1627789504" w:name="bm_figure_21"/>
      <w:pPr>
        <w:jc w:val="center"/>
      </w:pPr>
      <w:r>
        <w:rPr>
          <w:i/>
        </w:rPr>
        <w:t>Figure 21. Login page.</w:t>
      </w:r>
      <w:bookmarkEnd w:id="1627789504"/>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04_dashboard_before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22. Student dashboard before CV upload.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05_cv_upload_ui.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23. CV upload user interface.</w:t>
      </w:r>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06_dashboard_after_cv_upload.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24. Dashboard after successful CV parsing.</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07_extracted_profile_skills.png"/>
                    <pic:cNvPicPr/>
                  </pic:nvPicPr>
                  <pic:blipFill>
                    <a:blip r:embed="rId33"/>
                    <a:stretch>
                      <a:fillRect/>
                    </a:stretch>
                  </pic:blipFill>
                  <pic:spPr>
                    <a:xfrm>
                      <a:off x="0" y="0"/>
                      <a:ext cx="5577840" cy="3136004"/>
                    </a:xfrm>
                    <a:prstGeom prst="rect"/>
                  </pic:spPr>
                </pic:pic>
              </a:graphicData>
            </a:graphic>
          </wp:inline>
        </w:drawing>
      </w:r>
    </w:p>
    <w:p>
      <w:pPr>
        <w:jc w:val="center"/>
      </w:pPr>
      <w:r>
        <w:rPr>
          <w:i/>
        </w:rPr>
        <w:t>Figure 25. Extracted profile and skills page.</w:t>
      </w:r>
    </w:p>
    <w:p>
      <w:pPr>
        <w:jc w:val="center"/>
      </w:pPr>
      <w:r>
        <w:drawing>
          <wp:inline xmlns:a="http://schemas.openxmlformats.org/drawingml/2006/main" xmlns:pic="http://schemas.openxmlformats.org/drawingml/2006/picture">
            <wp:extent cx="5577840" cy="3136004"/>
            <wp:docPr id="42" name="Picture 42"/>
            <wp:cNvGraphicFramePr>
              <a:graphicFrameLocks noChangeAspect="1"/>
            </wp:cNvGraphicFramePr>
            <a:graphic>
              <a:graphicData uri="http://schemas.openxmlformats.org/drawingml/2006/picture">
                <pic:pic>
                  <pic:nvPicPr>
                    <pic:cNvPr id="0" name="08_jobs_recommendations.png"/>
                    <pic:cNvPicPr/>
                  </pic:nvPicPr>
                  <pic:blipFill>
                    <a:blip r:embed="rId35"/>
                    <a:stretch>
                      <a:fillRect/>
                    </a:stretch>
                  </pic:blipFill>
                  <pic:spPr>
                    <a:xfrm>
                      <a:off x="0" y="0"/>
                      <a:ext cx="5577840" cy="3136004"/>
                    </a:xfrm>
                    <a:prstGeom prst="rect"/>
                  </pic:spPr>
                </pic:pic>
              </a:graphicData>
            </a:graphic>
          </wp:inline>
        </w:drawing>
      </w:r>
    </w:p>
    <w:p>
      <w:pPr>
        <w:jc w:val="center"/>
      </w:pPr>
      <w:r>
        <w:rPr>
          <w:i/>
        </w:rPr>
        <w:t>Figure 26. Jobs recommendations page.</w:t>
      </w:r>
    </w:p>
    <w:p>
      <w:pPr>
        <w:jc w:val="center"/>
      </w:pPr>
      <w:r>
        <w:drawing>
          <wp:inline xmlns:a="http://schemas.openxmlformats.org/drawingml/2006/main" xmlns:pic="http://schemas.openxmlformats.org/drawingml/2006/picture">
            <wp:extent cx="5577840" cy="3136004"/>
            <wp:docPr id="43" name="Picture 43"/>
            <wp:cNvGraphicFramePr>
              <a:graphicFrameLocks noChangeAspect="1"/>
            </wp:cNvGraphicFramePr>
            <a:graphic>
              <a:graphicData uri="http://schemas.openxmlformats.org/drawingml/2006/picture">
                <pic:pic>
                  <pic:nvPicPr>
                    <pic:cNvPr id="0" name="09_job_details_and_inline_gap.png"/>
                    <pic:cNvPicPr/>
                  </pic:nvPicPr>
                  <pic:blipFill>
                    <a:blip r:embed="rId47"/>
                    <a:stretch>
                      <a:fillRect/>
                    </a:stretch>
                  </pic:blipFill>
                  <pic:spPr>
                    <a:xfrm>
                      <a:off x="0" y="0"/>
                      <a:ext cx="5577840" cy="3136004"/>
                    </a:xfrm>
                    <a:prstGeom prst="rect"/>
                  </pic:spPr>
                </pic:pic>
              </a:graphicData>
            </a:graphic>
          </wp:inline>
        </w:drawing>
      </w:r>
    </w:p>
    <w:p>
      <w:bookmarkStart w:id="1272012459" w:name="bm_figure_27"/>
      <w:pPr>
        <w:jc w:val="center"/>
      </w:pPr>
      <w:r>
        <w:rPr>
          <w:i/>
        </w:rPr>
        <w:t>Figure 27. Job detail and inline gap panel.</w:t>
      </w:r>
      <w:bookmarkEnd w:id="1272012459"/>
    </w:p>
    <w:p>
      <w:pPr>
        <w:jc w:val="center"/>
      </w:pPr>
      <w:r>
        <w:drawing>
          <wp:inline xmlns:a="http://schemas.openxmlformats.org/drawingml/2006/main" xmlns:pic="http://schemas.openxmlformats.org/drawingml/2006/picture">
            <wp:extent cx="5577840" cy="3136004"/>
            <wp:docPr id="44" name="Picture 44"/>
            <wp:cNvGraphicFramePr>
              <a:graphicFrameLocks noChangeAspect="1"/>
            </wp:cNvGraphicFramePr>
            <a:graphic>
              <a:graphicData uri="http://schemas.openxmlformats.org/drawingml/2006/picture">
                <pic:pic>
                  <pic:nvPicPr>
                    <pic:cNvPr id="0" name="10_gap_analysis.png"/>
                    <pic:cNvPicPr/>
                  </pic:nvPicPr>
                  <pic:blipFill>
                    <a:blip r:embed="rId36"/>
                    <a:stretch>
                      <a:fillRect/>
                    </a:stretch>
                  </pic:blipFill>
                  <pic:spPr>
                    <a:xfrm>
                      <a:off x="0" y="0"/>
                      <a:ext cx="5577840" cy="3136004"/>
                    </a:xfrm>
                    <a:prstGeom prst="rect"/>
                  </pic:spPr>
                </pic:pic>
              </a:graphicData>
            </a:graphic>
          </wp:inline>
        </w:drawing>
      </w:r>
    </w:p>
    <w:p>
      <w:pPr>
        <w:jc w:val="center"/>
      </w:pPr>
      <w:r>
        <w:rPr>
          <w:i/>
        </w:rPr>
        <w:t>Figure 28. Gap analysis page.</w:t>
      </w:r>
    </w:p>
    <w:p>
      <w:pPr>
        <w:jc w:val="center"/>
      </w:pPr>
      <w:r>
        <w:drawing>
          <wp:inline xmlns:a="http://schemas.openxmlformats.org/drawingml/2006/main" xmlns:pic="http://schemas.openxmlformats.org/drawingml/2006/picture">
            <wp:extent cx="5577840" cy="3136004"/>
            <wp:docPr id="45" name="Picture 45"/>
            <wp:cNvGraphicFramePr>
              <a:graphicFrameLocks noChangeAspect="1"/>
            </wp:cNvGraphicFramePr>
            <a:graphic>
              <a:graphicData uri="http://schemas.openxmlformats.org/drawingml/2006/picture">
                <pic:pic>
                  <pic:nvPicPr>
                    <pic:cNvPr id="0" name="11_applications_tracker.png"/>
                    <pic:cNvPicPr/>
                  </pic:nvPicPr>
                  <pic:blipFill>
                    <a:blip r:embed="rId37"/>
                    <a:stretch>
                      <a:fillRect/>
                    </a:stretch>
                  </pic:blipFill>
                  <pic:spPr>
                    <a:xfrm>
                      <a:off x="0" y="0"/>
                      <a:ext cx="5577840" cy="3136004"/>
                    </a:xfrm>
                    <a:prstGeom prst="rect"/>
                  </pic:spPr>
                </pic:pic>
              </a:graphicData>
            </a:graphic>
          </wp:inline>
        </w:drawing>
      </w:r>
    </w:p>
    <w:p>
      <w:pPr>
        <w:jc w:val="center"/>
      </w:pPr>
      <w:r>
        <w:rPr>
          <w:i/>
        </w:rPr>
        <w:t>Figure 29. Applications tracker page.</w:t>
      </w:r>
    </w:p>
    <w:p>
      <w:pPr>
        <w:jc w:val="center"/>
      </w:pPr>
      <w:r>
        <w:drawing>
          <wp:inline xmlns:a="http://schemas.openxmlformats.org/drawingml/2006/main" xmlns:pic="http://schemas.openxmlformats.org/drawingml/2006/picture">
            <wp:extent cx="5577840" cy="3136004"/>
            <wp:docPr id="46" name="Picture 46"/>
            <wp:cNvGraphicFramePr>
              <a:graphicFrameLocks noChangeAspect="1"/>
            </wp:cNvGraphicFramePr>
            <a:graphic>
              <a:graphicData uri="http://schemas.openxmlformats.org/drawingml/2006/picture">
                <pic:pic>
                  <pic:nvPicPr>
                    <pic:cNvPr id="0" name="12_tools_hub.png"/>
                    <pic:cNvPicPr/>
                  </pic:nvPicPr>
                  <pic:blipFill>
                    <a:blip r:embed="rId41"/>
                    <a:stretch>
                      <a:fillRect/>
                    </a:stretch>
                  </pic:blipFill>
                  <pic:spPr>
                    <a:xfrm>
                      <a:off x="0" y="0"/>
                      <a:ext cx="5577840" cy="3136004"/>
                    </a:xfrm>
                    <a:prstGeom prst="rect"/>
                  </pic:spPr>
                </pic:pic>
              </a:graphicData>
            </a:graphic>
          </wp:inline>
        </w:drawing>
      </w:r>
    </w:p>
    <w:p>
      <w:pPr>
        <w:jc w:val="center"/>
      </w:pPr>
      <w:r>
        <w:rPr>
          <w:i/>
        </w:rPr>
        <w:t>Figure 30. Tools Hub preview page.</w:t>
      </w:r>
    </w:p>
    <w:p>
      <w:pPr>
        <w:jc w:val="center"/>
      </w:pPr>
      <w:r>
        <w:drawing>
          <wp:inline xmlns:a="http://schemas.openxmlformats.org/drawingml/2006/main" xmlns:pic="http://schemas.openxmlformats.org/drawingml/2006/picture">
            <wp:extent cx="5577840" cy="3136004"/>
            <wp:docPr id="47" name="Picture 47"/>
            <wp:cNvGraphicFramePr>
              <a:graphicFrameLocks noChangeAspect="1"/>
            </wp:cNvGraphicFramePr>
            <a:graphic>
              <a:graphicData uri="http://schemas.openxmlformats.org/drawingml/2006/picture">
                <pic:pic>
                  <pic:nvPicPr>
                    <pic:cNvPr id="0" name="13_system_status.png"/>
                    <pic:cNvPicPr/>
                  </pic:nvPicPr>
                  <pic:blipFill>
                    <a:blip r:embed="rId40"/>
                    <a:stretch>
                      <a:fillRect/>
                    </a:stretch>
                  </pic:blipFill>
                  <pic:spPr>
                    <a:xfrm>
                      <a:off x="0" y="0"/>
                      <a:ext cx="5577840" cy="3136004"/>
                    </a:xfrm>
                    <a:prstGeom prst="rect"/>
                  </pic:spPr>
                </pic:pic>
              </a:graphicData>
            </a:graphic>
          </wp:inline>
        </w:drawing>
      </w:r>
    </w:p>
    <w:p>
      <w:pPr>
        <w:jc w:val="center"/>
      </w:pPr>
      <w:r>
        <w:rPr>
          <w:i/>
        </w:rPr>
        <w:t>Figure 31. System status page.</w:t>
      </w:r>
    </w:p>
    <w:p>
      <w:pPr>
        <w:jc w:val="center"/>
      </w:pPr>
      <w:r>
        <w:drawing>
          <wp:inline xmlns:a="http://schemas.openxmlformats.org/drawingml/2006/main" xmlns:pic="http://schemas.openxmlformats.org/drawingml/2006/picture">
            <wp:extent cx="5577840" cy="3136004"/>
            <wp:docPr id="48" name="Picture 48"/>
            <wp:cNvGraphicFramePr>
              <a:graphicFrameLocks noChangeAspect="1"/>
            </wp:cNvGraphicFramePr>
            <a:graphic>
              <a:graphicData uri="http://schemas.openxmlformats.org/drawingml/2006/picture">
                <pic:pic>
                  <pic:nvPicPr>
                    <pic:cNvPr id="0" name="14_admin_dashboard.png"/>
                    <pic:cNvPicPr/>
                  </pic:nvPicPr>
                  <pic:blipFill>
                    <a:blip r:embed="rId38"/>
                    <a:stretch>
                      <a:fillRect/>
                    </a:stretch>
                  </pic:blipFill>
                  <pic:spPr>
                    <a:xfrm>
                      <a:off x="0" y="0"/>
                      <a:ext cx="5577840" cy="3136004"/>
                    </a:xfrm>
                    <a:prstGeom prst="rect"/>
                  </pic:spPr>
                </pic:pic>
              </a:graphicData>
            </a:graphic>
          </wp:inline>
        </w:drawing>
      </w:r>
    </w:p>
    <w:p>
      <w:pPr>
        <w:jc w:val="center"/>
      </w:pPr>
      <w:r>
        <w:rPr>
          <w:i/>
        </w:rPr>
        <w:t>Figure 32. Admin dashboard.</w:t>
      </w:r>
    </w:p>
    <w:p>
      <w:pPr>
        <w:jc w:val="center"/>
      </w:pPr>
      <w:r>
        <w:drawing>
          <wp:inline xmlns:a="http://schemas.openxmlformats.org/drawingml/2006/main" xmlns:pic="http://schemas.openxmlformats.org/drawingml/2006/picture">
            <wp:extent cx="5577840" cy="3136004"/>
            <wp:docPr id="49" name="Picture 49"/>
            <wp:cNvGraphicFramePr>
              <a:graphicFrameLocks noChangeAspect="1"/>
            </wp:cNvGraphicFramePr>
            <a:graphic>
              <a:graphicData uri="http://schemas.openxmlformats.org/drawingml/2006/picture">
                <pic:pic>
                  <pic:nvPicPr>
                    <pic:cNvPr id="0" name="15_admin_jobs.png"/>
                    <pic:cNvPicPr/>
                  </pic:nvPicPr>
                  <pic:blipFill>
                    <a:blip r:embed="rId48"/>
                    <a:stretch>
                      <a:fillRect/>
                    </a:stretch>
                  </pic:blipFill>
                  <pic:spPr>
                    <a:xfrm>
                      <a:off x="0" y="0"/>
                      <a:ext cx="5577840" cy="3136004"/>
                    </a:xfrm>
                    <a:prstGeom prst="rect"/>
                  </pic:spPr>
                </pic:pic>
              </a:graphicData>
            </a:graphic>
          </wp:inline>
        </w:drawing>
      </w:r>
    </w:p>
    <w:p>
      <w:bookmarkStart w:id="1043353214" w:name="bm_figure_33"/>
      <w:pPr>
        <w:jc w:val="center"/>
      </w:pPr>
      <w:r>
        <w:rPr>
          <w:i/>
        </w:rPr>
        <w:t>Figure 33. Admin jobs page.</w:t>
      </w:r>
      <w:bookmarkEnd w:id="1043353214"/>
    </w:p>
    <w:p>
      <w:pPr>
        <w:jc w:val="center"/>
      </w:pPr>
      <w:r>
        <w:drawing>
          <wp:inline xmlns:a="http://schemas.openxmlformats.org/drawingml/2006/main" xmlns:pic="http://schemas.openxmlformats.org/drawingml/2006/picture">
            <wp:extent cx="5577840" cy="3136004"/>
            <wp:docPr id="50" name="Picture 50"/>
            <wp:cNvGraphicFramePr>
              <a:graphicFrameLocks noChangeAspect="1"/>
            </wp:cNvGraphicFramePr>
            <a:graphic>
              <a:graphicData uri="http://schemas.openxmlformats.org/drawingml/2006/picture">
                <pic:pic>
                  <pic:nvPicPr>
                    <pic:cNvPr id="0" name="16_admin_sources_diagnostics.png"/>
                    <pic:cNvPicPr/>
                  </pic:nvPicPr>
                  <pic:blipFill>
                    <a:blip r:embed="rId34"/>
                    <a:stretch>
                      <a:fillRect/>
                    </a:stretch>
                  </pic:blipFill>
                  <pic:spPr>
                    <a:xfrm>
                      <a:off x="0" y="0"/>
                      <a:ext cx="5577840" cy="3136004"/>
                    </a:xfrm>
                    <a:prstGeom prst="rect"/>
                  </pic:spPr>
                </pic:pic>
              </a:graphicData>
            </a:graphic>
          </wp:inline>
        </w:drawing>
      </w:r>
    </w:p>
    <w:p>
      <w:pPr>
        <w:jc w:val="center"/>
      </w:pPr>
      <w:r>
        <w:rPr>
          <w:i/>
        </w:rPr>
        <w:t>Figure 34. Admin sources diagnostics page.</w:t>
      </w:r>
    </w:p>
    <w:p>
      <w:pPr>
        <w:jc w:val="center"/>
      </w:pPr>
      <w:r>
        <w:drawing>
          <wp:inline xmlns:a="http://schemas.openxmlformats.org/drawingml/2006/main" xmlns:pic="http://schemas.openxmlformats.org/drawingml/2006/picture">
            <wp:extent cx="5577840" cy="3136004"/>
            <wp:docPr id="51" name="Picture 51"/>
            <wp:cNvGraphicFramePr>
              <a:graphicFrameLocks noChangeAspect="1"/>
            </wp:cNvGraphicFramePr>
            <a:graphic>
              <a:graphicData uri="http://schemas.openxmlformats.org/drawingml/2006/picture">
                <pic:pic>
                  <pic:nvPicPr>
                    <pic:cNvPr id="0" name="17_admin_targets.png"/>
                    <pic:cNvPicPr/>
                  </pic:nvPicPr>
                  <pic:blipFill>
                    <a:blip r:embed="rId39"/>
                    <a:stretch>
                      <a:fillRect/>
                    </a:stretch>
                  </pic:blipFill>
                  <pic:spPr>
                    <a:xfrm>
                      <a:off x="0" y="0"/>
                      <a:ext cx="5577840" cy="3136004"/>
                    </a:xfrm>
                    <a:prstGeom prst="rect"/>
                  </pic:spPr>
                </pic:pic>
              </a:graphicData>
            </a:graphic>
          </wp:inline>
        </w:drawing>
      </w:r>
    </w:p>
    <w:p>
      <w:pPr>
        <w:jc w:val="center"/>
      </w:pPr>
      <w:r>
        <w:rPr>
          <w:i/>
        </w:rPr>
        <w:t>Figure 35. Admin target roles page.</w:t>
      </w:r>
    </w:p>
    <w:p>
      <w:pPr>
        <w:jc w:val="center"/>
      </w:pPr>
      <w:r>
        <w:drawing>
          <wp:inline xmlns:a="http://schemas.openxmlformats.org/drawingml/2006/main" xmlns:pic="http://schemas.openxmlformats.org/drawingml/2006/picture">
            <wp:extent cx="5577840" cy="3486150"/>
            <wp:docPr id="52" name="Picture 52"/>
            <wp:cNvGraphicFramePr>
              <a:graphicFrameLocks noChangeAspect="1"/>
            </wp:cNvGraphicFramePr>
            <a:graphic>
              <a:graphicData uri="http://schemas.openxmlformats.org/drawingml/2006/picture">
                <pic:pic>
                  <pic:nvPicPr>
                    <pic:cNvPr id="0" name="18_docker_containers.png"/>
                    <pic:cNvPicPr/>
                  </pic:nvPicPr>
                  <pic:blipFill>
                    <a:blip r:embed="rId42"/>
                    <a:stretch>
                      <a:fillRect/>
                    </a:stretch>
                  </pic:blipFill>
                  <pic:spPr>
                    <a:xfrm>
                      <a:off x="0" y="0"/>
                      <a:ext cx="5577840" cy="3486150"/>
                    </a:xfrm>
                    <a:prstGeom prst="rect"/>
                  </pic:spPr>
                </pic:pic>
              </a:graphicData>
            </a:graphic>
          </wp:inline>
        </w:drawing>
      </w:r>
    </w:p>
    <w:p>
      <w:pPr>
        <w:jc w:val="center"/>
      </w:pPr>
      <w:r>
        <w:rPr>
          <w:i/>
        </w:rPr>
        <w:t>Figure 36. Docker services evidence.</w:t>
      </w:r>
    </w:p>
    <w:p>
      <w:pPr>
        <w:jc w:val="center"/>
      </w:pPr>
      <w:r>
        <w:drawing>
          <wp:inline xmlns:a="http://schemas.openxmlformats.org/drawingml/2006/main" xmlns:pic="http://schemas.openxmlformats.org/drawingml/2006/picture">
            <wp:extent cx="5577840" cy="3486150"/>
            <wp:docPr id="53" name="Picture 53"/>
            <wp:cNvGraphicFramePr>
              <a:graphicFrameLocks noChangeAspect="1"/>
            </wp:cNvGraphicFramePr>
            <a:graphic>
              <a:graphicData uri="http://schemas.openxmlformats.org/drawingml/2006/picture">
                <pic:pic>
                  <pic:nvPicPr>
                    <pic:cNvPr id="0" name="19_validation_summary.png"/>
                    <pic:cNvPicPr/>
                  </pic:nvPicPr>
                  <pic:blipFill>
                    <a:blip r:embed="rId43"/>
                    <a:stretch>
                      <a:fillRect/>
                    </a:stretch>
                  </pic:blipFill>
                  <pic:spPr>
                    <a:xfrm>
                      <a:off x="0" y="0"/>
                      <a:ext cx="5577840" cy="3486150"/>
                    </a:xfrm>
                    <a:prstGeom prst="rect"/>
                  </pic:spPr>
                </pic:pic>
              </a:graphicData>
            </a:graphic>
          </wp:inline>
        </w:drawing>
      </w:r>
    </w:p>
    <w:p>
      <w:pPr>
        <w:jc w:val="center"/>
      </w:pPr>
      <w:r>
        <w:rPr>
          <w:i/>
        </w:rPr>
        <w:t>Figure 37. Validation command evidence.</w:t>
      </w:r>
    </w:p>
    <w:p>
      <w:bookmarkStart w:id="1019764206" w:name="bm_appendix_e_test_cases"/>
      <w:pPr>
        <w:pStyle w:val="Heading2"/>
        <w:keepNext/>
      </w:pPr>
      <w:r>
        <w:t>Appendix E: Test Cases</w:t>
      </w:r>
      <w:bookmarkEnd w:id="1019764206"/>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572683759" w:name="bm_appendix_f_github_actions_ci_summary"/>
      <w:pPr>
        <w:pStyle w:val="Heading2"/>
        <w:keepNext/>
      </w:pPr>
      <w:r>
        <w:t>Appendix F: GitHub Actions / CI Summary</w:t>
      </w:r>
      <w:bookmarkEnd w:id="57268375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569779683" w:name="bm_appendix_g_demo_script"/>
      <w:pPr>
        <w:pStyle w:val="Heading2"/>
        <w:keepNext/>
      </w:pPr>
      <w:r>
        <w:t>Appendix G: Demo Script</w:t>
      </w:r>
      <w:bookmarkEnd w:id="569779683"/>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p>
      <w:bookmarkStart w:id="439921533" w:name="bm_appendix_h_ai_cv_analyzer_deep_inventory"/>
      <w:pPr>
        <w:pStyle w:val="Heading2"/>
        <w:keepNext/>
      </w:pPr>
      <w:r>
        <w:t>Appendix H: AI CV Analyzer Deep Inventory</w:t>
      </w:r>
      <w:bookmarkEnd w:id="439921533"/>
    </w:p>
    <w:p>
      <w:r>
        <w:t>This appendix summarizes the code audit that supports Sections 5.5 and 6.8-6.11. The detailed companion notes are stored in docs/graduation-book/model-analysis/ and should be kept with the generated book artifacts.</w:t>
      </w:r>
    </w:p>
    <w:p>
      <w:bookmarkStart w:id="191152109" w:name="bm_h_1_runtime_call_path"/>
      <w:pPr>
        <w:pStyle w:val="Heading3"/>
        <w:keepNext/>
      </w:pPr>
      <w:r>
        <w:t>H.1 Runtime Call Path</w:t>
      </w:r>
      <w:bookmarkEnd w:id="191152109"/>
    </w:p>
    <w:p>
      <w:pPr>
        <w:pStyle w:val="ListNumber"/>
      </w:pPr>
      <w:r>
        <w:t>Laravel receives the CV upload and stores the file privately.</w:t>
      </w:r>
    </w:p>
    <w:p>
      <w:pPr>
        <w:pStyle w:val="ListNumber"/>
      </w:pPr>
      <w:r>
        <w:t>Laravel sends the uploaded file to the FastAPI analyzer /api/parse-cv endpoint.</w:t>
      </w:r>
    </w:p>
    <w:p>
      <w:pPr>
        <w:pStyle w:val="ListNumber"/>
      </w:pPr>
      <w:r>
        <w:t>main.py chooses image or PDF handling and wraps processing in timeout/error fallbacks.</w:t>
      </w:r>
    </w:p>
    <w:p>
      <w:pPr>
        <w:pStyle w:val="ListNumber"/>
      </w:pPr>
      <w:r>
        <w:t>CVOrchestrator extracts ordered text, triggers OCR fallback when needed, segments sections, runs NER, extracts contacts and dates, canonicalizes skills, and validates the strict output schema.</w:t>
      </w:r>
    </w:p>
    <w:p>
      <w:pPr>
        <w:pStyle w:val="ListNumber"/>
      </w:pPr>
      <w:r>
        <w:t>Layer 2 enriches the result with domain, seniority, and skill-category classification.</w:t>
      </w:r>
    </w:p>
    <w:p>
      <w:pPr>
        <w:pStyle w:val="ListNumber"/>
      </w:pPr>
      <w:r>
        <w:t>Laravel persists normalized profile, skills, experiences, and analysis metadata.</w:t>
      </w:r>
    </w:p>
    <w:p>
      <w:pPr>
        <w:pStyle w:val="ListNumber"/>
      </w:pPr>
      <w:r>
        <w:t>Recommendations and gap analysis reuse the stored profile together with Layer 3 matching and backend services.</w:t>
      </w:r>
    </w:p>
    <w:p>
      <w:bookmarkStart w:id="668907594" w:name="bm_h_2_function_inventory_summary"/>
      <w:pPr>
        <w:pStyle w:val="Heading3"/>
        <w:keepNext/>
      </w:pPr>
      <w:r>
        <w:t>H.2 Function Inventory Summary</w:t>
      </w:r>
      <w:bookmarkEnd w:id="6689075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790"/>
            <w:vAlign w:val="center"/>
            <w:shd w:fill="D9EAF7"/>
          </w:tcPr>
          <w:p>
            <w:pPr>
              <w:spacing w:before="0" w:after="0" w:line="252" w:lineRule="auto"/>
              <w:jc w:val="left"/>
            </w:pPr>
            <w:r/>
            <w:r>
              <w:rPr>
                <w:rFonts w:ascii="Calibri" w:hAnsi="Calibri"/>
                <w:b/>
                <w:sz w:val="17"/>
              </w:rPr>
              <w:t>Classes and Functions Audited</w:t>
            </w:r>
          </w:p>
        </w:tc>
        <w:tc>
          <w:tcPr>
            <w:tcW w:type="dxa" w:w="4464"/>
            <w:vAlign w:val="center"/>
            <w:shd w:fill="D9EAF7"/>
          </w:tcPr>
          <w:p>
            <w:pPr>
              <w:spacing w:before="0" w:after="0" w:line="252" w:lineRule="auto"/>
              <w:jc w:val="left"/>
            </w:pPr>
            <w:r/>
            <w:r>
              <w:rPr>
                <w:rFonts w:ascii="Calibri" w:hAnsi="Calibri"/>
                <w:b/>
                <w:sz w:val="17"/>
              </w:rPr>
              <w:t>Main Purpose</w:t>
            </w:r>
          </w:p>
        </w:tc>
      </w:tr>
      <w:tr>
        <w:trPr>
          <w:cantSplit w:val="true"/>
        </w:trPr>
        <w:tc>
          <w:tcPr>
            <w:tcW w:type="dxa" w:w="2046"/>
            <w:vAlign w:val="center"/>
          </w:tcPr>
          <w:p>
            <w:pPr>
              <w:spacing w:before="0" w:after="0" w:line="252" w:lineRule="auto"/>
              <w:jc w:val="center"/>
            </w:pPr>
            <w:r/>
            <w:r>
              <w:rPr>
                <w:rFonts w:ascii="Calibri" w:hAnsi="Calibri"/>
                <w:b w:val="0"/>
                <w:sz w:val="17"/>
              </w:rPr>
              <w:t>main.py</w:t>
            </w:r>
          </w:p>
        </w:tc>
        <w:tc>
          <w:tcPr>
            <w:tcW w:type="dxa" w:w="2790"/>
            <w:vAlign w:val="center"/>
          </w:tcPr>
          <w:p>
            <w:pPr>
              <w:spacing w:before="0" w:after="0" w:line="252" w:lineRule="auto"/>
              <w:jc w:val="left"/>
            </w:pPr>
            <w:r/>
            <w:r>
              <w:rPr>
                <w:rFonts w:ascii="Calibri" w:hAnsi="Calibri"/>
                <w:b w:val="0"/>
                <w:sz w:val="17"/>
              </w:rPr>
              <w:t>_get_orchestrator, health_check, metrics, hybrid_match, analyze_cv, _process_with_timeout, process_file, _timeout_result, _error_result</w:t>
            </w:r>
          </w:p>
        </w:tc>
        <w:tc>
          <w:tcPr>
            <w:tcW w:type="dxa" w:w="4464"/>
            <w:vAlign w:val="center"/>
          </w:tcPr>
          <w:p>
            <w:pPr>
              <w:spacing w:before="0" w:after="0" w:line="252" w:lineRule="auto"/>
              <w:jc w:val="left"/>
            </w:pPr>
            <w:r/>
            <w:r>
              <w:rPr>
                <w:rFonts w:ascii="Calibri" w:hAnsi="Calibri"/>
                <w:b w:val="0"/>
                <w:sz w:val="17"/>
              </w:rPr>
              <w:t>API endpoints, service lifecycle, timeout/fallback behavior, and hybrid match composition.</w:t>
            </w:r>
          </w:p>
        </w:tc>
      </w:tr>
      <w:tr>
        <w:trPr>
          <w:cantSplit w:val="true"/>
        </w:trPr>
        <w:tc>
          <w:tcPr>
            <w:tcW w:type="dxa" w:w="2046"/>
            <w:vAlign w:val="center"/>
          </w:tcPr>
          <w:p>
            <w:pPr>
              <w:spacing w:before="0" w:after="0" w:line="252" w:lineRule="auto"/>
              <w:jc w:val="center"/>
            </w:pPr>
            <w:r/>
            <w:r>
              <w:rPr>
                <w:rFonts w:ascii="Calibri" w:hAnsi="Calibri"/>
                <w:b w:val="0"/>
                <w:sz w:val="17"/>
              </w:rPr>
              <w:t>Layer 1 NER/contact/sections</w:t>
            </w:r>
          </w:p>
        </w:tc>
        <w:tc>
          <w:tcPr>
            <w:tcW w:type="dxa" w:w="2790"/>
            <w:vAlign w:val="center"/>
          </w:tcPr>
          <w:p>
            <w:pPr>
              <w:spacing w:before="0" w:after="0" w:line="252" w:lineRule="auto"/>
              <w:jc w:val="left"/>
            </w:pPr>
            <w:r/>
            <w:r>
              <w:rPr>
                <w:rFonts w:ascii="Calibri" w:hAnsi="Calibri"/>
                <w:b w:val="0"/>
                <w:sz w:val="17"/>
              </w:rPr>
              <w:t>AdvancedNEREngine, extract_contacts, SemanticSegmenter, DataCanonicalizer, ExperienceEngine, spatial/OCR helpers</w:t>
            </w:r>
          </w:p>
        </w:tc>
        <w:tc>
          <w:tcPr>
            <w:tcW w:type="dxa" w:w="4464"/>
            <w:vAlign w:val="center"/>
          </w:tcPr>
          <w:p>
            <w:pPr>
              <w:spacing w:before="0" w:after="0" w:line="252" w:lineRule="auto"/>
              <w:jc w:val="left"/>
            </w:pPr>
            <w:r/>
            <w:r>
              <w:rPr>
                <w:rFonts w:ascii="Calibri" w:hAnsi="Calibri"/>
                <w:b w:val="0"/>
                <w:sz w:val="17"/>
              </w:rPr>
              <w:t>Converts raw CV text into profile, skills, experience, and confidence-style structured data.</w:t>
            </w:r>
          </w:p>
        </w:tc>
      </w:tr>
      <w:tr>
        <w:trPr>
          <w:cantSplit w:val="true"/>
        </w:trPr>
        <w:tc>
          <w:tcPr>
            <w:tcW w:type="dxa" w:w="2046"/>
            <w:vAlign w:val="center"/>
          </w:tcPr>
          <w:p>
            <w:pPr>
              <w:spacing w:before="0" w:after="0" w:line="252" w:lineRule="auto"/>
              <w:jc w:val="center"/>
            </w:pPr>
            <w:r/>
            <w:r>
              <w:rPr>
                <w:rFonts w:ascii="Calibri" w:hAnsi="Calibri"/>
                <w:b w:val="0"/>
                <w:sz w:val="17"/>
              </w:rPr>
              <w:t>Layer 2 classification</w:t>
            </w:r>
          </w:p>
        </w:tc>
        <w:tc>
          <w:tcPr>
            <w:tcW w:type="dxa" w:w="2790"/>
            <w:vAlign w:val="center"/>
          </w:tcPr>
          <w:p>
            <w:pPr>
              <w:spacing w:before="0" w:after="0" w:line="252" w:lineRule="auto"/>
              <w:jc w:val="left"/>
            </w:pPr>
            <w:r/>
            <w:r>
              <w:rPr>
                <w:rFonts w:ascii="Calibri" w:hAnsi="Calibri"/>
                <w:b w:val="0"/>
                <w:sz w:val="17"/>
              </w:rPr>
              <w:t>ClassificationOrchestrator, DomainEngine, SeniorityEngine, SkillEngine, load_taxonomy</w:t>
            </w:r>
          </w:p>
        </w:tc>
        <w:tc>
          <w:tcPr>
            <w:tcW w:type="dxa" w:w="4464"/>
            <w:vAlign w:val="center"/>
          </w:tcPr>
          <w:p>
            <w:pPr>
              <w:spacing w:before="0" w:after="0" w:line="252" w:lineRule="auto"/>
              <w:jc w:val="left"/>
            </w:pPr>
            <w:r/>
            <w:r>
              <w:rPr>
                <w:rFonts w:ascii="Calibri" w:hAnsi="Calibri"/>
                <w:b w:val="0"/>
                <w:sz w:val="17"/>
              </w:rPr>
              <w:t>Adds domain, seniority, and skill-category interpretation.</w:t>
            </w:r>
          </w:p>
        </w:tc>
      </w:tr>
      <w:tr>
        <w:trPr>
          <w:cantSplit w:val="true"/>
        </w:trPr>
        <w:tc>
          <w:tcPr>
            <w:tcW w:type="dxa" w:w="2046"/>
            <w:vAlign w:val="center"/>
          </w:tcPr>
          <w:p>
            <w:pPr>
              <w:spacing w:before="0" w:after="0" w:line="252" w:lineRule="auto"/>
              <w:jc w:val="center"/>
            </w:pPr>
            <w:r/>
            <w:r>
              <w:rPr>
                <w:rFonts w:ascii="Calibri" w:hAnsi="Calibri"/>
                <w:b w:val="0"/>
                <w:sz w:val="17"/>
              </w:rPr>
              <w:t>Layer 3 matching</w:t>
            </w:r>
          </w:p>
        </w:tc>
        <w:tc>
          <w:tcPr>
            <w:tcW w:type="dxa" w:w="2790"/>
            <w:vAlign w:val="center"/>
          </w:tcPr>
          <w:p>
            <w:pPr>
              <w:spacing w:before="0" w:after="0" w:line="252" w:lineRule="auto"/>
              <w:jc w:val="left"/>
            </w:pPr>
            <w:r/>
            <w:r>
              <w:rPr>
                <w:rFonts w:ascii="Calibri" w:hAnsi="Calibri"/>
                <w:b w:val="0"/>
                <w:sz w:val="17"/>
              </w:rPr>
              <w:t>SemanticEmbedder, IntelligentMatcher, ConstraintValidator, FitAnalysisGenerator, JobDescriptionEngine, RankingOrchestrator, tfidf.match_score</w:t>
            </w:r>
          </w:p>
        </w:tc>
        <w:tc>
          <w:tcPr>
            <w:tcW w:type="dxa" w:w="4464"/>
            <w:vAlign w:val="center"/>
          </w:tcPr>
          <w:p>
            <w:pPr>
              <w:spacing w:before="0" w:after="0" w:line="252" w:lineRule="auto"/>
              <w:jc w:val="left"/>
            </w:pPr>
            <w:r/>
            <w:r>
              <w:rPr>
                <w:rFonts w:ascii="Calibri" w:hAnsi="Calibri"/>
                <w:b w:val="0"/>
                <w:sz w:val="17"/>
              </w:rPr>
              <w:t>Produces explainable job-fit scores, penalties, verdicts, and ranking behavior.</w:t>
            </w:r>
          </w:p>
        </w:tc>
      </w:tr>
      <w:tr>
        <w:trPr>
          <w:cantSplit w:val="true"/>
        </w:trPr>
        <w:tc>
          <w:tcPr>
            <w:tcW w:type="dxa" w:w="2046"/>
            <w:vAlign w:val="center"/>
          </w:tcPr>
          <w:p>
            <w:pPr>
              <w:spacing w:before="0" w:after="0" w:line="252" w:lineRule="auto"/>
              <w:jc w:val="center"/>
            </w:pPr>
            <w:r/>
            <w:r>
              <w:rPr>
                <w:rFonts w:ascii="Calibri" w:hAnsi="Calibri"/>
                <w:b w:val="0"/>
                <w:sz w:val="17"/>
              </w:rPr>
              <w:t>Training and diagnostics</w:t>
            </w:r>
          </w:p>
        </w:tc>
        <w:tc>
          <w:tcPr>
            <w:tcW w:type="dxa" w:w="2790"/>
            <w:vAlign w:val="center"/>
          </w:tcPr>
          <w:p>
            <w:pPr>
              <w:spacing w:before="0" w:after="0" w:line="252" w:lineRule="auto"/>
              <w:jc w:val="left"/>
            </w:pPr>
            <w:r/>
            <w:r>
              <w:rPr>
                <w:rFonts w:ascii="Calibri" w:hAnsi="Calibri"/>
                <w:b w:val="0"/>
                <w:sz w:val="17"/>
              </w:rPr>
              <w:t>generate_tech_dataset.py, clean_dataset.py, train_ner.ipynb, verify_phase*.py, test_service_api.py, trace_cv.py</w:t>
            </w:r>
          </w:p>
        </w:tc>
        <w:tc>
          <w:tcPr>
            <w:tcW w:type="dxa" w:w="4464"/>
            <w:vAlign w:val="center"/>
          </w:tcPr>
          <w:p>
            <w:pPr>
              <w:spacing w:before="0" w:after="0" w:line="252" w:lineRule="auto"/>
              <w:jc w:val="left"/>
            </w:pPr>
            <w:r/>
            <w:r>
              <w:rPr>
                <w:rFonts w:ascii="Calibri" w:hAnsi="Calibri"/>
                <w:b w:val="0"/>
                <w:sz w:val="17"/>
              </w:rPr>
              <w:t>Supports synthetic dataset generation, cleaning, notebook training, phase verification, service tests, and trace output.</w:t>
            </w:r>
          </w:p>
        </w:tc>
      </w:tr>
    </w:tbl>
    <w:p>
      <w:pPr>
        <w:spacing w:after="80"/>
      </w:pPr>
    </w:p>
    <w:p>
      <w:bookmarkStart w:id="36642531" w:name="bm_table_32"/>
      <w:pPr>
        <w:jc w:val="center"/>
      </w:pPr>
      <w:r>
        <w:rPr>
          <w:i/>
        </w:rPr>
        <w:t>Table 32. AI CV Analyzer function inventory summary.</w:t>
      </w:r>
      <w:bookmarkEnd w:id="36642531"/>
    </w:p>
    <w:p>
      <w:bookmarkStart w:id="989556460" w:name="bm_h_3_training_summary"/>
      <w:pPr>
        <w:pStyle w:val="Heading3"/>
        <w:keepNext/>
      </w:pPr>
      <w:r>
        <w:t>H.3 Training Summary</w:t>
      </w:r>
      <w:bookmarkEnd w:id="989556460"/>
    </w:p>
    <w:p>
      <w:r>
        <w:t>The notebook trains a BERT-family token-classification model from bert-base-cased, maps character spans to BIO token labels, uses a 90/10 train/evaluation split with seed 42, trains for five epochs with learning rate 2e-5 and batch size 16, computes seqeval precision/recall/F1/accuracy, and exports career_compass_ner_final. The final cleaned dataset and final metric output are not committed.</w:t>
      </w:r>
    </w:p>
    <w:p>
      <w:bookmarkStart w:id="1929635124" w:name="bm_h_4_generated_dataset_summary"/>
      <w:pPr>
        <w:pStyle w:val="Heading3"/>
        <w:keepNext/>
      </w:pPr>
      <w:r>
        <w:t>H.4 Generated Dataset Summary</w:t>
      </w:r>
      <w:bookmarkEnd w:id="1929635124"/>
    </w:p>
    <w:p>
      <w:r>
        <w:t>The synthetic dataset script asks Google Gemini tooling to generate varied CV snippets across technical domains, rotates API keys/models from environment variables, includes negative decoys, and writes labeled examples for cleaning. The cleaner normalizes text, deduplicates exact samples, validates spans, and filters malformed or overly broad entities. This supports the training workflow, but it is separate from normal private CV upload processing.</w:t>
      </w:r>
    </w:p>
    <w:p>
      <w:bookmarkStart w:id="1879739476" w:name="bm_h_5_local_artifact_and_secrets_boundary"/>
      <w:pPr>
        <w:pStyle w:val="Heading3"/>
        <w:keepNext/>
      </w:pPr>
      <w:r>
        <w:t>H.5 Local Artifact and Secrets Boundary</w:t>
      </w:r>
      <w:bookmarkEnd w:id="1879739476"/>
    </w:p>
    <w:p>
      <w:r>
        <w:t>.env and ai-cv-analyzer/models/ are ignored by Git. This protects secrets and avoids committing large model weights. Documentation may mention the runtime path and safe local metadata, but should not imply that the committed repository contains the model binary or private API keys.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