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b/>
                <w:sz w:val="32"/>
              </w:rPr>
              <w:t>Custom</w:t>
            </w:r>
            <w:r w:rsidRPr="000F7D2E">
              <w:rPr>
                <w:rFonts w:asciiTheme="majorBidi" w:hAnsiTheme="majorBidi" w:cstheme="majorBidi"/>
                <w:b/>
                <w:sz w:val="32"/>
                <w:szCs w:val="32"/>
                <w:lang w:val="en-GB"/>
              </w:rPr>
              <w:t xml:space="preserve"> </w:t>
            </w:r>
            <w:r xmlns:p45="http://DMSNamespace" p45:ReplaceMe="1">
              <w:rPr>
                <w:b/>
                <w:sz w:val="32"/>
              </w:rPr>
              <w:t>10</w:t>
            </w:r>
            <w:r w:rsidRPr="000F7D2E">
              <w:rPr>
                <w:rFonts w:asciiTheme="majorBidi" w:hAnsiTheme="majorBidi" w:cstheme="majorBidi"/>
                <w:b/>
                <w:sz w:val="32"/>
                <w:szCs w:val="32"/>
                <w:lang w:val="en-GB"/>
              </w:rPr>
              <w:t>&amp;</w:t>
            </w:r>
            <w:r xmlns:p45="http://DMSNamespace" p45:ReplaceMe="2">
              <w:rPr>
                <w:b/>
                <w:sz w:val="32"/>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xmlns:w14="http://schemas.microsoft.com/office/word/2010/wordml"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xmlns:w14="http://schemas.microsoft.com/office/word/2010/wordml" w:rsidRPr="00523CB3"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2">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3">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xmlns:w14="http://schemas.microsoft.com/office/word/2010/wordml"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Pr>
          <w:sz w:val="28"/>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