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2937"/>
          <w:sz w:val="48"/>
          <w:szCs w:val="48"/>
        </w:rPr>
        <w:t xml:space="preserve">Cinematic Sentiment AI</w:t>
      </w:r>
    </w:p>
    <w:p>
      <w:pPr>
        <w:spacing w:after="120"/>
        <w:jc w:val="center"/>
      </w:pPr>
      <w:r>
        <w:rPr>
          <w:rFonts w:ascii="Arial" w:cs="Arial" w:eastAsia="Arial" w:hAnsi="Arial"/>
          <w:i/>
          <w:iCs/>
          <w:color w:val="374151"/>
          <w:sz w:val="26"/>
          <w:szCs w:val="26"/>
        </w:rPr>
        <w:t xml:space="preserve">Movie Review Sentiment Analysis using ML, Deep Learning, and Transformers</w:t>
      </w:r>
    </w:p>
    <w:p>
      <w:pPr>
        <w:spacing w:after="600"/>
        <w:jc w:val="center"/>
      </w:pPr>
      <w:r>
        <w:rPr>
          <w:rFonts w:ascii="Arial" w:cs="Arial" w:eastAsia="Arial" w:hAnsi="Arial"/>
          <w:color w:val="6B7280"/>
          <w:sz w:val="22"/>
          <w:szCs w:val="22"/>
        </w:rPr>
        <w:t xml:space="preserve">Written Concept Explanation — Project #02</w:t>
      </w:r>
    </w:p>
    <w:p>
      <w:pPr>
        <w:spacing w:after="80" w:before="800"/>
        <w:jc w:val="center"/>
      </w:pPr>
      <w:r>
        <w:rPr>
          <w:rFonts w:ascii="Arial" w:cs="Arial" w:eastAsia="Arial" w:hAnsi="Arial"/>
          <w:b/>
          <w:bCs/>
          <w:sz w:val="22"/>
          <w:szCs w:val="22"/>
        </w:rPr>
        <w:t xml:space="preserve">Dataset:</w:t>
      </w:r>
    </w:p>
    <w:p>
      <w:pPr>
        <w:spacing w:after="240"/>
        <w:jc w:val="center"/>
      </w:pPr>
      <w:r>
        <w:rPr>
          <w:rFonts w:ascii="Arial" w:cs="Arial" w:eastAsia="Arial" w:hAnsi="Arial"/>
          <w:sz w:val="22"/>
          <w:szCs w:val="22"/>
        </w:rPr>
        <w:t xml:space="preserve">IMDB 50K Movie Reviews (25,000 Positive · 25,000 Negative)</w:t>
      </w:r>
    </w:p>
    <w:p>
      <w:pPr>
        <w:spacing w:after="80" w:before="200"/>
        <w:jc w:val="center"/>
      </w:pPr>
      <w:r>
        <w:rPr>
          <w:rFonts w:ascii="Arial" w:cs="Arial" w:eastAsia="Arial" w:hAnsi="Arial"/>
          <w:b/>
          <w:bCs/>
          <w:sz w:val="22"/>
          <w:szCs w:val="22"/>
        </w:rPr>
        <w:t xml:space="preserve">Final Result:</w:t>
      </w:r>
    </w:p>
    <w:p>
      <w:pPr>
        <w:spacing w:after="600"/>
        <w:jc w:val="center"/>
      </w:pPr>
      <w:r>
        <w:rPr>
          <w:rFonts w:ascii="Arial" w:cs="Arial" w:eastAsia="Arial" w:hAnsi="Arial"/>
          <w:b/>
          <w:bCs/>
          <w:color w:val="059669"/>
          <w:sz w:val="26"/>
          <w:szCs w:val="26"/>
        </w:rPr>
        <w:t xml:space="preserve">95.75% Test Accuracy (Fine-tuned RoBERTa-base)</w:t>
      </w:r>
    </w:p>
    <w:p>
      <w:r>
        <w:br w:type="page"/>
      </w:r>
    </w:p>
    <w:p>
      <w:pPr>
        <w:pStyle w:val="Heading1"/>
        <w:spacing w:after="180" w:before="360"/>
      </w:pPr>
      <w:r>
        <w:rPr>
          <w:rFonts w:ascii="Arial" w:cs="Arial" w:eastAsia="Arial" w:hAnsi="Arial"/>
          <w:b/>
          <w:bCs/>
          <w:color w:val="1F2937"/>
          <w:sz w:val="32"/>
          <w:szCs w:val="32"/>
        </w:rPr>
        <w:t xml:space="preserve">1.  Executive Summary</w:t>
      </w:r>
    </w:p>
    <w:p>
      <w:pPr>
        <w:spacing w:after="120" w:before="80" w:line="320"/>
        <w:jc w:val="both"/>
      </w:pPr>
      <w:r>
        <w:rPr>
          <w:rFonts w:ascii="Arial" w:cs="Arial" w:eastAsia="Arial" w:hAnsi="Arial"/>
          <w:b w:val="false"/>
          <w:bCs w:val="false"/>
          <w:i w:val="false"/>
          <w:iCs w:val="false"/>
          <w:sz w:val="22"/>
          <w:szCs w:val="22"/>
        </w:rPr>
        <w:t xml:space="preserve">This document accompanies our submission for Project #02 — Movie Review Sentiment Analysis. The objective is to classify IMDB movie reviews as either Positive or Negative, applying the fixed NLP pipeline prescribed by the project brief: preprocessing, classical Machine Learning baselines, Deep Learning with recurrent networks, contextual Transformer embeddings, LLM-based explanations, a Retrieval-Augmented Generation (RAG) module, and finally a tool-calling Agent. The entire system is wrapped in an interactive Gradio web application that runs end-to-end inside Google Colab.</w:t>
      </w:r>
    </w:p>
    <w:p>
      <w:pPr>
        <w:spacing w:after="120" w:before="80" w:line="320"/>
        <w:jc w:val="both"/>
      </w:pPr>
      <w:r>
        <w:rPr>
          <w:rFonts w:ascii="Arial" w:cs="Arial" w:eastAsia="Arial" w:hAnsi="Arial"/>
          <w:b w:val="false"/>
          <w:bCs w:val="false"/>
          <w:i w:val="false"/>
          <w:iCs w:val="false"/>
          <w:sz w:val="22"/>
          <w:szCs w:val="22"/>
        </w:rPr>
        <w:t xml:space="preserve">We benchmarked nine distinct models across three architectural families. Our best classical model, Logistic Regression with TF-IDF features, reached 90.2% test accuracy. Our best Deep Learning model, a Bidirectional LSTM initialised with GloVe embeddings, reached 88.05%. Our best Transformer, a fine-tuned RoBERTa-base, reached 95.75% — comfortably exceeding the 90% target line and setting our production model. The LLM layer uses Groq's hosted Llama 3.3 70B with native function calling, augmented by a FAISS vector database that grounds the model's explanations in real similar reviews.</w:t>
      </w:r>
    </w:p>
    <w:p>
      <w:pPr>
        <w:spacing w:after="120" w:before="80" w:line="320"/>
        <w:jc w:val="both"/>
      </w:pPr>
      <w:r>
        <w:rPr>
          <w:rFonts w:ascii="Arial" w:cs="Arial" w:eastAsia="Arial" w:hAnsi="Arial"/>
          <w:b w:val="false"/>
          <w:bCs w:val="false"/>
          <w:i w:val="false"/>
          <w:iCs w:val="false"/>
          <w:sz w:val="22"/>
          <w:szCs w:val="22"/>
        </w:rPr>
        <w:t xml:space="preserve">This document is structured to demonstrate not only what our notebook does, but also why each design decision was made. Several non-obvious engineering choices — a negation-aware stopword filter, post-padding instead of pre-padding for cuDNN compatibility, SpatialDropout instead of standard Dropout, and the pivot from LangChain/Gemini to Groq's native function calling — are explained in their proper context so the architecture can be understood as a coherent whole.</w:t>
      </w:r>
    </w:p>
    <w:p>
      <w:r>
        <w:t xml:space="preserve"/>
      </w:r>
    </w:p>
    <w:p>
      <w:pPr>
        <w:pStyle w:val="Heading3"/>
        <w:spacing w:after="120" w:before="220"/>
      </w:pPr>
      <w:r>
        <w:rPr>
          <w:rFonts w:ascii="Arial" w:cs="Arial" w:eastAsia="Arial" w:hAnsi="Arial"/>
          <w:b/>
          <w:bCs/>
          <w:color w:val="374151"/>
          <w:sz w:val="24"/>
          <w:szCs w:val="24"/>
        </w:rPr>
        <w:t xml:space="preserve">Final Model Scoreboard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Model Family</w:t>
            </w:r>
          </w:p>
        </w:tc>
        <w:tc>
          <w:tcPr>
            <w:tcW w:type="dxa" w:w="312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Best Model</w:t>
            </w:r>
          </w:p>
        </w:tc>
        <w:tc>
          <w:tcPr>
            <w:tcW w:type="dxa" w:w="312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Test Accuracy</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Classical Machine Learning</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Logistic Regression (TF-IDF, n=1–2)</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90.20%</w:t>
            </w:r>
          </w:p>
        </w:tc>
      </w:tr>
      <w:tr>
        <w:tc>
          <w:tcPr>
            <w:tcW w:type="dxa" w:w="312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val="false"/>
                <w:bCs w:val="false"/>
                <w:sz w:val="22"/>
                <w:szCs w:val="22"/>
              </w:rPr>
              <w:t xml:space="preserve">Deep Learning (RNN family)</w:t>
            </w:r>
          </w:p>
        </w:tc>
        <w:tc>
          <w:tcPr>
            <w:tcW w:type="dxa" w:w="312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val="false"/>
                <w:bCs w:val="false"/>
                <w:sz w:val="22"/>
                <w:szCs w:val="22"/>
              </w:rPr>
              <w:t xml:space="preserve">Bidirectional LSTM + GloVe (100d)</w:t>
            </w:r>
          </w:p>
        </w:tc>
        <w:tc>
          <w:tcPr>
            <w:tcW w:type="dxa" w:w="312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bCs/>
                <w:sz w:val="22"/>
                <w:szCs w:val="22"/>
              </w:rPr>
              <w:t xml:space="preserve">88.05%</w:t>
            </w:r>
          </w:p>
        </w:tc>
      </w:tr>
      <w:tr>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Transformer (fine-tuned)</w:t>
            </w:r>
          </w:p>
        </w:tc>
        <w:tc>
          <w:tcPr>
            <w:tcW w:type="dxa" w:w="31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RoBERTa-base</w:t>
            </w:r>
          </w:p>
        </w:tc>
        <w:tc>
          <w:tcPr>
            <w:tcW w:type="dxa" w:w="3120"/>
            <w:tcBorders>
              <w:top w:val="single" w:color="BFBFBF" w:sz="4"/>
              <w:left w:val="single" w:color="BFBFBF" w:sz="4"/>
              <w:bottom w:val="single" w:color="BFBFBF" w:sz="4"/>
              <w:right w:val="single" w:color="BFBFBF" w:sz="4"/>
            </w:tcBorders>
            <w:shd w:fill="D1FAE5" w:color="auto" w:val="clear"/>
            <w:tcMar>
              <w:top w:type="dxa" w:w="80"/>
              <w:left w:type="dxa" w:w="140"/>
              <w:bottom w:type="dxa" w:w="80"/>
              <w:right w:type="dxa" w:w="140"/>
            </w:tcMar>
          </w:tcPr>
          <w:p>
            <w:r>
              <w:rPr>
                <w:rFonts w:ascii="Arial" w:cs="Arial" w:eastAsia="Arial" w:hAnsi="Arial"/>
                <w:b/>
                <w:bCs/>
                <w:sz w:val="22"/>
                <w:szCs w:val="22"/>
              </w:rPr>
              <w:t xml:space="preserve">95.75%</w:t>
            </w:r>
          </w:p>
        </w:tc>
      </w:tr>
    </w:tbl>
    <w:p>
      <w:r>
        <w:t xml:space="preserve"/>
      </w:r>
    </w:p>
    <w:p>
      <w:r>
        <w:br w:type="page"/>
      </w:r>
    </w:p>
    <w:p>
      <w:pPr>
        <w:pStyle w:val="Heading1"/>
        <w:spacing w:after="180" w:before="360"/>
      </w:pPr>
      <w:r>
        <w:rPr>
          <w:rFonts w:ascii="Arial" w:cs="Arial" w:eastAsia="Arial" w:hAnsi="Arial"/>
          <w:b/>
          <w:bCs/>
          <w:color w:val="1F2937"/>
          <w:sz w:val="32"/>
          <w:szCs w:val="32"/>
        </w:rPr>
        <w:t xml:space="preserve">2.  The NLP Pipeline — Core Concepts</w:t>
      </w:r>
    </w:p>
    <w:p>
      <w:pPr>
        <w:spacing w:after="120" w:before="80" w:line="320"/>
        <w:jc w:val="both"/>
      </w:pPr>
      <w:r>
        <w:rPr>
          <w:rFonts w:ascii="Arial" w:cs="Arial" w:eastAsia="Arial" w:hAnsi="Arial"/>
          <w:b w:val="false"/>
          <w:bCs w:val="false"/>
          <w:i w:val="false"/>
          <w:iCs w:val="false"/>
          <w:sz w:val="22"/>
          <w:szCs w:val="22"/>
        </w:rPr>
        <w:t xml:space="preserve">Before walking through the notebook itself, it is useful to establish the conceptual building blocks our system rests on. The project brief mandates a specific sequence — preprocessing, then representation, then modeling, with optional LLM, RAG, and Agent extensions — and each of these stages embodies an idea worth understanding on its own terms.</w:t>
      </w:r>
    </w:p>
    <w:p>
      <w:pPr>
        <w:pStyle w:val="Heading2"/>
        <w:spacing w:after="140" w:before="280"/>
      </w:pPr>
      <w:r>
        <w:rPr>
          <w:rFonts w:ascii="Arial" w:cs="Arial" w:eastAsia="Arial" w:hAnsi="Arial"/>
          <w:b/>
          <w:bCs/>
          <w:color w:val="1F2937"/>
          <w:sz w:val="26"/>
          <w:szCs w:val="26"/>
        </w:rPr>
        <w:t xml:space="preserve">2.1  Preprocessing — Turning Language into Signal</w:t>
      </w:r>
    </w:p>
    <w:p>
      <w:pPr>
        <w:spacing w:after="120" w:before="80" w:line="320"/>
        <w:jc w:val="both"/>
      </w:pPr>
      <w:r>
        <w:rPr>
          <w:rFonts w:ascii="Arial" w:cs="Arial" w:eastAsia="Arial" w:hAnsi="Arial"/>
          <w:b w:val="false"/>
          <w:bCs w:val="false"/>
          <w:i w:val="false"/>
          <w:iCs w:val="false"/>
          <w:sz w:val="22"/>
          <w:szCs w:val="22"/>
        </w:rPr>
        <w:t xml:space="preserve">Raw text is not directly consumable by a numeric model. Movie reviews scraped from the web carry noise that has nothing to do with sentiment: HTML tags from the scraper (such as &lt;br/&gt;), variable capitalisation, digits, and high-frequency function words ("the", "is", "a") that appear equally often in positive and negative reviews. Preprocessing strips this noise so the model can focus on the words that actually carry sentiment.</w:t>
      </w:r>
    </w:p>
    <w:p>
      <w:pPr>
        <w:spacing w:after="120" w:before="80" w:line="320"/>
        <w:jc w:val="both"/>
      </w:pPr>
      <w:r>
        <w:rPr>
          <w:rFonts w:ascii="Arial" w:cs="Arial" w:eastAsia="Arial" w:hAnsi="Arial"/>
          <w:b w:val="false"/>
          <w:bCs w:val="false"/>
          <w:i w:val="false"/>
          <w:iCs w:val="false"/>
          <w:sz w:val="22"/>
          <w:szCs w:val="22"/>
        </w:rPr>
        <w:t xml:space="preserve">Our pipeline applies six standard steps in sequence: HTML stripping, lowercasing, removal of non-alphabetic characters, tokenisation with NLTK, stopword removal, and lemmatisation through the WordNet lexicon. Lemmatisation reduces inflected forms to their dictionary root — "running" becomes "run", "better" becomes "good" — which collapses the vocabulary and improves generalisation.</w:t>
      </w:r>
    </w:p>
    <w:p>
      <w:pPr>
        <w:spacing w:after="120" w:before="80" w:line="320"/>
        <w:jc w:val="both"/>
      </w:pPr>
      <w:r>
        <w:rPr>
          <w:rFonts w:ascii="Arial" w:cs="Arial" w:eastAsia="Arial" w:hAnsi="Arial"/>
          <w:b w:val="false"/>
          <w:bCs w:val="false"/>
          <w:i w:val="false"/>
          <w:iCs w:val="false"/>
          <w:sz w:val="22"/>
          <w:szCs w:val="22"/>
        </w:rPr>
        <w:t xml:space="preserve">One specific deviation from the textbook recipe deserves attention: our stopword filter is negation-aware. The standard NLTK English stopword list includes negation particles such as "not", "no", "never", and contracted forms like "don't" and "won't". For most NLP tasks these are safe to discard, but for sentiment analysis they invert polarity. The phrase "not good" reduced to "good" no longer means what the author intended. We therefore subtract 26 negation tokens from the default stopword set before applying it, preserving the sentiment-flipping signal.</w:t>
      </w:r>
    </w:p>
    <w:p>
      <w:pPr>
        <w:pStyle w:val="Heading2"/>
        <w:spacing w:after="140" w:before="280"/>
      </w:pPr>
      <w:r>
        <w:rPr>
          <w:rFonts w:ascii="Arial" w:cs="Arial" w:eastAsia="Arial" w:hAnsi="Arial"/>
          <w:b/>
          <w:bCs/>
          <w:color w:val="1F2937"/>
          <w:sz w:val="26"/>
          <w:szCs w:val="26"/>
        </w:rPr>
        <w:t xml:space="preserve">2.2  Representation — From Words to Vectors</w:t>
      </w:r>
    </w:p>
    <w:p>
      <w:pPr>
        <w:spacing w:after="120" w:before="80" w:line="320"/>
        <w:jc w:val="both"/>
      </w:pPr>
      <w:r>
        <w:rPr>
          <w:rFonts w:ascii="Arial" w:cs="Arial" w:eastAsia="Arial" w:hAnsi="Arial"/>
          <w:b w:val="false"/>
          <w:bCs w:val="false"/>
          <w:i w:val="false"/>
          <w:iCs w:val="false"/>
          <w:sz w:val="22"/>
          <w:szCs w:val="22"/>
        </w:rPr>
        <w:t xml:space="preserve">Once cleaned, text must be converted into numerical form. We use three distinct families of representations, one per modeling stage, each capturing language at a different level of abstraction.</w:t>
      </w:r>
    </w:p>
    <w:p>
      <w:pPr>
        <w:pStyle w:val="Heading3"/>
        <w:spacing w:after="120" w:before="220"/>
      </w:pPr>
      <w:r>
        <w:rPr>
          <w:rFonts w:ascii="Arial" w:cs="Arial" w:eastAsia="Arial" w:hAnsi="Arial"/>
          <w:b/>
          <w:bCs/>
          <w:color w:val="374151"/>
          <w:sz w:val="24"/>
          <w:szCs w:val="24"/>
        </w:rPr>
        <w:t xml:space="preserve">TF-IDF (sparse, lexical)</w:t>
      </w:r>
    </w:p>
    <w:p>
      <w:pPr>
        <w:spacing w:after="120" w:before="80" w:line="320"/>
        <w:jc w:val="both"/>
      </w:pPr>
      <w:r>
        <w:rPr>
          <w:rFonts w:ascii="Arial" w:cs="Arial" w:eastAsia="Arial" w:hAnsi="Arial"/>
          <w:b w:val="false"/>
          <w:bCs w:val="false"/>
          <w:i w:val="false"/>
          <w:iCs w:val="false"/>
          <w:sz w:val="22"/>
          <w:szCs w:val="22"/>
        </w:rPr>
        <w:t xml:space="preserve">Term Frequency–Inverse Document Frequency assigns each (word, document) pair a score based on two factors: how often the word appears in this review (TF) and how rare the word is across the entire corpus (IDF). The product TF × IDF is highest for words that appear often in a particular review but seldom in others — the discriminative tokens. We use unigrams and bigrams together (ngram_range=(1, 2)), which means the model can treat "not good" as a single feature rather than two independent ones. This pairs naturally with our negation-aware stopword strategy.</w:t>
      </w:r>
    </w:p>
    <w:p>
      <w:pPr>
        <w:pStyle w:val="Heading3"/>
        <w:spacing w:after="120" w:before="220"/>
      </w:pPr>
      <w:r>
        <w:rPr>
          <w:rFonts w:ascii="Arial" w:cs="Arial" w:eastAsia="Arial" w:hAnsi="Arial"/>
          <w:b/>
          <w:bCs/>
          <w:color w:val="374151"/>
          <w:sz w:val="24"/>
          <w:szCs w:val="24"/>
        </w:rPr>
        <w:t xml:space="preserve">GloVe Embeddings (dense, static)</w:t>
      </w:r>
    </w:p>
    <w:p>
      <w:pPr>
        <w:spacing w:after="120" w:before="80" w:line="320"/>
        <w:jc w:val="both"/>
      </w:pPr>
      <w:r>
        <w:rPr>
          <w:rFonts w:ascii="Arial" w:cs="Arial" w:eastAsia="Arial" w:hAnsi="Arial"/>
          <w:b w:val="false"/>
          <w:bCs w:val="false"/>
          <w:i w:val="false"/>
          <w:iCs w:val="false"/>
          <w:sz w:val="22"/>
          <w:szCs w:val="22"/>
        </w:rPr>
        <w:t xml:space="preserve">GloVe (Global Vectors for Word Representation), developed at Stanford, learns a fixed 100-dimensional vector for each word from co-occurrence statistics across a six-billion-token corpus of Wikipedia and Gigaword text. Words with similar meanings end up in similar regions of the vector space — "good" and "great" are neighbours, and the well-known analogy king − man + woman ≈ queen emerges from simple vector arithmetic. By initialising our recurrent models with these pre-trained vectors, we give them a strong head start: the network begins with general English semantics already encoded, and only needs to learn the sentiment-specific patterns layered on top.</w:t>
      </w:r>
    </w:p>
    <w:p>
      <w:pPr>
        <w:pStyle w:val="Heading3"/>
        <w:spacing w:after="120" w:before="220"/>
      </w:pPr>
      <w:r>
        <w:rPr>
          <w:rFonts w:ascii="Arial" w:cs="Arial" w:eastAsia="Arial" w:hAnsi="Arial"/>
          <w:b/>
          <w:bCs/>
          <w:color w:val="374151"/>
          <w:sz w:val="24"/>
          <w:szCs w:val="24"/>
        </w:rPr>
        <w:t xml:space="preserve">Transformer Embeddings (dense, contextual)</w:t>
      </w:r>
    </w:p>
    <w:p>
      <w:pPr>
        <w:spacing w:after="120" w:before="80" w:line="320"/>
        <w:jc w:val="both"/>
      </w:pPr>
      <w:r>
        <w:rPr>
          <w:rFonts w:ascii="Arial" w:cs="Arial" w:eastAsia="Arial" w:hAnsi="Arial"/>
          <w:b w:val="false"/>
          <w:bCs w:val="false"/>
          <w:i w:val="false"/>
          <w:iCs w:val="false"/>
          <w:sz w:val="22"/>
          <w:szCs w:val="22"/>
        </w:rPr>
        <w:t xml:space="preserve">Static embeddings like GloVe assign one vector per word regardless of context, which means "bank" carries the same representation whether the sentence is about finance or a river. Transformer models such as BERT and RoBERTa overcome this by generating contextual embeddings: the vector for each token depends on every other token in the sequence, computed through the self-attention mechanism. Self-attention also bypasses the sequential bottleneck of recurrent networks — every position can directly attend to every other position in a single layer — which is the deep reason Transformers outperform RNNs on long sequences.</w:t>
      </w:r>
    </w:p>
    <w:p>
      <w:pPr>
        <w:pStyle w:val="Heading2"/>
        <w:spacing w:after="140" w:before="280"/>
      </w:pPr>
      <w:r>
        <w:rPr>
          <w:rFonts w:ascii="Arial" w:cs="Arial" w:eastAsia="Arial" w:hAnsi="Arial"/>
          <w:b/>
          <w:bCs/>
          <w:color w:val="1F2937"/>
          <w:sz w:val="26"/>
          <w:szCs w:val="26"/>
        </w:rPr>
        <w:t xml:space="preserve">2.3  Modeling — Three Architectural Families</w:t>
      </w:r>
    </w:p>
    <w:p>
      <w:pPr>
        <w:spacing w:after="120" w:before="80" w:line="320"/>
        <w:jc w:val="both"/>
      </w:pPr>
      <w:r>
        <w:rPr>
          <w:rFonts w:ascii="Arial" w:cs="Arial" w:eastAsia="Arial" w:hAnsi="Arial"/>
          <w:b w:val="false"/>
          <w:bCs w:val="false"/>
          <w:i w:val="false"/>
          <w:iCs w:val="false"/>
          <w:sz w:val="22"/>
          <w:szCs w:val="22"/>
        </w:rPr>
        <w:t xml:space="preserve">We benchmark three model families against the same train/test split, which makes the comparison fair and reveals genuine differences in capacity.</w:t>
      </w:r>
    </w:p>
    <w:p>
      <w:pPr>
        <w:pStyle w:val="ListParagraph"/>
        <w:numPr>
          <w:ilvl w:val="0"/>
          <w:numId w:val="2"/>
        </w:numPr>
        <w:spacing w:after="40" w:before="40" w:line="300"/>
      </w:pPr>
      <w:r>
        <w:rPr>
          <w:rFonts w:ascii="Arial" w:cs="Arial" w:eastAsia="Arial" w:hAnsi="Arial"/>
          <w:b/>
          <w:bCs/>
          <w:i w:val="false"/>
          <w:iCs w:val="false"/>
          <w:sz w:val="22"/>
          <w:szCs w:val="22"/>
        </w:rPr>
        <w:t xml:space="preserve">Classical ML: </w:t>
      </w:r>
      <w:r>
        <w:rPr>
          <w:rFonts w:ascii="Arial" w:cs="Arial" w:eastAsia="Arial" w:hAnsi="Arial"/>
          <w:b w:val="false"/>
          <w:bCs w:val="false"/>
          <w:i w:val="false"/>
          <w:iCs w:val="false"/>
          <w:sz w:val="22"/>
          <w:szCs w:val="22"/>
        </w:rPr>
        <w:t xml:space="preserve">Logistic Regression, Linear SVM, Multinomial Naive Bayes, and Random Forest, all trained on TF-IDF features. These models are linear or shallow non-linear; they do not learn representations, they only fit classifiers on top of features we hand them.</w:t>
      </w:r>
    </w:p>
    <w:p>
      <w:pPr>
        <w:pStyle w:val="ListParagraph"/>
        <w:numPr>
          <w:ilvl w:val="0"/>
          <w:numId w:val="2"/>
        </w:numPr>
        <w:spacing w:after="40" w:before="40" w:line="300"/>
      </w:pPr>
      <w:r>
        <w:rPr>
          <w:rFonts w:ascii="Arial" w:cs="Arial" w:eastAsia="Arial" w:hAnsi="Arial"/>
          <w:b/>
          <w:bCs/>
          <w:i w:val="false"/>
          <w:iCs w:val="false"/>
          <w:sz w:val="22"/>
          <w:szCs w:val="22"/>
        </w:rPr>
        <w:t xml:space="preserve">Deep Learning: </w:t>
      </w:r>
      <w:r>
        <w:rPr>
          <w:rFonts w:ascii="Arial" w:cs="Arial" w:eastAsia="Arial" w:hAnsi="Arial"/>
          <w:b w:val="false"/>
          <w:bCs w:val="false"/>
          <w:i w:val="false"/>
          <w:iCs w:val="false"/>
          <w:sz w:val="22"/>
          <w:szCs w:val="22"/>
        </w:rPr>
        <w:t xml:space="preserve">Four recurrent architectures — SimpleRNN, LSTM, GRU, and Bidirectional LSTM — built on top of a trainable embedding layer initialised with GloVe vectors. These models do learn representations, but they process tokens sequentially, which creates well-known optimisation difficulties on long inputs.</w:t>
      </w:r>
    </w:p>
    <w:p>
      <w:pPr>
        <w:pStyle w:val="ListParagraph"/>
        <w:numPr>
          <w:ilvl w:val="0"/>
          <w:numId w:val="2"/>
        </w:numPr>
        <w:spacing w:after="40" w:before="40" w:line="300"/>
      </w:pPr>
      <w:r>
        <w:rPr>
          <w:rFonts w:ascii="Arial" w:cs="Arial" w:eastAsia="Arial" w:hAnsi="Arial"/>
          <w:b/>
          <w:bCs/>
          <w:i w:val="false"/>
          <w:iCs w:val="false"/>
          <w:sz w:val="22"/>
          <w:szCs w:val="22"/>
        </w:rPr>
        <w:t xml:space="preserve">Transformer: </w:t>
      </w:r>
      <w:r>
        <w:rPr>
          <w:rFonts w:ascii="Arial" w:cs="Arial" w:eastAsia="Arial" w:hAnsi="Arial"/>
          <w:b w:val="false"/>
          <w:bCs w:val="false"/>
          <w:i w:val="false"/>
          <w:iCs w:val="false"/>
          <w:sz w:val="22"/>
          <w:szCs w:val="22"/>
        </w:rPr>
        <w:t xml:space="preserve">A fine-tuned RoBERTa-base model. The pre-training objective gave the model rich linguistic knowledge from 160 GB of text; fine-tuning specialises that knowledge for binary sentiment classification with relatively few additional gradient updates.</w:t>
      </w:r>
    </w:p>
    <w:p>
      <w:pPr>
        <w:pStyle w:val="Heading2"/>
        <w:spacing w:after="140" w:before="280"/>
      </w:pPr>
      <w:r>
        <w:rPr>
          <w:rFonts w:ascii="Arial" w:cs="Arial" w:eastAsia="Arial" w:hAnsi="Arial"/>
          <w:b/>
          <w:bCs/>
          <w:color w:val="1F2937"/>
          <w:sz w:val="26"/>
          <w:szCs w:val="26"/>
        </w:rPr>
        <w:t xml:space="preserve">2.4  LLM, RAG, and Agent — Beyond Classification</w:t>
      </w:r>
    </w:p>
    <w:p>
      <w:pPr>
        <w:spacing w:after="120" w:before="80" w:line="320"/>
        <w:jc w:val="both"/>
      </w:pPr>
      <w:r>
        <w:rPr>
          <w:rFonts w:ascii="Arial" w:cs="Arial" w:eastAsia="Arial" w:hAnsi="Arial"/>
          <w:b w:val="false"/>
          <w:bCs w:val="false"/>
          <w:i w:val="false"/>
          <w:iCs w:val="false"/>
          <w:sz w:val="22"/>
          <w:szCs w:val="22"/>
        </w:rPr>
        <w:t xml:space="preserve">A classifier alone produces a label and a confidence score, which is informative but opaque. Our system augments the classifier with three additional capabilities prescribed by the brief.</w:t>
      </w:r>
    </w:p>
    <w:p>
      <w:pPr>
        <w:pStyle w:val="ListParagraph"/>
        <w:numPr>
          <w:ilvl w:val="0"/>
          <w:numId w:val="2"/>
        </w:numPr>
        <w:spacing w:after="40" w:before="40" w:line="300"/>
      </w:pPr>
      <w:r>
        <w:rPr>
          <w:rFonts w:ascii="Arial" w:cs="Arial" w:eastAsia="Arial" w:hAnsi="Arial"/>
          <w:b/>
          <w:bCs/>
          <w:i w:val="false"/>
          <w:iCs w:val="false"/>
          <w:sz w:val="22"/>
          <w:szCs w:val="22"/>
        </w:rPr>
        <w:t xml:space="preserve">LLM Explanations: </w:t>
      </w:r>
      <w:r>
        <w:rPr>
          <w:rFonts w:ascii="Arial" w:cs="Arial" w:eastAsia="Arial" w:hAnsi="Arial"/>
          <w:b w:val="false"/>
          <w:bCs w:val="false"/>
          <w:i w:val="false"/>
          <w:iCs w:val="false"/>
          <w:sz w:val="22"/>
          <w:szCs w:val="22"/>
        </w:rPr>
        <w:t xml:space="preserve">After RoBERTa produces a prediction, we ask a large language model (Llama 3.3 70B, hosted on Groq) to generate a short natural-language justification, quoting specific phrases from the review. This converts a numeric prediction into a human-readable explanation.</w:t>
      </w:r>
    </w:p>
    <w:p>
      <w:pPr>
        <w:pStyle w:val="ListParagraph"/>
        <w:numPr>
          <w:ilvl w:val="0"/>
          <w:numId w:val="2"/>
        </w:numPr>
        <w:spacing w:after="40" w:before="40" w:line="300"/>
      </w:pPr>
      <w:r>
        <w:rPr>
          <w:rFonts w:ascii="Arial" w:cs="Arial" w:eastAsia="Arial" w:hAnsi="Arial"/>
          <w:b/>
          <w:bCs/>
          <w:i w:val="false"/>
          <w:iCs w:val="false"/>
          <w:sz w:val="22"/>
          <w:szCs w:val="22"/>
        </w:rPr>
        <w:t xml:space="preserve">RAG (Retrieval-Augmented Generation): </w:t>
      </w:r>
      <w:r>
        <w:rPr>
          <w:rFonts w:ascii="Arial" w:cs="Arial" w:eastAsia="Arial" w:hAnsi="Arial"/>
          <w:b w:val="false"/>
          <w:bCs w:val="false"/>
          <w:i w:val="false"/>
          <w:iCs w:val="false"/>
          <w:sz w:val="22"/>
          <w:szCs w:val="22"/>
        </w:rPr>
        <w:t xml:space="preserve">We embed 5,000 IMDB reviews using a Sentence Transformer (all-MiniLM-L6-v2) and store them in a FAISS vector index. When the user submits a new review, we retrieve the three most semantically similar reviews from the index and inject them into the LLM's prompt as context. This grounds the LLM's explanation in real examples and substantially reduces hallucination.</w:t>
      </w:r>
    </w:p>
    <w:p>
      <w:pPr>
        <w:pStyle w:val="ListParagraph"/>
        <w:numPr>
          <w:ilvl w:val="0"/>
          <w:numId w:val="2"/>
        </w:numPr>
        <w:spacing w:after="40" w:before="40" w:line="300"/>
      </w:pPr>
      <w:r>
        <w:rPr>
          <w:rFonts w:ascii="Arial" w:cs="Arial" w:eastAsia="Arial" w:hAnsi="Arial"/>
          <w:b/>
          <w:bCs/>
          <w:i w:val="false"/>
          <w:iCs w:val="false"/>
          <w:sz w:val="22"/>
          <w:szCs w:val="22"/>
        </w:rPr>
        <w:t xml:space="preserve">Tool-Calling Agent: </w:t>
      </w:r>
      <w:r>
        <w:rPr>
          <w:rFonts w:ascii="Arial" w:cs="Arial" w:eastAsia="Arial" w:hAnsi="Arial"/>
          <w:b w:val="false"/>
          <w:bCs w:val="false"/>
          <w:i w:val="false"/>
          <w:iCs w:val="false"/>
          <w:sz w:val="22"/>
          <w:szCs w:val="22"/>
        </w:rPr>
        <w:t xml:space="preserve">We expose three functions — classify_review, find_similar, and explain_sentiment — to the LLM through Groq's native OpenAI-compatible function-calling API. The model receives a user query and autonomously decides which function(s) to invoke and in what order, then synthesises the results into a final response. This is implemented in plain Python without LangChain, for reasons documented in Section 3.</w:t>
      </w:r>
    </w:p>
    <w:p>
      <w:r>
        <w:br w:type="page"/>
      </w:r>
    </w:p>
    <w:p>
      <w:pPr>
        <w:pStyle w:val="Heading1"/>
        <w:spacing w:after="180" w:before="360"/>
      </w:pPr>
      <w:r>
        <w:rPr>
          <w:rFonts w:ascii="Arial" w:cs="Arial" w:eastAsia="Arial" w:hAnsi="Arial"/>
          <w:b/>
          <w:bCs/>
          <w:color w:val="1F2937"/>
          <w:sz w:val="32"/>
          <w:szCs w:val="32"/>
        </w:rPr>
        <w:t xml:space="preserve">3.  Step-by-Step Notebook Walkthrough</w:t>
      </w:r>
    </w:p>
    <w:p>
      <w:pPr>
        <w:spacing w:after="120" w:before="80" w:line="320"/>
        <w:jc w:val="both"/>
      </w:pPr>
      <w:r>
        <w:rPr>
          <w:rFonts w:ascii="Arial" w:cs="Arial" w:eastAsia="Arial" w:hAnsi="Arial"/>
          <w:b w:val="false"/>
          <w:bCs w:val="false"/>
          <w:i w:val="false"/>
          <w:iCs w:val="false"/>
          <w:sz w:val="22"/>
          <w:szCs w:val="22"/>
        </w:rPr>
        <w:t xml:space="preserve">This section traces the notebook from top to bottom in the order it executes. For each major stage we describe what the code is doing, why we wrote it that way, and what the empirical outcome was. Where engineering decisions were forced by a bug or constraint, we name the constraint explicitly.</w:t>
      </w:r>
    </w:p>
    <w:p>
      <w:pPr>
        <w:pStyle w:val="Heading2"/>
        <w:spacing w:after="140" w:before="280"/>
      </w:pPr>
      <w:r>
        <w:rPr>
          <w:rFonts w:ascii="Arial" w:cs="Arial" w:eastAsia="Arial" w:hAnsi="Arial"/>
          <w:b/>
          <w:bCs/>
          <w:color w:val="1F2937"/>
          <w:sz w:val="26"/>
          <w:szCs w:val="26"/>
        </w:rPr>
        <w:t xml:space="preserve">3.1  Setup and Data Loading</w:t>
      </w:r>
    </w:p>
    <w:p>
      <w:pPr>
        <w:spacing w:after="120" w:before="80" w:line="320"/>
        <w:jc w:val="both"/>
      </w:pPr>
      <w:r>
        <w:rPr>
          <w:rFonts w:ascii="Arial" w:cs="Arial" w:eastAsia="Arial" w:hAnsi="Arial"/>
          <w:b w:val="false"/>
          <w:bCs w:val="false"/>
          <w:i w:val="false"/>
          <w:iCs w:val="false"/>
          <w:sz w:val="22"/>
          <w:szCs w:val="22"/>
        </w:rPr>
        <w:t xml:space="preserve">The first cells install dependencies and import standard libraries (NumPy, Pandas, scikit-learn, NLTK, TensorFlow/Keras, Hugging Face Transformers, FAISS, and Gradio). We then use the kagglehub library to download the IMDB 50K dataset directly inside Colab, eliminating any need for manual Kaggle credentials. The dataset arrives as a CSV with two columns: review (the text) and sentiment ("positive" or "negative"), perfectly balanced at 25,000 reviews per class.</w:t>
      </w:r>
    </w:p>
    <w:p>
      <w:pPr>
        <w:pStyle w:val="Heading2"/>
        <w:spacing w:after="140" w:before="280"/>
      </w:pPr>
      <w:r>
        <w:rPr>
          <w:rFonts w:ascii="Arial" w:cs="Arial" w:eastAsia="Arial" w:hAnsi="Arial"/>
          <w:b/>
          <w:bCs/>
          <w:color w:val="1F2937"/>
          <w:sz w:val="26"/>
          <w:szCs w:val="26"/>
        </w:rPr>
        <w:t xml:space="preserve">3.2  Exploratory Data Analysis</w:t>
      </w:r>
    </w:p>
    <w:p>
      <w:pPr>
        <w:spacing w:after="120" w:before="80" w:line="320"/>
        <w:jc w:val="both"/>
      </w:pPr>
      <w:r>
        <w:rPr>
          <w:rFonts w:ascii="Arial" w:cs="Arial" w:eastAsia="Arial" w:hAnsi="Arial"/>
          <w:b w:val="false"/>
          <w:bCs w:val="false"/>
          <w:i w:val="false"/>
          <w:iCs w:val="false"/>
          <w:sz w:val="22"/>
          <w:szCs w:val="22"/>
        </w:rPr>
        <w:t xml:space="preserve">Before any preprocessing, we examine the raw data. The class distribution is perfectly balanced, which means we do not need SMOTE oversampling or class weighting. Review-length histograms show a median of approximately 170 words with a long right tail — important context for the next section, where we make a deliberate compromise on sequence length for the recurrent models. The top-words analysis shows that the most frequent tokens ("movie", "film", "one") appear almost equally in positive and negative reviews, which confirms that single high-frequency words are not the signal: we need either bigrams (for classical ML) or contextual encoders (for Transformers) to separate the classes.</w:t>
      </w:r>
    </w:p>
    <w:p>
      <w:pPr>
        <w:pStyle w:val="Heading2"/>
        <w:spacing w:after="140" w:before="280"/>
      </w:pPr>
      <w:r>
        <w:rPr>
          <w:rFonts w:ascii="Arial" w:cs="Arial" w:eastAsia="Arial" w:hAnsi="Arial"/>
          <w:b/>
          <w:bCs/>
          <w:color w:val="1F2937"/>
          <w:sz w:val="26"/>
          <w:szCs w:val="26"/>
        </w:rPr>
        <w:t xml:space="preserve">3.3  Text Preprocessing — Negation-Aware Cleaning</w:t>
      </w:r>
    </w:p>
    <w:p>
      <w:pPr>
        <w:spacing w:after="120" w:before="80" w:line="320"/>
        <w:jc w:val="both"/>
      </w:pPr>
      <w:r>
        <w:rPr>
          <w:rFonts w:ascii="Arial" w:cs="Arial" w:eastAsia="Arial" w:hAnsi="Arial"/>
          <w:b w:val="false"/>
          <w:bCs w:val="false"/>
          <w:i w:val="false"/>
          <w:iCs w:val="false"/>
          <w:sz w:val="22"/>
          <w:szCs w:val="22"/>
        </w:rPr>
        <w:t xml:space="preserve">Our clean_text function applies the six standard steps described in Section 2.1. The non-trivial engineering choice here is the construction of the stopword set. NLTK's default English stopwords include negation particles, and our initial experiments showed this destroying accuracy on a predictable category of reviews — those expressing negative sentiment through negation of a positive word, such as "this movie is not good" or "the plot was never engaging".</w:t>
      </w:r>
    </w:p>
    <w:p>
      <w:pPr>
        <w:spacing w:after="120" w:before="80" w:line="320"/>
        <w:jc w:val="both"/>
      </w:pPr>
      <w:r>
        <w:rPr>
          <w:rFonts w:ascii="Arial" w:cs="Arial" w:eastAsia="Arial" w:hAnsi="Arial"/>
          <w:b w:val="false"/>
          <w:bCs w:val="false"/>
          <w:i w:val="false"/>
          <w:iCs w:val="false"/>
          <w:sz w:val="22"/>
          <w:szCs w:val="22"/>
        </w:rPr>
        <w:t xml:space="preserve">The fix is to subtract a hand-curated set of 26 negation tokens from the standard stopword list before applying it. This preserves words such as "not", "no", "never", "neither", and contractions like "don't", "won't", "hasn't". The resulting cleaned text is stored in a new column, clean_review, which feeds into the classical ML and recurrent Deep Learning models. The Transformer model receives a different version of the text, for reasons explained in Section 3.7.</w:t>
      </w:r>
    </w:p>
    <w:p>
      <w:pPr>
        <w:pStyle w:val="Heading2"/>
        <w:spacing w:after="140" w:before="280"/>
      </w:pPr>
      <w:r>
        <w:rPr>
          <w:rFonts w:ascii="Arial" w:cs="Arial" w:eastAsia="Arial" w:hAnsi="Arial"/>
          <w:b/>
          <w:bCs/>
          <w:color w:val="1F2937"/>
          <w:sz w:val="26"/>
          <w:szCs w:val="26"/>
        </w:rPr>
        <w:t xml:space="preserve">3.4  Feature Engineering</w:t>
      </w:r>
    </w:p>
    <w:p>
      <w:pPr>
        <w:spacing w:after="120" w:before="80" w:line="320"/>
        <w:jc w:val="both"/>
      </w:pPr>
      <w:r>
        <w:rPr>
          <w:rFonts w:ascii="Arial" w:cs="Arial" w:eastAsia="Arial" w:hAnsi="Arial"/>
          <w:b w:val="false"/>
          <w:bCs w:val="false"/>
          <w:i w:val="false"/>
          <w:iCs w:val="false"/>
          <w:sz w:val="22"/>
          <w:szCs w:val="22"/>
        </w:rPr>
        <w:t xml:space="preserve">We extract seven stylistic features from the original (uncleaned) review text: word count, character count, punctuation count, average word length, exclamation count, question count, and the ratio of uppercase characters. These features capture writing style rather than lexical content — emotional reviews tend to use more exclamation marks, frustrated reviews use more uppercase, and negative reviews tend to be longer on average. Crucially, these features are computed on the original text because the cleaned text has had its punctuation and capitalisation stripped away. They appear in our analysis but are not concatenated into the model input in the current submission; they are retained as documented avenues for future improvement.</w:t>
      </w:r>
    </w:p>
    <w:p>
      <w:pPr>
        <w:pStyle w:val="Heading2"/>
        <w:spacing w:after="140" w:before="280"/>
      </w:pPr>
      <w:r>
        <w:rPr>
          <w:rFonts w:ascii="Arial" w:cs="Arial" w:eastAsia="Arial" w:hAnsi="Arial"/>
          <w:b/>
          <w:bCs/>
          <w:color w:val="1F2937"/>
          <w:sz w:val="26"/>
          <w:szCs w:val="26"/>
        </w:rPr>
        <w:t xml:space="preserve">3.5  Train/Test Split</w:t>
      </w:r>
    </w:p>
    <w:p>
      <w:pPr>
        <w:spacing w:after="120" w:before="80" w:line="320"/>
        <w:jc w:val="both"/>
      </w:pPr>
      <w:r>
        <w:rPr>
          <w:rFonts w:ascii="Arial" w:cs="Arial" w:eastAsia="Arial" w:hAnsi="Arial"/>
          <w:b w:val="false"/>
          <w:bCs w:val="false"/>
          <w:i w:val="false"/>
          <w:iCs w:val="false"/>
          <w:sz w:val="22"/>
          <w:szCs w:val="22"/>
        </w:rPr>
        <w:t xml:space="preserve">We split the data 80/20 (40,000 training, 10,000 testing) with a fixed random seed of 42 for reproducibility. Because the dataset is perfectly balanced, the split preserves class proportions naturally without requiring stratified sampling.</w:t>
      </w:r>
    </w:p>
    <w:p>
      <w:pPr>
        <w:pStyle w:val="Heading2"/>
        <w:spacing w:after="140" w:before="280"/>
      </w:pPr>
      <w:r>
        <w:rPr>
          <w:rFonts w:ascii="Arial" w:cs="Arial" w:eastAsia="Arial" w:hAnsi="Arial"/>
          <w:b/>
          <w:bCs/>
          <w:color w:val="1F2937"/>
          <w:sz w:val="26"/>
          <w:szCs w:val="26"/>
        </w:rPr>
        <w:t xml:space="preserve">3.6  Machine Learning Baselines</w:t>
      </w:r>
    </w:p>
    <w:p>
      <w:pPr>
        <w:spacing w:after="120" w:before="80" w:line="320"/>
        <w:jc w:val="both"/>
      </w:pPr>
      <w:r>
        <w:rPr>
          <w:rFonts w:ascii="Arial" w:cs="Arial" w:eastAsia="Arial" w:hAnsi="Arial"/>
          <w:b w:val="false"/>
          <w:bCs w:val="false"/>
          <w:i w:val="false"/>
          <w:iCs w:val="false"/>
          <w:sz w:val="22"/>
          <w:szCs w:val="22"/>
        </w:rPr>
        <w:t xml:space="preserve">We build a TF-IDF vectoriser with max_features=5000 and ngram_range=(1, 2), then train four classical classifiers on the resulting sparse matrix: Logistic Regression, Linear SVM, Multinomial Naive Bayes, and Random Forest. The bigram component is essential — it allows the model to learn that the bigram "not good" is a single feature with negative association, complementing our decision to preserve negation words during preprocessing.</w:t>
      </w:r>
    </w:p>
    <w:p>
      <w:pPr>
        <w:spacing w:after="120" w:before="80" w:line="320"/>
        <w:jc w:val="both"/>
      </w:pPr>
      <w:r>
        <w:rPr>
          <w:rFonts w:ascii="Arial" w:cs="Arial" w:eastAsia="Arial" w:hAnsi="Arial"/>
          <w:b w:val="false"/>
          <w:bCs w:val="false"/>
          <w:i w:val="false"/>
          <w:iCs w:val="false"/>
          <w:sz w:val="22"/>
          <w:szCs w:val="22"/>
        </w:rPr>
        <w:t xml:space="preserve">Evaluation produces accuracy, precision, recall, F1, confusion matrices, and ROC-AUC curves for all four models. The headline finding is that Logistic Regression reaches 90.20% accuracy, comfortably above our 90% target. This was higher than we expected before running the experiments, and it foreshadows an interesting observation about the relationship between model complexity and dataset size, which we return to in Section 4.</w:t>
      </w:r>
    </w:p>
    <w:p>
      <w:pPr>
        <w:pStyle w:val="Heading2"/>
        <w:spacing w:after="140" w:before="280"/>
      </w:pPr>
      <w:r>
        <w:rPr>
          <w:rFonts w:ascii="Arial" w:cs="Arial" w:eastAsia="Arial" w:hAnsi="Arial"/>
          <w:b/>
          <w:bCs/>
          <w:color w:val="1F2937"/>
          <w:sz w:val="26"/>
          <w:szCs w:val="26"/>
        </w:rPr>
        <w:t xml:space="preserve">3.7  Deep Learning — GloVe + Four RNN Variants</w:t>
      </w:r>
    </w:p>
    <w:p>
      <w:pPr>
        <w:spacing w:after="120" w:before="80" w:line="320"/>
        <w:jc w:val="both"/>
      </w:pPr>
      <w:r>
        <w:rPr>
          <w:rFonts w:ascii="Arial" w:cs="Arial" w:eastAsia="Arial" w:hAnsi="Arial"/>
          <w:b w:val="false"/>
          <w:bCs w:val="false"/>
          <w:i w:val="false"/>
          <w:iCs w:val="false"/>
          <w:sz w:val="22"/>
          <w:szCs w:val="22"/>
        </w:rPr>
        <w:t xml:space="preserve">This stage downloads the pre-trained GloVe 100-dimensional embeddings (~822 MB compressed), tokenises our cleaned reviews using Keras's Tokenizer with a vocabulary cap of 20,000 words, and pads each review to 100 tokens. We then train four recurrent architectures on the same padded inputs: SimpleRNN, LSTM, GRU, and Bidirectional LSTM, each followed by a sigmoid classification head.</w:t>
      </w:r>
    </w:p>
    <w:p>
      <w:pPr>
        <w:spacing w:after="120" w:before="80" w:line="320"/>
        <w:jc w:val="both"/>
      </w:pPr>
      <w:r>
        <w:rPr>
          <w:rFonts w:ascii="Arial" w:cs="Arial" w:eastAsia="Arial" w:hAnsi="Arial"/>
          <w:b w:val="false"/>
          <w:bCs w:val="false"/>
          <w:i w:val="false"/>
          <w:iCs w:val="false"/>
          <w:sz w:val="22"/>
          <w:szCs w:val="22"/>
        </w:rPr>
        <w:t xml:space="preserve">Two technical choices in this stage deserve explicit justification.</w:t>
      </w:r>
    </w:p>
    <w:p>
      <w:pPr>
        <w:pStyle w:val="Heading3"/>
        <w:spacing w:after="120" w:before="220"/>
      </w:pPr>
      <w:r>
        <w:rPr>
          <w:rFonts w:ascii="Arial" w:cs="Arial" w:eastAsia="Arial" w:hAnsi="Arial"/>
          <w:b/>
          <w:bCs/>
          <w:color w:val="374151"/>
          <w:sz w:val="24"/>
          <w:szCs w:val="24"/>
        </w:rPr>
        <w:t xml:space="preserve">Why post-padding instead of pre-padding</w:t>
      </w:r>
    </w:p>
    <w:p>
      <w:pPr>
        <w:spacing w:after="120" w:before="80" w:line="320"/>
        <w:jc w:val="both"/>
      </w:pPr>
      <w:r>
        <w:rPr>
          <w:rFonts w:ascii="Arial" w:cs="Arial" w:eastAsia="Arial" w:hAnsi="Arial"/>
          <w:b w:val="false"/>
          <w:bCs w:val="false"/>
          <w:i w:val="false"/>
          <w:iCs w:val="false"/>
          <w:sz w:val="22"/>
          <w:szCs w:val="22"/>
        </w:rPr>
        <w:t xml:space="preserve">Keras's pad_sequences function defaults to padding="pre", placing zero-padding tokens at the beginning of short sequences. Our Embedding layer uses mask_zero=True so the recurrent layer skips padded positions. When training on a GPU, TensorFlow dispatches the LSTM forward pass to NVIDIA's cuDNN library, which contains a fast kernel optimised for masked recurrent networks. That kernel imposes a strict requirement: when mask_zero is enabled, the zero tokens must appear at the end of the sequence, not the beginning. Pre-padding crashes the cuDNN kernel with an opaque CUDA error. We therefore set padding="post" and truncating="post", which places padding (and any necessary truncation) at the tail of the sequence. This is a non-obvious engineering constraint inherited from the GPU hardware path, and it is exactly the kind of detail that distinguishes code that runs from code that does not.</w:t>
      </w:r>
    </w:p>
    <w:p>
      <w:pPr>
        <w:pStyle w:val="Heading3"/>
        <w:spacing w:after="120" w:before="220"/>
      </w:pPr>
      <w:r>
        <w:rPr>
          <w:rFonts w:ascii="Arial" w:cs="Arial" w:eastAsia="Arial" w:hAnsi="Arial"/>
          <w:b/>
          <w:bCs/>
          <w:color w:val="374151"/>
          <w:sz w:val="24"/>
          <w:szCs w:val="24"/>
        </w:rPr>
        <w:t xml:space="preserve">Why SpatialDropout1D instead of standard Dropout</w:t>
      </w:r>
    </w:p>
    <w:p>
      <w:pPr>
        <w:spacing w:after="120" w:before="80" w:line="320"/>
        <w:jc w:val="both"/>
      </w:pPr>
      <w:r>
        <w:rPr>
          <w:rFonts w:ascii="Arial" w:cs="Arial" w:eastAsia="Arial" w:hAnsi="Arial"/>
          <w:b w:val="false"/>
          <w:bCs w:val="false"/>
          <w:i w:val="false"/>
          <w:iCs w:val="false"/>
          <w:sz w:val="22"/>
          <w:szCs w:val="22"/>
        </w:rPr>
        <w:t xml:space="preserve">After the Embedding layer we apply SpatialDropout1D(0.3) rather than a standard Dropout(0.3). Standard Dropout zeros individual elements of the embedding tensor at random; SpatialDropout1D zeros entire embedding dimensions across the whole sequence. Because each GloVe dimension encodes a particular latent semantic feature, dropping whole dimensions forces the network to distribute its representational dependencies across many features rather than relying on a few favourites. This is a stronger form of regularisation for embedding-based recurrent networks and produced measurably better validation curves in our experiments.</w:t>
      </w:r>
    </w:p>
    <w:p>
      <w:pPr>
        <w:pStyle w:val="Heading3"/>
        <w:spacing w:after="120" w:before="220"/>
      </w:pPr>
      <w:r>
        <w:rPr>
          <w:rFonts w:ascii="Arial" w:cs="Arial" w:eastAsia="Arial" w:hAnsi="Arial"/>
          <w:b/>
          <w:bCs/>
          <w:color w:val="374151"/>
          <w:sz w:val="24"/>
          <w:szCs w:val="24"/>
        </w:rPr>
        <w:t xml:space="preserve">Empirical results — the vanishing-gradient diagnosis</w:t>
      </w:r>
    </w:p>
    <w:p>
      <w:pPr>
        <w:spacing w:after="120" w:before="80" w:line="320"/>
        <w:jc w:val="both"/>
      </w:pPr>
      <w:r>
        <w:rPr>
          <w:rFonts w:ascii="Arial" w:cs="Arial" w:eastAsia="Arial" w:hAnsi="Arial"/>
          <w:b w:val="false"/>
          <w:bCs w:val="false"/>
          <w:i w:val="false"/>
          <w:iCs w:val="false"/>
          <w:sz w:val="22"/>
          <w:szCs w:val="22"/>
        </w:rPr>
        <w:t xml:space="preserve">After training, we observed a stark pattern across the four architectures: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5220"/>
      </w:tblGrid>
      <w:tr>
        <w:trPr>
          <w:tblHeader/>
        </w:trPr>
        <w:tc>
          <w:tcPr>
            <w:tcW w:type="dxa" w:w="234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Architecture</w:t>
            </w:r>
          </w:p>
        </w:tc>
        <w:tc>
          <w:tcPr>
            <w:tcW w:type="dxa" w:w="180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Test Accuracy</w:t>
            </w:r>
          </w:p>
        </w:tc>
        <w:tc>
          <w:tcPr>
            <w:tcW w:type="dxa" w:w="5220"/>
            <w:tcBorders>
              <w:top w:val="single" w:color="BFBFBF" w:sz="4"/>
              <w:left w:val="single" w:color="BFBFBF" w:sz="4"/>
              <w:bottom w:val="single" w:color="BFBFBF" w:sz="4"/>
              <w:right w:val="single" w:color="BFBFBF" w:sz="4"/>
            </w:tcBorders>
            <w:shd w:fill="1F2937" w:color="auto"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Interpretation</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SimpleRNN</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~50%</w:t>
            </w:r>
          </w:p>
        </w:tc>
        <w:tc>
          <w:tcPr>
            <w:tcW w:type="dxa" w:w="52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Total failure. The model predicts the majority class. Gradients vanish across 100 timesteps before any meaningful signal can propagate from late tokens back to early weights.</w:t>
            </w:r>
          </w:p>
        </w:tc>
      </w:tr>
      <w:tr>
        <w:tc>
          <w:tcPr>
            <w:tcW w:type="dxa" w:w="234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val="false"/>
                <w:bCs w:val="false"/>
                <w:sz w:val="22"/>
                <w:szCs w:val="22"/>
              </w:rPr>
              <w:t xml:space="preserve">GRU</w:t>
            </w:r>
          </w:p>
        </w:tc>
        <w:tc>
          <w:tcPr>
            <w:tcW w:type="dxa" w:w="180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bCs/>
                <w:sz w:val="22"/>
                <w:szCs w:val="22"/>
              </w:rPr>
              <w:t xml:space="preserve">~50%</w:t>
            </w:r>
          </w:p>
        </w:tc>
        <w:tc>
          <w:tcPr>
            <w:tcW w:type="dxa" w:w="5220"/>
            <w:tcBorders>
              <w:top w:val="single" w:color="BFBFBF" w:sz="4"/>
              <w:left w:val="single" w:color="BFBFBF" w:sz="4"/>
              <w:bottom w:val="single" w:color="BFBFBF" w:sz="4"/>
              <w:right w:val="single" w:color="BFBFBF" w:sz="4"/>
            </w:tcBorders>
            <w:shd w:fill="F9FAFB" w:color="auto" w:val="clear"/>
            <w:tcMar>
              <w:top w:type="dxa" w:w="80"/>
              <w:left w:type="dxa" w:w="140"/>
              <w:bottom w:type="dxa" w:w="80"/>
              <w:right w:type="dxa" w:w="140"/>
            </w:tcMar>
          </w:tcPr>
          <w:p>
            <w:r>
              <w:rPr>
                <w:rFonts w:ascii="Arial" w:cs="Arial" w:eastAsia="Arial" w:hAnsi="Arial"/>
                <w:b w:val="false"/>
                <w:bCs w:val="false"/>
                <w:sz w:val="22"/>
                <w:szCs w:val="22"/>
              </w:rPr>
              <w:t xml:space="preserve">Also fails. The two-gate architecture is less aggressively gated than LSTM and is insufficient at this sequence length.</w:t>
            </w:r>
          </w:p>
        </w:tc>
      </w:tr>
      <w:tr>
        <w:tc>
          <w:tcPr>
            <w:tcW w:type="dxa" w:w="234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LSTM</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bCs/>
                <w:sz w:val="22"/>
                <w:szCs w:val="22"/>
              </w:rPr>
              <w:t xml:space="preserve">~76%</w:t>
            </w:r>
          </w:p>
        </w:tc>
        <w:tc>
          <w:tcPr>
            <w:tcW w:type="dxa" w:w="52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Arial" w:cs="Arial" w:eastAsia="Arial" w:hAnsi="Arial"/>
                <w:b w:val="false"/>
                <w:bCs w:val="false"/>
                <w:sz w:val="22"/>
                <w:szCs w:val="22"/>
              </w:rPr>
              <w:t xml:space="preserve">Partial recovery. The dedicated memory cell and three-gate architecture preserves some long-range dependency, but the unidirectional read still struggles with reviews whose verdict lives at the end.</w:t>
            </w:r>
          </w:p>
        </w:tc>
      </w:tr>
      <w:tr>
        <w:tc>
          <w:tcPr>
            <w:tcW w:type="dxa" w:w="2340"/>
            <w:tcBorders>
              <w:top w:val="single" w:color="BFBFBF" w:sz="4"/>
              <w:left w:val="single" w:color="BFBFBF" w:sz="4"/>
              <w:bottom w:val="single" w:color="BFBFBF" w:sz="4"/>
              <w:right w:val="single" w:color="BFBFBF" w:sz="4"/>
            </w:tcBorders>
            <w:shd w:fill="D1FAE5" w:color="auto" w:val="clear"/>
            <w:tcMar>
              <w:top w:type="dxa" w:w="80"/>
              <w:left w:type="dxa" w:w="140"/>
              <w:bottom w:type="dxa" w:w="80"/>
              <w:right w:type="dxa" w:w="140"/>
            </w:tcMar>
          </w:tcPr>
          <w:p>
            <w:r>
              <w:rPr>
                <w:rFonts w:ascii="Arial" w:cs="Arial" w:eastAsia="Arial" w:hAnsi="Arial"/>
                <w:b w:val="false"/>
                <w:bCs w:val="false"/>
                <w:sz w:val="22"/>
                <w:szCs w:val="22"/>
              </w:rPr>
              <w:t xml:space="preserve">Bidirectional LSTM</w:t>
            </w:r>
          </w:p>
        </w:tc>
        <w:tc>
          <w:tcPr>
            <w:tcW w:type="dxa" w:w="1800"/>
            <w:tcBorders>
              <w:top w:val="single" w:color="BFBFBF" w:sz="4"/>
              <w:left w:val="single" w:color="BFBFBF" w:sz="4"/>
              <w:bottom w:val="single" w:color="BFBFBF" w:sz="4"/>
              <w:right w:val="single" w:color="BFBFBF" w:sz="4"/>
            </w:tcBorders>
            <w:shd w:fill="D1FAE5" w:color="auto" w:val="clear"/>
            <w:tcMar>
              <w:top w:type="dxa" w:w="80"/>
              <w:left w:type="dxa" w:w="140"/>
              <w:bottom w:type="dxa" w:w="80"/>
              <w:right w:type="dxa" w:w="140"/>
            </w:tcMar>
          </w:tcPr>
          <w:p>
            <w:r>
              <w:rPr>
                <w:rFonts w:ascii="Arial" w:cs="Arial" w:eastAsia="Arial" w:hAnsi="Arial"/>
                <w:b/>
                <w:bCs/>
                <w:sz w:val="22"/>
                <w:szCs w:val="22"/>
              </w:rPr>
              <w:t xml:space="preserve">88.05%</w:t>
            </w:r>
          </w:p>
        </w:tc>
        <w:tc>
          <w:tcPr>
            <w:tcW w:type="dxa" w:w="5220"/>
            <w:tcBorders>
              <w:top w:val="single" w:color="BFBFBF" w:sz="4"/>
              <w:left w:val="single" w:color="BFBFBF" w:sz="4"/>
              <w:bottom w:val="single" w:color="BFBFBF" w:sz="4"/>
              <w:right w:val="single" w:color="BFBFBF" w:sz="4"/>
            </w:tcBorders>
            <w:shd w:fill="D1FAE5" w:color="auto" w:val="clear"/>
            <w:tcMar>
              <w:top w:type="dxa" w:w="80"/>
              <w:left w:type="dxa" w:w="140"/>
              <w:bottom w:type="dxa" w:w="80"/>
              <w:right w:type="dxa" w:w="140"/>
            </w:tcMar>
          </w:tcPr>
          <w:p>
            <w:r>
              <w:rPr>
                <w:rFonts w:ascii="Arial" w:cs="Arial" w:eastAsia="Arial" w:hAnsi="Arial"/>
                <w:b w:val="false"/>
                <w:bCs w:val="false"/>
                <w:sz w:val="22"/>
                <w:szCs w:val="22"/>
              </w:rPr>
              <w:t xml:space="preserve">The only DL architecture to clear 80%. Reading the sequence in both directions means the backward pass effectively memorises the review's conclusion before forgetting can occur — a textbook demonstration of why bidirectionality matters.</w:t>
            </w:r>
          </w:p>
        </w:tc>
      </w:tr>
    </w:tbl>
    <w:p>
      <w:r>
        <w:t xml:space="preserve"/>
      </w:r>
    </w:p>
    <w:p>
      <w:pPr>
        <w:spacing w:after="120" w:before="80" w:line="320"/>
        <w:jc w:val="both"/>
      </w:pPr>
      <w:r>
        <w:rPr>
          <w:rFonts w:ascii="Arial" w:cs="Arial" w:eastAsia="Arial" w:hAnsi="Arial"/>
          <w:b w:val="false"/>
          <w:bCs w:val="false"/>
          <w:i w:val="false"/>
          <w:iCs w:val="false"/>
          <w:sz w:val="22"/>
          <w:szCs w:val="22"/>
        </w:rPr>
        <w:t xml:space="preserve">We further stabilise training with gradient clipping (clipnorm=1.0) to guard against the opposite failure mode of exploding gradients, an EarlyStopping callback that restores the best weights when validation loss plateaus, and a ReduceLROnPlateau scheduler that halves the learning rate when training stagnates. The combined effect is a Bi-LSTM that converges smoothly to 88.05% test accuracy — a strong result for a recurrent network, but still below our classical Logistic Regression baseline.</w:t>
      </w:r>
    </w:p>
    <w:p>
      <w:pPr>
        <w:pStyle w:val="Heading2"/>
        <w:spacing w:after="140" w:before="280"/>
      </w:pPr>
      <w:r>
        <w:rPr>
          <w:rFonts w:ascii="Arial" w:cs="Arial" w:eastAsia="Arial" w:hAnsi="Arial"/>
          <w:b/>
          <w:bCs/>
          <w:color w:val="1F2937"/>
          <w:sz w:val="26"/>
          <w:szCs w:val="26"/>
        </w:rPr>
        <w:t xml:space="preserve">3.8  Transformer — Fine-Tuned RoBERTa-base</w:t>
      </w:r>
    </w:p>
    <w:p>
      <w:pPr>
        <w:spacing w:after="120" w:before="80" w:line="320"/>
        <w:jc w:val="both"/>
      </w:pPr>
      <w:r>
        <w:rPr>
          <w:rFonts w:ascii="Arial" w:cs="Arial" w:eastAsia="Arial" w:hAnsi="Arial"/>
          <w:b w:val="false"/>
          <w:bCs w:val="false"/>
          <w:i w:val="false"/>
          <w:iCs w:val="false"/>
          <w:sz w:val="22"/>
          <w:szCs w:val="22"/>
        </w:rPr>
        <w:t xml:space="preserve">Our final and best-performing model is a fine-tuned RoBERTa-base. RoBERTa is an improved variant of BERT trained on roughly ten times the data (160 GB versus 16 GB) with dynamic masking and the Next-Sentence-Prediction objective removed. It exposes the same Transformer architecture as BERT but learns substantially better representations during pre-training.</w:t>
      </w:r>
    </w:p>
    <w:p>
      <w:pPr>
        <w:pStyle w:val="Heading3"/>
        <w:spacing w:after="120" w:before="220"/>
      </w:pPr>
      <w:r>
        <w:rPr>
          <w:rFonts w:ascii="Arial" w:cs="Arial" w:eastAsia="Arial" w:hAnsi="Arial"/>
          <w:b/>
          <w:bCs/>
          <w:color w:val="374151"/>
          <w:sz w:val="24"/>
          <w:szCs w:val="24"/>
        </w:rPr>
        <w:t xml:space="preserve">Why not DeBERTa-v3</w:t>
      </w:r>
    </w:p>
    <w:p>
      <w:pPr>
        <w:spacing w:after="120" w:before="80" w:line="320"/>
        <w:jc w:val="both"/>
      </w:pPr>
      <w:r>
        <w:rPr>
          <w:rFonts w:ascii="Arial" w:cs="Arial" w:eastAsia="Arial" w:hAnsi="Arial"/>
          <w:b w:val="false"/>
          <w:bCs w:val="false"/>
          <w:i w:val="false"/>
          <w:iCs w:val="false"/>
          <w:sz w:val="22"/>
          <w:szCs w:val="22"/>
        </w:rPr>
        <w:t xml:space="preserve">Our initial intention was to fine-tune DeBERTa-v3, which is theoretically stronger than RoBERTa thanks to disentangled attention and an enhanced mask decoder. In practice, we encountered a bug in the transformers library related to LayerNorm weight naming: when loading the pre-trained DeBERTa-v3 checkpoint into our classification head, certain LayerNorm parameters were silently reinitialised to random values rather than carried over from the pre-trained model. The symptom was striking — fine-tuning produced 50% test accuracy regardless of hyperparameters, which is the signature of a model that has lost its pre-trained knowledge entirely. After diagnosing the issue we pivoted to RoBERTa-base, which loaded cleanly and trained as expected.</w:t>
      </w:r>
    </w:p>
    <w:p>
      <w:pPr>
        <w:pStyle w:val="Heading3"/>
        <w:spacing w:after="120" w:before="220"/>
      </w:pPr>
      <w:r>
        <w:rPr>
          <w:rFonts w:ascii="Arial" w:cs="Arial" w:eastAsia="Arial" w:hAnsi="Arial"/>
          <w:b/>
          <w:bCs/>
          <w:color w:val="374151"/>
          <w:sz w:val="24"/>
          <w:szCs w:val="24"/>
        </w:rPr>
        <w:t xml:space="preserve">Training configuration</w:t>
      </w:r>
    </w:p>
    <w:p>
      <w:pPr>
        <w:spacing w:after="120" w:before="80" w:line="320"/>
        <w:jc w:val="both"/>
      </w:pPr>
      <w:r>
        <w:rPr>
          <w:rFonts w:ascii="Arial" w:cs="Arial" w:eastAsia="Arial" w:hAnsi="Arial"/>
          <w:b w:val="false"/>
          <w:bCs w:val="false"/>
          <w:i w:val="false"/>
          <w:iCs w:val="false"/>
          <w:sz w:val="22"/>
          <w:szCs w:val="22"/>
        </w:rPr>
        <w:t xml:space="preserve">Because Colab's free GPU sessions are time-limited, we performed the fine-tuning on Kaggle, which provides longer uninterrupted T4 GPU sessions. We used five training epochs with early stopping (patience=2), a maximum sequence length of 512 tokens (the full Transformer context window), gradient accumulation to reach an effective batch size of 32, fp16 mixed-precision arithmetic for a roughly 40% speed-up on T4 hardware, and a label-smoothing coefficient of 0.1 to improve calibration and reduce over-confidence. The fine-tuned weights total approximately 500 MB.</w:t>
      </w:r>
    </w:p>
    <w:p>
      <w:pPr>
        <w:pStyle w:val="Heading3"/>
        <w:spacing w:after="120" w:before="220"/>
      </w:pPr>
      <w:r>
        <w:rPr>
          <w:rFonts w:ascii="Arial" w:cs="Arial" w:eastAsia="Arial" w:hAnsi="Arial"/>
          <w:b/>
          <w:bCs/>
          <w:color w:val="374151"/>
          <w:sz w:val="24"/>
          <w:szCs w:val="24"/>
        </w:rPr>
        <w:t xml:space="preserve">Distribution: gdown over Google Drive</w:t>
      </w:r>
    </w:p>
    <w:p>
      <w:pPr>
        <w:spacing w:after="120" w:before="80" w:line="320"/>
        <w:jc w:val="both"/>
      </w:pPr>
      <w:r>
        <w:rPr>
          <w:rFonts w:ascii="Arial" w:cs="Arial" w:eastAsia="Arial" w:hAnsi="Arial"/>
          <w:b w:val="false"/>
          <w:bCs w:val="false"/>
          <w:i w:val="false"/>
          <w:iCs w:val="false"/>
          <w:sz w:val="22"/>
          <w:szCs w:val="22"/>
        </w:rPr>
        <w:t xml:space="preserve">To make the notebook self-contained and reproducible by any grader, we uploaded the trained weights to Google Drive and use the gdown library inside the notebook to download them by file ID. This avoids the friction of mounting a personal Drive, requires no authentication, and delivers the model files to /content/roberta-sentiment-final in roughly thirty seconds. Anyone running the notebook can reach inference-ready state without re-training and without having access to our private accounts.</w:t>
      </w:r>
    </w:p>
    <w:p>
      <w:pPr>
        <w:pStyle w:val="Heading3"/>
        <w:spacing w:after="120" w:before="220"/>
      </w:pPr>
      <w:r>
        <w:rPr>
          <w:rFonts w:ascii="Arial" w:cs="Arial" w:eastAsia="Arial" w:hAnsi="Arial"/>
          <w:b/>
          <w:bCs/>
          <w:color w:val="374151"/>
          <w:sz w:val="24"/>
          <w:szCs w:val="24"/>
        </w:rPr>
        <w:t xml:space="preserve">Inference: original text, not cleaned text</w:t>
      </w:r>
    </w:p>
    <w:p>
      <w:pPr>
        <w:spacing w:after="120" w:before="80" w:line="320"/>
        <w:jc w:val="both"/>
      </w:pPr>
      <w:r>
        <w:rPr>
          <w:rFonts w:ascii="Arial" w:cs="Arial" w:eastAsia="Arial" w:hAnsi="Arial"/>
          <w:b w:val="false"/>
          <w:bCs w:val="false"/>
          <w:i w:val="false"/>
          <w:iCs w:val="false"/>
          <w:sz w:val="22"/>
          <w:szCs w:val="22"/>
        </w:rPr>
        <w:t xml:space="preserve">An important design choice at this stage is that RoBERTa receives the original review text (with HTML tags stripped, but otherwise raw), not the aggressively cleaned text we feed to ML and RNN models. RoBERTa's tokeniser uses Byte Pair Encoding (BPE), which was trained on raw English including punctuation, capitalisation, and contractions. Each of these signals carries meaning in the BPE vocabulary; stripping them would push the input outside the pre-training distribution and measurably reduce accuracy. Preprocessing is model-specific: classical ML and RNNs benefit from a clean lexical space, whereas Transformers benefit from the rich raw signal they were pre-trained on.</w:t>
      </w:r>
    </w:p>
    <w:p>
      <w:pPr>
        <w:spacing w:after="120" w:before="80" w:line="320"/>
        <w:jc w:val="both"/>
      </w:pPr>
      <w:r>
        <w:rPr>
          <w:rFonts w:ascii="Arial" w:cs="Arial" w:eastAsia="Arial" w:hAnsi="Arial"/>
          <w:b w:val="false"/>
          <w:bCs w:val="false"/>
          <w:i w:val="false"/>
          <w:iCs w:val="false"/>
          <w:sz w:val="22"/>
          <w:szCs w:val="22"/>
        </w:rPr>
        <w:t xml:space="preserve">Inference runs in batches of 32 on the GPU with torch.no_grad() to disable autograd bookkeeping. Final test accuracy: 95.75%, with a corresponding ROC-AUC above 0.99. This is our production model and the one served by the Gradio interface.</w:t>
      </w:r>
    </w:p>
    <w:p>
      <w:pPr>
        <w:pStyle w:val="Heading2"/>
        <w:spacing w:after="140" w:before="280"/>
      </w:pPr>
      <w:r>
        <w:rPr>
          <w:rFonts w:ascii="Arial" w:cs="Arial" w:eastAsia="Arial" w:hAnsi="Arial"/>
          <w:b/>
          <w:bCs/>
          <w:color w:val="1F2937"/>
          <w:sz w:val="26"/>
          <w:szCs w:val="26"/>
        </w:rPr>
        <w:t xml:space="preserve">3.9  LLM Explanations and the RAG Pipeline</w:t>
      </w:r>
    </w:p>
    <w:p>
      <w:pPr>
        <w:spacing w:after="120" w:before="80" w:line="320"/>
        <w:jc w:val="both"/>
      </w:pPr>
      <w:r>
        <w:rPr>
          <w:rFonts w:ascii="Arial" w:cs="Arial" w:eastAsia="Arial" w:hAnsi="Arial"/>
          <w:b w:val="false"/>
          <w:bCs w:val="false"/>
          <w:i w:val="false"/>
          <w:iCs w:val="false"/>
          <w:sz w:val="22"/>
          <w:szCs w:val="22"/>
        </w:rPr>
        <w:t xml:space="preserve">With a working classifier we move to explanation. The brief asks for an LLM-generated rationale for each prediction, optionally enhanced by a Retrieval-Augmented Generation (RAG) pipeline. Our initial implementation used Google Gemini (gemini-1.5-flash) through the LangChain abstraction layer. This worked, but only briefly: the Gemini free-tier quota issued frequent 429 "Too Many Requests" responses, which made the agent (Section 3.10) effectively unusable because each agent turn consumes multiple LLM calls. Compounding this, LangChain itself was introducing dependency-version conflicts in Colab between langchain-core, langchain-google-genai, and pydantic that consumed disproportionate amounts of debugging time.</w:t>
      </w:r>
    </w:p>
    <w:p>
      <w:pPr>
        <w:spacing w:after="120" w:before="80" w:line="320"/>
        <w:jc w:val="both"/>
      </w:pPr>
      <w:r>
        <w:rPr>
          <w:rFonts w:ascii="Arial" w:cs="Arial" w:eastAsia="Arial" w:hAnsi="Arial"/>
          <w:b w:val="false"/>
          <w:bCs w:val="false"/>
          <w:i w:val="false"/>
          <w:iCs w:val="false"/>
          <w:sz w:val="22"/>
          <w:szCs w:val="22"/>
        </w:rPr>
        <w:t xml:space="preserve">We resolved both problems simultaneously by removing LangChain and Gemini and switching to Groq's hosted Llama 3.3 70B. Groq runs on custom Language Processing Unit (LPU) hardware, delivers responses in under a second, offers a generous free-tier quota, and — critically — implements the OpenAI-compatible function-calling specification natively. This last property is what allowed us to rewrite the agent as plain Python without any framework abstraction. The RAG pipeline itself was preserved unchanged: it does not depend on the LLM vendor and continues to use FAISS and sentence-transformers.</w:t>
      </w:r>
    </w:p>
    <w:p>
      <w:pPr>
        <w:pStyle w:val="Heading3"/>
        <w:spacing w:after="120" w:before="220"/>
      </w:pPr>
      <w:r>
        <w:rPr>
          <w:rFonts w:ascii="Arial" w:cs="Arial" w:eastAsia="Arial" w:hAnsi="Arial"/>
          <w:b/>
          <w:bCs/>
          <w:color w:val="374151"/>
          <w:sz w:val="24"/>
          <w:szCs w:val="24"/>
        </w:rPr>
        <w:t xml:space="preserve">The RAG pipeline</w:t>
      </w:r>
    </w:p>
    <w:p>
      <w:pPr>
        <w:spacing w:after="120" w:before="80" w:line="320"/>
        <w:jc w:val="both"/>
      </w:pPr>
      <w:r>
        <w:rPr>
          <w:rFonts w:ascii="Arial" w:cs="Arial" w:eastAsia="Arial" w:hAnsi="Arial"/>
          <w:b w:val="false"/>
          <w:bCs w:val="false"/>
          <w:i w:val="false"/>
          <w:iCs w:val="false"/>
          <w:sz w:val="22"/>
          <w:szCs w:val="22"/>
        </w:rPr>
        <w:t xml:space="preserve">We embed the first 5,000 IMDB reviews using the Sentence Transformer all-MiniLM-L6-v2, which produces 384-dimensional embeddings — small enough to fit easily in memory and fast enough to embed in under a minute. The resulting matrix is loaded into a FAISS IndexFlatL2 index, which performs exact Euclidean nearest-neighbour search. With only 5,000 vectors, an exhaustive search is essentially free; for production deployments with millions of vectors we would switch to an approximate index such as IndexHNSWFlat.</w:t>
      </w:r>
    </w:p>
    <w:p>
      <w:pPr>
        <w:spacing w:after="120" w:before="80" w:line="320"/>
        <w:jc w:val="both"/>
      </w:pPr>
      <w:r>
        <w:rPr>
          <w:rFonts w:ascii="Arial" w:cs="Arial" w:eastAsia="Arial" w:hAnsi="Arial"/>
          <w:b w:val="false"/>
          <w:bCs w:val="false"/>
          <w:i w:val="false"/>
          <w:iCs w:val="false"/>
          <w:sz w:val="22"/>
          <w:szCs w:val="22"/>
        </w:rPr>
        <w:t xml:space="preserve">When the user submits a new review, the system embeds it with the same Sentence Transformer, queries the FAISS index for the three nearest neighbours, and assembles a prompt that includes the RoBERTa prediction, the review text itself, and the three retrieved similar reviews with their known sentiment labels. The Groq Llama 3.3 70B model receives this prompt and produces a three-sentence explanation that quotes specific phrases and references the retrieved examples. The retrieval step provides the LLM with evidence rather than relying on its parametric memory, which substantially reduces the risk of hallucinated justifications.</w:t>
      </w:r>
    </w:p>
    <w:p>
      <w:pPr>
        <w:pStyle w:val="Heading2"/>
        <w:spacing w:after="140" w:before="280"/>
      </w:pPr>
      <w:r>
        <w:rPr>
          <w:rFonts w:ascii="Arial" w:cs="Arial" w:eastAsia="Arial" w:hAnsi="Arial"/>
          <w:b/>
          <w:bCs/>
          <w:color w:val="1F2937"/>
          <w:sz w:val="26"/>
          <w:szCs w:val="26"/>
        </w:rPr>
        <w:t xml:space="preserve">3.10  Tool-Calling Agent — Native Groq Function Calling</w:t>
      </w:r>
    </w:p>
    <w:p>
      <w:pPr>
        <w:spacing w:after="120" w:before="80" w:line="320"/>
        <w:jc w:val="both"/>
      </w:pPr>
      <w:r>
        <w:rPr>
          <w:rFonts w:ascii="Arial" w:cs="Arial" w:eastAsia="Arial" w:hAnsi="Arial"/>
          <w:b w:val="false"/>
          <w:bCs w:val="false"/>
          <w:i w:val="false"/>
          <w:iCs w:val="false"/>
          <w:sz w:val="22"/>
          <w:szCs w:val="22"/>
        </w:rPr>
        <w:t xml:space="preserve">The final intelligence layer is an Agent that can autonomously decide which capability to invoke based on the user's natural-language query. We define three Python functions exposed as tools:</w:t>
      </w:r>
    </w:p>
    <w:p>
      <w:pPr>
        <w:pStyle w:val="ListParagraph"/>
        <w:numPr>
          <w:ilvl w:val="0"/>
          <w:numId w:val="2"/>
        </w:numPr>
        <w:spacing w:after="40" w:before="40" w:line="300"/>
      </w:pPr>
      <w:r>
        <w:rPr>
          <w:rFonts w:ascii="Consolas" w:cs="Consolas" w:eastAsia="Consolas" w:hAnsi="Consolas"/>
          <w:b w:val="false"/>
          <w:bCs w:val="false"/>
          <w:i w:val="false"/>
          <w:iCs w:val="false"/>
          <w:color w:val="B91C1C"/>
          <w:sz w:val="22"/>
          <w:szCs w:val="22"/>
        </w:rPr>
        <w:t xml:space="preserve">classify_review</w:t>
      </w:r>
      <w:r>
        <w:rPr>
          <w:rFonts w:ascii="Arial" w:cs="Arial" w:eastAsia="Arial" w:hAnsi="Arial"/>
          <w:b w:val="false"/>
          <w:bCs w:val="false"/>
          <w:i w:val="false"/>
          <w:iCs w:val="false"/>
          <w:sz w:val="22"/>
          <w:szCs w:val="22"/>
        </w:rPr>
        <w:t xml:space="preserve"> — runs RoBERTa and returns a label with confidence.</w:t>
      </w:r>
    </w:p>
    <w:p>
      <w:pPr>
        <w:pStyle w:val="ListParagraph"/>
        <w:numPr>
          <w:ilvl w:val="0"/>
          <w:numId w:val="2"/>
        </w:numPr>
        <w:spacing w:after="40" w:before="40" w:line="300"/>
      </w:pPr>
      <w:r>
        <w:rPr>
          <w:rFonts w:ascii="Consolas" w:cs="Consolas" w:eastAsia="Consolas" w:hAnsi="Consolas"/>
          <w:b w:val="false"/>
          <w:bCs w:val="false"/>
          <w:i w:val="false"/>
          <w:iCs w:val="false"/>
          <w:color w:val="B91C1C"/>
          <w:sz w:val="22"/>
          <w:szCs w:val="22"/>
        </w:rPr>
        <w:t xml:space="preserve">find_similar</w:t>
      </w:r>
      <w:r>
        <w:rPr>
          <w:rFonts w:ascii="Arial" w:cs="Arial" w:eastAsia="Arial" w:hAnsi="Arial"/>
          <w:b w:val="false"/>
          <w:bCs w:val="false"/>
          <w:i w:val="false"/>
          <w:iCs w:val="false"/>
          <w:sz w:val="22"/>
          <w:szCs w:val="22"/>
        </w:rPr>
        <w:t xml:space="preserve"> — retrieves the top-3 most similar reviews from FAISS.</w:t>
      </w:r>
    </w:p>
    <w:p>
      <w:pPr>
        <w:pStyle w:val="ListParagraph"/>
        <w:numPr>
          <w:ilvl w:val="0"/>
          <w:numId w:val="2"/>
        </w:numPr>
        <w:spacing w:after="40" w:before="40" w:line="300"/>
      </w:pPr>
      <w:r>
        <w:rPr>
          <w:rFonts w:ascii="Consolas" w:cs="Consolas" w:eastAsia="Consolas" w:hAnsi="Consolas"/>
          <w:b w:val="false"/>
          <w:bCs w:val="false"/>
          <w:i w:val="false"/>
          <w:iCs w:val="false"/>
          <w:color w:val="B91C1C"/>
          <w:sz w:val="22"/>
          <w:szCs w:val="22"/>
        </w:rPr>
        <w:t xml:space="preserve">explain_sentiment</w:t>
      </w:r>
      <w:r>
        <w:rPr>
          <w:rFonts w:ascii="Arial" w:cs="Arial" w:eastAsia="Arial" w:hAnsi="Arial"/>
          <w:b w:val="false"/>
          <w:bCs w:val="false"/>
          <w:i w:val="false"/>
          <w:iCs w:val="false"/>
          <w:sz w:val="22"/>
          <w:szCs w:val="22"/>
        </w:rPr>
        <w:t xml:space="preserve"> — runs the full RoBERTa + RAG + LLM pipeline and returns a grounded explanation.</w:t>
      </w:r>
    </w:p>
    <w:p>
      <w:pPr>
        <w:spacing w:after="120" w:before="80" w:line="320"/>
        <w:jc w:val="both"/>
      </w:pPr>
      <w:r>
        <w:rPr>
          <w:rFonts w:ascii="Arial" w:cs="Arial" w:eastAsia="Arial" w:hAnsi="Arial"/>
          <w:b w:val="false"/>
          <w:bCs w:val="false"/>
          <w:i w:val="false"/>
          <w:iCs w:val="false"/>
          <w:sz w:val="22"/>
          <w:szCs w:val="22"/>
        </w:rPr>
        <w:t xml:space="preserve">Each function is described to the model through a JSON schema following OpenAI's tool-calling specification: a name, a natural-language description (which is what the model reads when choosing which tool to call), and a parameters object describing the expected arguments. The schema is passed to Groq's chat-completions endpoint alongside the conversation, with tool_choice="auto" allowing the model to either call a tool or respond directly.</w:t>
      </w:r>
    </w:p>
    <w:p>
      <w:pPr>
        <w:spacing w:after="120" w:before="80" w:line="320"/>
        <w:jc w:val="both"/>
      </w:pPr>
      <w:r>
        <w:rPr>
          <w:rFonts w:ascii="Arial" w:cs="Arial" w:eastAsia="Arial" w:hAnsi="Arial"/>
          <w:b w:val="false"/>
          <w:bCs w:val="false"/>
          <w:i w:val="false"/>
          <w:iCs w:val="false"/>
          <w:sz w:val="22"/>
          <w:szCs w:val="22"/>
        </w:rPr>
        <w:t xml:space="preserve">The control loop, ask_agent, is approximately eighty lines of straightforward Python. It maintains the conversation as a list of messages, sends each turn to Groq with the tools schema attached, inspects the response for tool_calls, executes each requested tool via a function-name to Python-callable dictionary, appends the results as tool-role messages, and loops until the model returns a final answer with no further tool requests. There is no LangChain, no agent framework, no chain abstraction — only a while loop and a dictionary. This makes the entire control flow auditable line-by-line, and removes an entire category of dependency-management problems.</w:t>
      </w:r>
    </w:p>
    <w:p>
      <w:pPr>
        <w:pStyle w:val="Heading2"/>
        <w:spacing w:after="140" w:before="280"/>
      </w:pPr>
      <w:r>
        <w:rPr>
          <w:rFonts w:ascii="Arial" w:cs="Arial" w:eastAsia="Arial" w:hAnsi="Arial"/>
          <w:b/>
          <w:bCs/>
          <w:color w:val="1F2937"/>
          <w:sz w:val="26"/>
          <w:szCs w:val="26"/>
        </w:rPr>
        <w:t xml:space="preserve">3.11  Gradio Web Interface</w:t>
      </w:r>
    </w:p>
    <w:p>
      <w:pPr>
        <w:spacing w:after="120" w:before="80" w:line="320"/>
        <w:jc w:val="both"/>
      </w:pPr>
      <w:r>
        <w:rPr>
          <w:rFonts w:ascii="Arial" w:cs="Arial" w:eastAsia="Arial" w:hAnsi="Arial"/>
          <w:b w:val="false"/>
          <w:bCs w:val="false"/>
          <w:i w:val="false"/>
          <w:iCs w:val="false"/>
          <w:sz w:val="22"/>
          <w:szCs w:val="22"/>
        </w:rPr>
        <w:t xml:space="preserve">The final cell builds an interactive web application using Gradio. The interface presents two tabs: the first accepts a movie review and returns the RoBERTa prediction, the RAG-grounded LLM explanation, and the three most similar reviews from the FAISS index; the second exposes the tool-calling Agent as a chat interface, allowing the user to ask free-form questions that route to the appropriate tool. The application is served via Gradio's share=True mechanism, which exposes a public *.gradio.live URL from within the Colab session — no separate deployment is required, in keeping with the project brief's Colab-only constraint.</w:t>
      </w:r>
    </w:p>
    <w:p>
      <w:r>
        <w:br w:type="page"/>
      </w:r>
    </w:p>
    <w:p>
      <w:pPr>
        <w:pStyle w:val="Heading1"/>
        <w:spacing w:after="180" w:before="360"/>
      </w:pPr>
      <w:r>
        <w:rPr>
          <w:rFonts w:ascii="Arial" w:cs="Arial" w:eastAsia="Arial" w:hAnsi="Arial"/>
          <w:b/>
          <w:bCs/>
          <w:color w:val="1F2937"/>
          <w:sz w:val="32"/>
          <w:szCs w:val="32"/>
        </w:rPr>
        <w:t xml:space="preserve">4.  Conclusion</w:t>
      </w:r>
    </w:p>
    <w:p>
      <w:pPr>
        <w:spacing w:after="120" w:before="80" w:line="320"/>
        <w:jc w:val="both"/>
      </w:pPr>
      <w:r>
        <w:rPr>
          <w:rFonts w:ascii="Arial" w:cs="Arial" w:eastAsia="Arial" w:hAnsi="Arial"/>
          <w:b w:val="false"/>
          <w:bCs w:val="false"/>
          <w:i w:val="false"/>
          <w:iCs w:val="false"/>
          <w:sz w:val="22"/>
          <w:szCs w:val="22"/>
        </w:rPr>
        <w:t xml:space="preserve">Our experiments produced one finding that runs against the common intuition that deeper models are always better. On this dataset, with these preprocessing choices, classical Logistic Regression on TF-IDF bigrams reached 90.20% accuracy — above every recurrent Deep Learning model we trained. The Bidirectional LSTM, even with pre-trained GloVe initialisation, gradient clipping, spatial dropout, and a learning-rate scheduler, topped out at 88.05%. Only the Transformer crossed both baselines decisively, reaching 95.75%.</w:t>
      </w:r>
    </w:p>
    <w:p>
      <w:pPr>
        <w:pStyle w:val="Heading2"/>
        <w:spacing w:after="140" w:before="280"/>
      </w:pPr>
      <w:r>
        <w:rPr>
          <w:rFonts w:ascii="Arial" w:cs="Arial" w:eastAsia="Arial" w:hAnsi="Arial"/>
          <w:b/>
          <w:bCs/>
          <w:color w:val="1F2937"/>
          <w:sz w:val="26"/>
          <w:szCs w:val="26"/>
        </w:rPr>
        <w:t xml:space="preserve">4.1  Why classical ML beat Deep Learning here</w:t>
      </w:r>
    </w:p>
    <w:p>
      <w:pPr>
        <w:spacing w:after="120" w:before="80" w:line="320"/>
        <w:jc w:val="both"/>
      </w:pPr>
      <w:r>
        <w:rPr>
          <w:rFonts w:ascii="Arial" w:cs="Arial" w:eastAsia="Arial" w:hAnsi="Arial"/>
          <w:b w:val="false"/>
          <w:bCs w:val="false"/>
          <w:i w:val="false"/>
          <w:iCs w:val="false"/>
          <w:sz w:val="22"/>
          <w:szCs w:val="22"/>
        </w:rPr>
        <w:t xml:space="preserve">There are three converging reasons. First, sentiment classification is largely a lexical task — the words "masterpiece" and "abysmal" are themselves nearly diagnostic — and TF-IDF represents lexical content directly, with bigrams covering the most common negation patterns. Second, our 40,000-review training set is large for classical ML but modest for Deep Learning; with this much data, a linear model on rich sparse features has very low variance and is extremely difficult to overfit. Third, the recurrent family struggles structurally with 100-token sequences: SimpleRNN and GRU lose gradient signal across this distance, LSTM partially compensates with its memory cell, and only the bidirectional variant clears 80% by effectively reading the review's conclusion before forgetting can set in. None of these problems afflict the Logistic Regression baseline.</w:t>
      </w:r>
    </w:p>
    <w:p>
      <w:pPr>
        <w:pStyle w:val="Heading2"/>
        <w:spacing w:after="140" w:before="280"/>
      </w:pPr>
      <w:r>
        <w:rPr>
          <w:rFonts w:ascii="Arial" w:cs="Arial" w:eastAsia="Arial" w:hAnsi="Arial"/>
          <w:b/>
          <w:bCs/>
          <w:color w:val="1F2937"/>
          <w:sz w:val="26"/>
          <w:szCs w:val="26"/>
        </w:rPr>
        <w:t xml:space="preserve">4.2  Why Transformers cleared the ceiling</w:t>
      </w:r>
    </w:p>
    <w:p>
      <w:pPr>
        <w:spacing w:after="120" w:before="80" w:line="320"/>
        <w:jc w:val="both"/>
      </w:pPr>
      <w:r>
        <w:rPr>
          <w:rFonts w:ascii="Arial" w:cs="Arial" w:eastAsia="Arial" w:hAnsi="Arial"/>
          <w:b w:val="false"/>
          <w:bCs w:val="false"/>
          <w:i w:val="false"/>
          <w:iCs w:val="false"/>
          <w:sz w:val="22"/>
          <w:szCs w:val="22"/>
        </w:rPr>
        <w:t xml:space="preserve">Self-attention bypasses the sequential bottleneck of recurrent networks: every token can directly attend to every other token within a single layer, with no gradient-degrading chain of matrix multiplications in the way. Combined with pre-training on 160 GB of raw text, RoBERTa arrives at the fine-tuning stage already understanding English in considerable depth; our task-specific training merely teaches it which patterns map to which sentiment label. Importantly, this gain is qualitative rather than incremental — 95.75% versus 90.20% represents a roughly 58% reduction in error rate, not merely an additional 5 percentage points. This is the same pattern observed across the NLP literature since 2018, and our experiment reproduces it cleanly within the project's scope.</w:t>
      </w:r>
    </w:p>
    <w:p>
      <w:pPr>
        <w:pStyle w:val="Heading2"/>
        <w:spacing w:after="140" w:before="280"/>
      </w:pPr>
      <w:r>
        <w:rPr>
          <w:rFonts w:ascii="Arial" w:cs="Arial" w:eastAsia="Arial" w:hAnsi="Arial"/>
          <w:b/>
          <w:bCs/>
          <w:color w:val="1F2937"/>
          <w:sz w:val="26"/>
          <w:szCs w:val="26"/>
        </w:rPr>
        <w:t xml:space="preserve">4.3  Engineering lessons</w:t>
      </w:r>
    </w:p>
    <w:p>
      <w:pPr>
        <w:spacing w:after="120" w:before="80" w:line="320"/>
        <w:jc w:val="both"/>
      </w:pPr>
      <w:r>
        <w:rPr>
          <w:rFonts w:ascii="Arial" w:cs="Arial" w:eastAsia="Arial" w:hAnsi="Arial"/>
          <w:b w:val="false"/>
          <w:bCs w:val="false"/>
          <w:i w:val="false"/>
          <w:iCs w:val="false"/>
          <w:sz w:val="22"/>
          <w:szCs w:val="22"/>
        </w:rPr>
        <w:t xml:space="preserve">Beyond the model comparison, this project highlighted several engineering lessons that we consider as important as the empirical results themselves.</w:t>
      </w:r>
    </w:p>
    <w:p>
      <w:pPr>
        <w:pStyle w:val="ListParagraph"/>
        <w:numPr>
          <w:ilvl w:val="0"/>
          <w:numId w:val="2"/>
        </w:numPr>
        <w:spacing w:after="40" w:before="40" w:line="300"/>
      </w:pPr>
      <w:r>
        <w:rPr>
          <w:rFonts w:ascii="Arial" w:cs="Arial" w:eastAsia="Arial" w:hAnsi="Arial"/>
          <w:b/>
          <w:bCs/>
          <w:i w:val="false"/>
          <w:iCs w:val="false"/>
          <w:sz w:val="22"/>
          <w:szCs w:val="22"/>
        </w:rPr>
        <w:t xml:space="preserve">Preprocessing must be reasoned about end-to-end, not applied as a template. </w:t>
      </w:r>
      <w:r>
        <w:rPr>
          <w:rFonts w:ascii="Arial" w:cs="Arial" w:eastAsia="Arial" w:hAnsi="Arial"/>
          <w:b w:val="false"/>
          <w:bCs w:val="false"/>
          <w:i w:val="false"/>
          <w:iCs w:val="false"/>
          <w:sz w:val="22"/>
          <w:szCs w:val="22"/>
        </w:rPr>
        <w:t xml:space="preserve">The same cleaning that helps TF-IDF actively hurts Transformer accuracy, and the same NLTK stopword list that helps most NLP tasks destroys sentiment signal unless negation is carved out.</w:t>
      </w:r>
    </w:p>
    <w:p>
      <w:pPr>
        <w:pStyle w:val="ListParagraph"/>
        <w:numPr>
          <w:ilvl w:val="0"/>
          <w:numId w:val="2"/>
        </w:numPr>
        <w:spacing w:after="40" w:before="40" w:line="300"/>
      </w:pPr>
      <w:r>
        <w:rPr>
          <w:rFonts w:ascii="Arial" w:cs="Arial" w:eastAsia="Arial" w:hAnsi="Arial"/>
          <w:b/>
          <w:bCs/>
          <w:i w:val="false"/>
          <w:iCs w:val="false"/>
          <w:sz w:val="22"/>
          <w:szCs w:val="22"/>
        </w:rPr>
        <w:t xml:space="preserve">Hardware constraints leak into model code. </w:t>
      </w:r>
      <w:r>
        <w:rPr>
          <w:rFonts w:ascii="Arial" w:cs="Arial" w:eastAsia="Arial" w:hAnsi="Arial"/>
          <w:b w:val="false"/>
          <w:bCs w:val="false"/>
          <w:i w:val="false"/>
          <w:iCs w:val="false"/>
          <w:sz w:val="22"/>
          <w:szCs w:val="22"/>
        </w:rPr>
        <w:t xml:space="preserve">The cuDNN post-padding requirement is not visible from the Keras API surface but matters in practice; ignoring it produces cryptic GPU crashes.</w:t>
      </w:r>
    </w:p>
    <w:p>
      <w:pPr>
        <w:pStyle w:val="ListParagraph"/>
        <w:numPr>
          <w:ilvl w:val="0"/>
          <w:numId w:val="2"/>
        </w:numPr>
        <w:spacing w:after="40" w:before="40" w:line="300"/>
      </w:pPr>
      <w:r>
        <w:rPr>
          <w:rFonts w:ascii="Arial" w:cs="Arial" w:eastAsia="Arial" w:hAnsi="Arial"/>
          <w:b/>
          <w:bCs/>
          <w:i w:val="false"/>
          <w:iCs w:val="false"/>
          <w:sz w:val="22"/>
          <w:szCs w:val="22"/>
        </w:rPr>
        <w:t xml:space="preserve">Vendor abstractions cut both ways. </w:t>
      </w:r>
      <w:r>
        <w:rPr>
          <w:rFonts w:ascii="Arial" w:cs="Arial" w:eastAsia="Arial" w:hAnsi="Arial"/>
          <w:b w:val="false"/>
          <w:bCs w:val="false"/>
          <w:i w:val="false"/>
          <w:iCs w:val="false"/>
          <w:sz w:val="22"/>
          <w:szCs w:val="22"/>
        </w:rPr>
        <w:t xml:space="preserve">LangChain's function-calling abstraction added complexity and dependency conflicts that disappeared completely when we wrote the agent directly against Groq's OpenAI-compatible API. Frameworks earn their place when they reduce friction; when they add friction, removing them is the correct call.</w:t>
      </w:r>
    </w:p>
    <w:p>
      <w:pPr>
        <w:pStyle w:val="ListParagraph"/>
        <w:numPr>
          <w:ilvl w:val="0"/>
          <w:numId w:val="2"/>
        </w:numPr>
        <w:spacing w:after="40" w:before="40" w:line="300"/>
      </w:pPr>
      <w:r>
        <w:rPr>
          <w:rFonts w:ascii="Arial" w:cs="Arial" w:eastAsia="Arial" w:hAnsi="Arial"/>
          <w:b/>
          <w:bCs/>
          <w:i w:val="false"/>
          <w:iCs w:val="false"/>
          <w:sz w:val="22"/>
          <w:szCs w:val="22"/>
        </w:rPr>
        <w:t xml:space="preserve">Reproducibility is a deliverable. </w:t>
      </w:r>
      <w:r>
        <w:rPr>
          <w:rFonts w:ascii="Arial" w:cs="Arial" w:eastAsia="Arial" w:hAnsi="Arial"/>
          <w:b w:val="false"/>
          <w:bCs w:val="false"/>
          <w:i w:val="false"/>
          <w:iCs w:val="false"/>
          <w:sz w:val="22"/>
          <w:szCs w:val="22"/>
        </w:rPr>
        <w:t xml:space="preserve">Distributing the 500 MB RoBERTa weights through Google Drive and gdown means anyone can run the notebook end-to-end without retraining, which preserves the result for graders, future maintainers, and ourselves.</w:t>
      </w:r>
    </w:p>
    <w:p>
      <w:pPr>
        <w:pStyle w:val="Heading2"/>
        <w:spacing w:after="140" w:before="280"/>
      </w:pPr>
      <w:r>
        <w:rPr>
          <w:rFonts w:ascii="Arial" w:cs="Arial" w:eastAsia="Arial" w:hAnsi="Arial"/>
          <w:b/>
          <w:bCs/>
          <w:color w:val="1F2937"/>
          <w:sz w:val="26"/>
          <w:szCs w:val="26"/>
        </w:rPr>
        <w:t xml:space="preserve">4.4  Future work</w:t>
      </w:r>
    </w:p>
    <w:p>
      <w:pPr>
        <w:spacing w:after="120" w:before="80" w:line="320"/>
        <w:jc w:val="both"/>
      </w:pPr>
      <w:r>
        <w:rPr>
          <w:rFonts w:ascii="Arial" w:cs="Arial" w:eastAsia="Arial" w:hAnsi="Arial"/>
          <w:b w:val="false"/>
          <w:bCs w:val="false"/>
          <w:i w:val="false"/>
          <w:iCs w:val="false"/>
          <w:sz w:val="22"/>
          <w:szCs w:val="22"/>
        </w:rPr>
        <w:t xml:space="preserve">Three concrete directions would extend this work without changing its scope: replacing GloVe with frozen BERT embeddings as input to the Bi-LSTM, which would likely close most of its remaining gap with RoBERTa; concatenating our seven engineered stylistic features onto the TF-IDF matrix before training the classical models, which we expect would push Logistic Regression incrementally higher; and replacing FAISS's IndexFlatL2 with IndexHNSWFlat to allow the RAG index to scale to the full 50,000 reviews while keeping retrieval at sub-millisecond latency. None of these are required for the current submission, but each is well-motivated and represents a natural next step.</w:t>
      </w:r>
    </w:p>
    <w:p>
      <w:r>
        <w:t xml:space="preserve"/>
      </w:r>
    </w:p>
    <w:p>
      <w:pPr>
        <w:spacing w:after="120" w:before="80" w:line="320"/>
        <w:jc w:val="both"/>
      </w:pPr>
      <w:r>
        <w:rPr>
          <w:rFonts w:ascii="Arial" w:cs="Arial" w:eastAsia="Arial" w:hAnsi="Arial"/>
          <w:b w:val="false"/>
          <w:bCs w:val="false"/>
          <w:i w:val="false"/>
          <w:iCs w:val="false"/>
          <w:sz w:val="22"/>
          <w:szCs w:val="22"/>
        </w:rPr>
        <w:t xml:space="preserve">Taken as a whole, this project applies the prescribed NLP pipeline rigorously, benchmarks nine models across three architectural families, integrates a modern LLM-plus-RAG-plus-Agent stack, and packages the result behind a usable web interface — all while documenting the engineering trade-offs that produced the final architecture. The 95.75% test accuracy of our fine-tuned RoBERTa-base model represents the production model; the surrounding components turn that single prediction into a system that is interactive, explainable, and grounded in real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Cinematic Sentiment AI  ·  Project #02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Cinematic Sentiment AI — Project Concept Document</dc:title>
  <dc:creator>Abobakr</dc:creator>
  <dc:description>Written concept document for NLP Project #02: Movie Review Sentiment Analysis</dc:description>
  <cp:lastModifiedBy>Un-named</cp:lastModifiedBy>
  <cp:revision>1</cp:revision>
  <dcterms:created xsi:type="dcterms:W3CDTF">2026-05-13T02:19:57.066Z</dcterms:created>
  <dcterms:modified xsi:type="dcterms:W3CDTF">2026-05-13T02:19:57.066Z</dcterms:modified>
</cp:coreProperties>
</file>

<file path=docProps/custom.xml><?xml version="1.0" encoding="utf-8"?>
<Properties xmlns="http://schemas.openxmlformats.org/officeDocument/2006/custom-properties" xmlns:vt="http://schemas.openxmlformats.org/officeDocument/2006/docPropsVTypes"/>
</file>