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80"/>
      </w:pPr>
      <w:r>
        <w:rPr>
          <w:rFonts w:ascii="Arial" w:hAnsi="Arial"/>
          <w:b/>
          <w:color w:val="04363F"/>
          <w:sz w:val="64"/>
        </w:rPr>
        <w:t>Freight Rate Machine Learning Report</w:t>
      </w:r>
    </w:p>
    <w:p>
      <w:pPr>
        <w:spacing w:after="560"/>
      </w:pPr>
      <w:r>
        <w:rPr>
          <w:rFonts w:ascii="Arial" w:hAnsi="Arial"/>
          <w:b/>
          <w:color w:val="F05A67"/>
          <w:sz w:val="22"/>
        </w:rPr>
        <w:t>FUTURE-AWARE FREIGHT RATE REGRESSION</w:t>
      </w:r>
    </w:p>
    <w:p>
      <w:r>
        <w:rPr>
          <w:color w:val="65757A"/>
          <w:sz w:val="30"/>
        </w:rPr>
        <w:t>Machine Learning Engineering Assessment</w:t>
      </w:r>
    </w:p>
    <w:p>
      <w:r>
        <w:t>Prepared October 2026</w:t>
      </w:r>
    </w:p>
    <w:p>
      <w:r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448"/>
            <w:shd w:fill="064A5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FFFFFF"/>
                <w:sz w:val="18"/>
              </w:rPr>
              <w:t>Development</w:t>
            </w:r>
          </w:p>
        </w:tc>
        <w:tc>
          <w:tcPr>
            <w:tcW w:type="dxa" w:w="2448"/>
            <w:shd w:fill="064A5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FFFFFF"/>
                <w:sz w:val="18"/>
              </w:rPr>
              <w:t>Final prediction set</w:t>
            </w:r>
          </w:p>
        </w:tc>
        <w:tc>
          <w:tcPr>
            <w:tcW w:type="dxa" w:w="2448"/>
            <w:shd w:fill="064A5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FFFFFF"/>
                <w:sz w:val="18"/>
              </w:rPr>
              <w:t>Jul-Oct backtest</w:t>
            </w:r>
          </w:p>
        </w:tc>
        <w:tc>
          <w:tcPr>
            <w:tcW w:type="dxa" w:w="2448"/>
            <w:shd w:fill="064A5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FFFFFF"/>
                <w:sz w:val="18"/>
              </w:rPr>
              <w:t>Final output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7"/>
              </w:rPr>
              <w:t>48,000 labeled loads</w:t>
            </w:r>
          </w:p>
        </w:tc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7"/>
              </w:rPr>
              <w:t>12,000 future loads</w:t>
            </w:r>
          </w:p>
        </w:tc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7"/>
              </w:rPr>
              <w:t>$114.20 mean MAE</w:t>
            </w:r>
          </w:p>
        </w:tc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7"/>
              </w:rPr>
              <w:t>12,000 scorer-validated rates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Executive Summary</w:t>
      </w:r>
    </w:p>
    <w:p>
      <w:r>
        <w:t>This assessment develops a reproducible regression pipeline for predicting posted freight rates. The development data covers January through October 2025, while the unlabeled prediction set covers November and December. Because this is a strict future prediction problem, model selection used expanding-window monthly holdouts rather than random cross-validation.</w:t>
      </w:r>
    </w:p>
    <w:p>
      <w:r>
        <w:t>The selected model is a CatBoost regressor trained on rate per mile with an MAE objective and distance sample weights. At 400 boosting iterations it achieved $114.20 mean temporal MAE, 4.78% WAPE, and $42.41 mean median absolute error. It improved mean MAE by approximately 17.7% over the median-RPM business baseline.</w:t>
      </w:r>
    </w:p>
    <w:p>
      <w:pPr>
        <w:pStyle w:val="ListBullet"/>
        <w:spacing w:after="80"/>
      </w:pPr>
      <w:r>
        <w:t>Negative weights were repaired with absolute value while retaining anomaly indicators.</w:t>
      </w:r>
    </w:p>
    <w:p>
      <w:pPr>
        <w:pStyle w:val="ListBullet"/>
        <w:spacing w:after="80"/>
      </w:pPr>
      <w:r>
        <w:t>All imputation statistics were learned inside each temporal training fold.</w:t>
      </w:r>
    </w:p>
    <w:p>
      <w:pPr>
        <w:pStyle w:val="ListBullet"/>
        <w:spacing w:after="80"/>
      </w:pPr>
      <w:r>
        <w:t>quote_signal was excluded after a month-by-month stability analysis and ablation test.</w:t>
      </w:r>
    </w:p>
    <w:p>
      <w:pPr>
        <w:pStyle w:val="ListBullet"/>
        <w:spacing w:after="80"/>
      </w:pPr>
      <w:r>
        <w:t>Eight-city cold-start simulations tested geographic generalization before final fitting.</w:t>
      </w:r>
    </w:p>
    <w:p>
      <w:pPr>
        <w:pStyle w:val="ListBullet"/>
        <w:spacing w:after="80"/>
      </w:pPr>
      <w:r>
        <w:t>The final 12,000 predictions and all 31 December chart rows passed the supplied scorer.</w:t>
      </w:r>
    </w:p>
    <w:p>
      <w:pPr>
        <w:pStyle w:val="Heading1"/>
        <w:keepNext/>
      </w:pPr>
      <w:r>
        <w:t>1. Objective and Data</w:t>
      </w:r>
    </w:p>
    <w:p>
      <w:r>
        <w:t>The objective is to estimate posted_rate for every load in the supplied validation set and to produce a fixed December rate curve for a Lexington-to-Fort Wayne dry-van load. The model must generalize across future dates, market conditions, unseen cities, and previously unseen route combinations.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800"/>
            <w:shd w:fill="064A5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FFFFFF"/>
                <w:sz w:val="18"/>
              </w:rPr>
              <w:t>Dataset</w:t>
            </w:r>
          </w:p>
        </w:tc>
        <w:tc>
          <w:tcPr>
            <w:tcW w:type="dxa" w:w="1080"/>
            <w:shd w:fill="064A5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FFFFFF"/>
                <w:sz w:val="18"/>
              </w:rPr>
              <w:t>Rows</w:t>
            </w:r>
          </w:p>
        </w:tc>
        <w:tc>
          <w:tcPr>
            <w:tcW w:type="dxa" w:w="3240"/>
            <w:shd w:fill="064A5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3960"/>
            <w:shd w:fill="064A5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7"/>
              </w:rPr>
              <w:t>Development</w:t>
            </w:r>
          </w:p>
        </w:tc>
        <w:tc>
          <w:tcPr>
            <w:tcW w:type="dxa" w:w="10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7"/>
              </w:rPr>
              <w:t>48,000</w:t>
            </w:r>
          </w:p>
        </w:tc>
        <w:tc>
          <w:tcPr>
            <w:tcW w:type="dxa" w:w="32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7"/>
              </w:rPr>
              <w:t>2025-01-01 to 2025-10-31</w:t>
            </w:r>
          </w:p>
        </w:tc>
        <w:tc>
          <w:tcPr>
            <w:tcW w:type="dxa" w:w="39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7"/>
              </w:rPr>
              <w:t>Labeled training and temporal validation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5F6"/>
          </w:tcPr>
          <w:p>
            <w:r>
              <w:rPr>
                <w:sz w:val="17"/>
              </w:rPr>
              <w:t>Validation</w:t>
            </w:r>
          </w:p>
        </w:tc>
        <w:tc>
          <w:tcPr>
            <w:tcW w:type="dxa" w:w="10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5F6"/>
          </w:tcPr>
          <w:p>
            <w:r>
              <w:rPr>
                <w:sz w:val="17"/>
              </w:rPr>
              <w:t>12,000</w:t>
            </w:r>
          </w:p>
        </w:tc>
        <w:tc>
          <w:tcPr>
            <w:tcW w:type="dxa" w:w="32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5F6"/>
          </w:tcPr>
          <w:p>
            <w:r>
              <w:rPr>
                <w:sz w:val="17"/>
              </w:rPr>
              <w:t>2025-11-01 to 2025-12-31</w:t>
            </w:r>
          </w:p>
        </w:tc>
        <w:tc>
          <w:tcPr>
            <w:tcW w:type="dxa" w:w="39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5F6"/>
          </w:tcPr>
          <w:p>
            <w:r>
              <w:rPr>
                <w:sz w:val="17"/>
              </w:rPr>
              <w:t>Final unlabeled inference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7"/>
              </w:rPr>
              <w:t>December chart</w:t>
            </w:r>
          </w:p>
        </w:tc>
        <w:tc>
          <w:tcPr>
            <w:tcW w:type="dxa" w:w="10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32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7"/>
              </w:rPr>
              <w:t>2025-12-01 to 2025-12-31</w:t>
            </w:r>
          </w:p>
        </w:tc>
        <w:tc>
          <w:tcPr>
            <w:tcW w:type="dxa" w:w="39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7"/>
              </w:rPr>
              <w:t>Fixed-load daily scenario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Exploratory Analysis and Data Quality</w:t>
      </w:r>
    </w:p>
    <w:p>
      <w:r>
        <w:t>The target has a mean of $2,373.98 and a median of $2,030.76. A conservative rate-per-mile IQR rule identified 663 extreme rows (1.38%). Tested configurations predict this segment poorly. Possible contamination is one hypothesis alongside legitimate rare events and omitted predictors.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944"/>
            <w:shd w:fill="064A5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type="dxa" w:w="1584"/>
            <w:shd w:fill="064A5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FFFFFF"/>
                <w:sz w:val="18"/>
              </w:rPr>
              <w:t>Development</w:t>
            </w:r>
          </w:p>
        </w:tc>
        <w:tc>
          <w:tcPr>
            <w:tcW w:type="dxa" w:w="1584"/>
            <w:shd w:fill="064A5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FFFFFF"/>
                <w:sz w:val="18"/>
              </w:rPr>
              <w:t>Validation</w:t>
            </w:r>
          </w:p>
        </w:tc>
        <w:tc>
          <w:tcPr>
            <w:tcW w:type="dxa" w:w="4752"/>
            <w:shd w:fill="064A5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FFFFFF"/>
                <w:sz w:val="18"/>
              </w:rPr>
              <w:t>Treatment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7"/>
              </w:rPr>
              <w:t>Missing weight</w:t>
            </w:r>
          </w:p>
        </w:tc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7"/>
              </w:rPr>
              <w:t>300</w:t>
            </w:r>
          </w:p>
        </w:tc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7"/>
              </w:rPr>
              <w:t>165</w:t>
            </w:r>
          </w:p>
        </w:tc>
        <w:tc>
          <w:tcPr>
            <w:tcW w:type="dxa" w:w="47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7"/>
              </w:rPr>
              <w:t>Equipment median plus indicator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5F6"/>
          </w:tcPr>
          <w:p>
            <w:r>
              <w:rPr>
                <w:sz w:val="17"/>
              </w:rPr>
              <w:t>Negative weight</w:t>
            </w:r>
          </w:p>
        </w:tc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5F6"/>
          </w:tcPr>
          <w:p>
            <w:r>
              <w:rPr>
                <w:sz w:val="17"/>
              </w:rPr>
              <w:t>292</w:t>
            </w:r>
          </w:p>
        </w:tc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5F6"/>
          </w:tcPr>
          <w:p>
            <w:r>
              <w:rPr>
                <w:sz w:val="17"/>
              </w:rPr>
              <w:t>145</w:t>
            </w:r>
          </w:p>
        </w:tc>
        <w:tc>
          <w:tcPr>
            <w:tcW w:type="dxa" w:w="47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5F6"/>
          </w:tcPr>
          <w:p>
            <w:r>
              <w:rPr>
                <w:sz w:val="17"/>
              </w:rPr>
              <w:t>Absolute value plus indicator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7"/>
              </w:rPr>
              <w:t>Missing market index</w:t>
            </w:r>
          </w:p>
        </w:tc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7"/>
              </w:rPr>
              <w:t>374</w:t>
            </w:r>
          </w:p>
        </w:tc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7"/>
              </w:rPr>
              <w:t>249</w:t>
            </w:r>
          </w:p>
        </w:tc>
        <w:tc>
          <w:tcPr>
            <w:tcW w:type="dxa" w:w="47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7"/>
              </w:rPr>
              <w:t>Fold-local median plus indicator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5F6"/>
          </w:tcPr>
          <w:p>
            <w:r>
              <w:rPr>
                <w:sz w:val="17"/>
              </w:rPr>
              <w:t>Extreme RPM target</w:t>
            </w:r>
          </w:p>
        </w:tc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5F6"/>
          </w:tcPr>
          <w:p>
            <w:r>
              <w:rPr>
                <w:sz w:val="17"/>
              </w:rPr>
              <w:t>663</w:t>
            </w:r>
          </w:p>
        </w:tc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5F6"/>
          </w:tcPr>
          <w:p>
            <w:r>
              <w:rPr>
                <w:sz w:val="17"/>
              </w:rPr>
              <w:t>Unknown</w:t>
            </w:r>
          </w:p>
        </w:tc>
        <w:tc>
          <w:tcPr>
            <w:tcW w:type="dxa" w:w="47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5F6"/>
          </w:tcPr>
          <w:p>
            <w:r>
              <w:rPr>
                <w:sz w:val="17"/>
              </w:rPr>
              <w:t>Robust MAE objective</w:t>
            </w:r>
          </w:p>
        </w:tc>
      </w:tr>
    </w:tbl>
    <w:p>
      <w:pPr>
        <w:spacing w:after="0"/>
      </w:pPr>
    </w:p>
    <w:p>
      <w:r>
        <w:t>The validation set adds 8 cities absent from development: Allentown, Charlotte, Chicago, Jackson, Knoxville, Laredo, Norfolk, San Diego. Only 87.83% of final validation rows use a directed route observed during development, so categorical route information is paired with distance and geographic features.</w:t>
      </w:r>
    </w:p>
    <w:p>
      <w:r>
        <w:t>The market-index mean shifts from 1.083 in development to 0.927 in validation. quote_signal is also unstable: its August correlation with rate per mile is -0.014, while other months alternate between positive and negative relationships.</w:t>
      </w:r>
    </w:p>
    <w:p>
      <w:pPr>
        <w:pStyle w:val="Heading1"/>
        <w:keepNext/>
      </w:pPr>
      <w:r>
        <w:t>3. Preprocessing and Feature Engineering</w:t>
      </w:r>
    </w:p>
    <w:p>
      <w:pPr>
        <w:pStyle w:val="ListBullet"/>
        <w:spacing w:after="80"/>
      </w:pPr>
      <w:r>
        <w:t>Remove load_id from model features and keep posted_rate separate as the target.</w:t>
      </w:r>
    </w:p>
    <w:p>
      <w:pPr>
        <w:pStyle w:val="ListBullet"/>
        <w:spacing w:after="80"/>
      </w:pPr>
      <w:r>
        <w:t>Convert negative weight to absolute weight; add missing and negative-weight indicators.</w:t>
      </w:r>
    </w:p>
    <w:p>
      <w:pPr>
        <w:pStyle w:val="ListBullet"/>
        <w:spacing w:after="80"/>
      </w:pPr>
      <w:r>
        <w:t>Impute weight by equipment and market index globally within each fitted training fold.</w:t>
      </w:r>
    </w:p>
    <w:p>
      <w:pPr>
        <w:pStyle w:val="ListBullet"/>
        <w:spacing w:after="80"/>
      </w:pPr>
      <w:r>
        <w:t>Create route, log-distance, coordinate deltas, haversine distance, and bearing features.</w:t>
      </w:r>
    </w:p>
    <w:p>
      <w:pPr>
        <w:pStyle w:val="ListBullet"/>
        <w:spacing w:after="80"/>
      </w:pPr>
      <w:r>
        <w:t>Create linear and cyclical day-of-week and day-of-year calendar features.</w:t>
      </w:r>
    </w:p>
    <w:p>
      <w:pPr>
        <w:pStyle w:val="ListBullet"/>
        <w:spacing w:after="80"/>
      </w:pPr>
      <w:r>
        <w:t>Preserve pickup, delivery, equipment, and route as native CatBoost categorical features.</w:t>
      </w:r>
    </w:p>
    <w:p>
      <w:r>
        <w:t>The preprocessing component implements the sklearn fit/transform contract. This ensures that imputation values are estimated from training rows only and applied unchanged to each holdout.</w:t>
      </w:r>
    </w:p>
    <w:p>
      <w:pPr>
        <w:pStyle w:val="Heading1"/>
        <w:keepNext/>
      </w:pPr>
      <w:r>
        <w:t>4. Validation Strategy</w:t>
      </w:r>
    </w:p>
    <w:p>
      <w:r>
        <w:t>Four expanding-window folds mirror the final future-prediction setting. Random splitting was rejected because it would mix nearby market regimes and overstate the usefulness of temporally unstable features.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152"/>
            <w:shd w:fill="064A5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FFFFFF"/>
                <w:sz w:val="18"/>
              </w:rPr>
              <w:t>Fold</w:t>
            </w:r>
          </w:p>
        </w:tc>
        <w:tc>
          <w:tcPr>
            <w:tcW w:type="dxa" w:w="4032"/>
            <w:shd w:fill="064A5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FFFFFF"/>
                <w:sz w:val="18"/>
              </w:rPr>
              <w:t>Training window</w:t>
            </w:r>
          </w:p>
        </w:tc>
        <w:tc>
          <w:tcPr>
            <w:tcW w:type="dxa" w:w="4032"/>
            <w:shd w:fill="064A5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FFFFFF"/>
                <w:sz w:val="18"/>
              </w:rPr>
              <w:t>Validation month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7"/>
              </w:rPr>
              <w:t>January-June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7"/>
              </w:rPr>
              <w:t>July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5F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5F6"/>
          </w:tcPr>
          <w:p>
            <w:r>
              <w:rPr>
                <w:sz w:val="17"/>
              </w:rPr>
              <w:t>January-July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5F6"/>
          </w:tcPr>
          <w:p>
            <w:r>
              <w:rPr>
                <w:sz w:val="17"/>
              </w:rPr>
              <w:t>August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7"/>
              </w:rPr>
              <w:t>January-August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7"/>
              </w:rPr>
              <w:t>September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5F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5F6"/>
          </w:tcPr>
          <w:p>
            <w:r>
              <w:rPr>
                <w:sz w:val="17"/>
              </w:rPr>
              <w:t>January-September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5F6"/>
          </w:tcPr>
          <w:p>
            <w:r>
              <w:rPr>
                <w:sz w:val="17"/>
              </w:rPr>
              <w:t>October</w:t>
            </w:r>
          </w:p>
        </w:tc>
      </w:tr>
    </w:tbl>
    <w:p>
      <w:pPr>
        <w:spacing w:after="0"/>
      </w:pPr>
    </w:p>
    <w:p>
      <w:r>
        <w:t>MAE was the primary selection metric. RMSE, median absolute error, WAPE, RMSLE, bias, regular-target error, outlier-target error, and route coverage were retained as diagnostics.</w:t>
      </w:r>
    </w:p>
    <w:p>
      <w:pPr>
        <w:pStyle w:val="Heading1"/>
        <w:keepNext/>
      </w:pPr>
      <w:r>
        <w:t>5. Model Selection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4608"/>
            <w:shd w:fill="064A5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FFFFFF"/>
                <w:sz w:val="18"/>
              </w:rPr>
              <w:t>Candidate</w:t>
            </w:r>
          </w:p>
        </w:tc>
        <w:tc>
          <w:tcPr>
            <w:tcW w:type="dxa" w:w="1728"/>
            <w:shd w:fill="064A5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FFFFFF"/>
                <w:sz w:val="18"/>
              </w:rPr>
              <w:t>Mean MAE</w:t>
            </w:r>
          </w:p>
        </w:tc>
        <w:tc>
          <w:tcPr>
            <w:tcW w:type="dxa" w:w="1440"/>
            <w:shd w:fill="064A5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FFFFFF"/>
                <w:sz w:val="18"/>
              </w:rPr>
              <w:t>WAPE</w:t>
            </w:r>
          </w:p>
        </w:tc>
        <w:tc>
          <w:tcPr>
            <w:tcW w:type="dxa" w:w="1944"/>
            <w:shd w:fill="064A5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FFFFFF"/>
                <w:sz w:val="18"/>
              </w:rPr>
              <w:t>Mean RMSE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7"/>
              </w:rPr>
              <w:t>CatBoost RPM MAE, no quote</w:t>
            </w:r>
          </w:p>
        </w:tc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7"/>
              </w:rPr>
              <w:t>$114.36</w:t>
            </w:r>
          </w:p>
        </w:tc>
        <w:tc>
          <w:tcPr>
            <w:tcW w:type="dxa" w:w="14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7"/>
              </w:rPr>
              <w:t>4.78%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7"/>
              </w:rPr>
              <w:t>$627.48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5F6"/>
          </w:tcPr>
          <w:p>
            <w:r>
              <w:rPr>
                <w:sz w:val="17"/>
              </w:rPr>
              <w:t>CatBoost direct MAE, no quote</w:t>
            </w:r>
          </w:p>
        </w:tc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5F6"/>
          </w:tcPr>
          <w:p>
            <w:r>
              <w:rPr>
                <w:sz w:val="17"/>
              </w:rPr>
              <w:t>$115.63</w:t>
            </w:r>
          </w:p>
        </w:tc>
        <w:tc>
          <w:tcPr>
            <w:tcW w:type="dxa" w:w="14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5F6"/>
          </w:tcPr>
          <w:p>
            <w:r>
              <w:rPr>
                <w:sz w:val="17"/>
              </w:rPr>
              <w:t>4.84%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5F6"/>
          </w:tcPr>
          <w:p>
            <w:r>
              <w:rPr>
                <w:sz w:val="17"/>
              </w:rPr>
              <w:t>$627.65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7"/>
              </w:rPr>
              <w:t>CatBoost RPM MAE, with quote</w:t>
            </w:r>
          </w:p>
        </w:tc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7"/>
              </w:rPr>
              <w:t>$118.82</w:t>
            </w:r>
          </w:p>
        </w:tc>
        <w:tc>
          <w:tcPr>
            <w:tcW w:type="dxa" w:w="14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7"/>
              </w:rPr>
              <w:t>4.98%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7"/>
              </w:rPr>
              <w:t>$629.99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5F6"/>
          </w:tcPr>
          <w:p>
            <w:r>
              <w:rPr>
                <w:sz w:val="17"/>
              </w:rPr>
              <w:t>Median RPM baseline</w:t>
            </w:r>
          </w:p>
        </w:tc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5F6"/>
          </w:tcPr>
          <w:p>
            <w:r>
              <w:rPr>
                <w:sz w:val="17"/>
              </w:rPr>
              <w:t>$138.84</w:t>
            </w:r>
          </w:p>
        </w:tc>
        <w:tc>
          <w:tcPr>
            <w:tcW w:type="dxa" w:w="14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5F6"/>
          </w:tcPr>
          <w:p>
            <w:r>
              <w:rPr>
                <w:sz w:val="17"/>
              </w:rPr>
              <w:t>5.82%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5F6"/>
          </w:tcPr>
          <w:p>
            <w:r>
              <w:rPr>
                <w:sz w:val="17"/>
              </w:rPr>
              <w:t>$634.73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7"/>
              </w:rPr>
              <w:t>CatBoost direct RMSE, no quote</w:t>
            </w:r>
          </w:p>
        </w:tc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7"/>
              </w:rPr>
              <w:t>$177.60</w:t>
            </w:r>
          </w:p>
        </w:tc>
        <w:tc>
          <w:tcPr>
            <w:tcW w:type="dxa" w:w="14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7"/>
              </w:rPr>
              <w:t>7.42%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7"/>
              </w:rPr>
              <w:t>$657.94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120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20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Predicting RPM matches the economic structure of freight pricing. Distance sample weights make the RPM MAE objective equivalent to dollar MAE after rate reconstruction. The quote ablation supports excluding quote_signal for the future validation regime.</w:t>
      </w:r>
    </w:p>
    <w:p>
      <w:pPr>
        <w:pStyle w:val="Heading1"/>
        <w:keepNext/>
      </w:pPr>
      <w:r>
        <w:t>6. Robustness Checks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728"/>
            <w:shd w:fill="064A5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FFFFFF"/>
                <w:sz w:val="18"/>
              </w:rPr>
              <w:t>Iterations</w:t>
            </w:r>
          </w:p>
        </w:tc>
        <w:tc>
          <w:tcPr>
            <w:tcW w:type="dxa" w:w="2160"/>
            <w:shd w:fill="064A5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FFFFFF"/>
                <w:sz w:val="18"/>
              </w:rPr>
              <w:t>Mean MAE</w:t>
            </w:r>
          </w:p>
        </w:tc>
        <w:tc>
          <w:tcPr>
            <w:tcW w:type="dxa" w:w="2448"/>
            <w:shd w:fill="064A5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FFFFFF"/>
                <w:sz w:val="18"/>
              </w:rPr>
              <w:t>Worst-month MAE</w:t>
            </w:r>
          </w:p>
        </w:tc>
        <w:tc>
          <w:tcPr>
            <w:tcW w:type="dxa" w:w="2016"/>
            <w:shd w:fill="064A5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FFFFFF"/>
                <w:sz w:val="18"/>
              </w:rPr>
              <w:t>Runtime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7"/>
              </w:rPr>
              <w:t>400</w:t>
            </w:r>
          </w:p>
        </w:tc>
        <w:tc>
          <w:tcPr>
            <w:tcW w:type="dxa" w:w="21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7"/>
              </w:rPr>
              <w:t>$114.20</w:t>
            </w:r>
          </w:p>
        </w:tc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7"/>
              </w:rPr>
              <w:t>$148.13</w:t>
            </w:r>
          </w:p>
        </w:tc>
        <w:tc>
          <w:tcPr>
            <w:tcW w:type="dxa" w:w="20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7"/>
              </w:rPr>
              <w:t>126 s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5F6"/>
          </w:tcPr>
          <w:p>
            <w:r>
              <w:rPr>
                <w:sz w:val="17"/>
              </w:rPr>
              <w:t>600</w:t>
            </w:r>
          </w:p>
        </w:tc>
        <w:tc>
          <w:tcPr>
            <w:tcW w:type="dxa" w:w="21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5F6"/>
          </w:tcPr>
          <w:p>
            <w:r>
              <w:rPr>
                <w:sz w:val="17"/>
              </w:rPr>
              <w:t>$114.36</w:t>
            </w:r>
          </w:p>
        </w:tc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5F6"/>
          </w:tcPr>
          <w:p>
            <w:r>
              <w:rPr>
                <w:sz w:val="17"/>
              </w:rPr>
              <w:t>$150.70</w:t>
            </w:r>
          </w:p>
        </w:tc>
        <w:tc>
          <w:tcPr>
            <w:tcW w:type="dxa" w:w="20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5F6"/>
          </w:tcPr>
          <w:p>
            <w:r>
              <w:rPr>
                <w:sz w:val="17"/>
              </w:rPr>
              <w:t>189 s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7"/>
              </w:rPr>
              <w:t>800</w:t>
            </w:r>
          </w:p>
        </w:tc>
        <w:tc>
          <w:tcPr>
            <w:tcW w:type="dxa" w:w="21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7"/>
              </w:rPr>
              <w:t>$114.48</w:t>
            </w:r>
          </w:p>
        </w:tc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7"/>
              </w:rPr>
              <w:t>$151.57</w:t>
            </w:r>
          </w:p>
        </w:tc>
        <w:tc>
          <w:tcPr>
            <w:tcW w:type="dxa" w:w="20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7"/>
              </w:rPr>
              <w:t>254 s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4176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bustness_summa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17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400-iteration configuration had the best mean and worst-month MAE. In three October stress tests, each removing eight cities entirely from prior training, keeping route produced $146.70 mean MAE versus $149.35 without route. Route was therefore retained.</w:t>
      </w:r>
    </w:p>
    <w:p>
      <w:pPr>
        <w:pStyle w:val="Heading1"/>
        <w:keepNext/>
      </w:pPr>
      <w:r>
        <w:t>7. Final Model and Performance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shd w:fill="064A5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5760"/>
            <w:shd w:fill="064A5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FFFFFF"/>
                <w:sz w:val="18"/>
              </w:rPr>
              <w:t>Final choice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7"/>
              </w:rPr>
              <w:t>Estimator</w:t>
            </w:r>
          </w:p>
        </w:tc>
        <w:tc>
          <w:tcPr>
            <w:tcW w:type="dxa" w:w="57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7"/>
              </w:rPr>
              <w:t>CatBoostRegressor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5F6"/>
          </w:tcPr>
          <w:p>
            <w:r>
              <w:rPr>
                <w:sz w:val="17"/>
              </w:rPr>
              <w:t>Target</w:t>
            </w:r>
          </w:p>
        </w:tc>
        <w:tc>
          <w:tcPr>
            <w:tcW w:type="dxa" w:w="57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5F6"/>
          </w:tcPr>
          <w:p>
            <w:r>
              <w:rPr>
                <w:sz w:val="17"/>
              </w:rPr>
              <w:t>posted_rate / distance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7"/>
              </w:rPr>
              <w:t>Objective</w:t>
            </w:r>
          </w:p>
        </w:tc>
        <w:tc>
          <w:tcPr>
            <w:tcW w:type="dxa" w:w="57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7"/>
              </w:rPr>
              <w:t>MAE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5F6"/>
          </w:tcPr>
          <w:p>
            <w:r>
              <w:rPr>
                <w:sz w:val="17"/>
              </w:rPr>
              <w:t>Sample weighting</w:t>
            </w:r>
          </w:p>
        </w:tc>
        <w:tc>
          <w:tcPr>
            <w:tcW w:type="dxa" w:w="57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5F6"/>
          </w:tcPr>
          <w:p>
            <w:r>
              <w:rPr>
                <w:sz w:val="17"/>
              </w:rPr>
              <w:t>distance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7"/>
              </w:rPr>
              <w:t>Iterations / depth</w:t>
            </w:r>
          </w:p>
        </w:tc>
        <w:tc>
          <w:tcPr>
            <w:tcW w:type="dxa" w:w="57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7"/>
              </w:rPr>
              <w:t>400 / 7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5F6"/>
          </w:tcPr>
          <w:p>
            <w:r>
              <w:rPr>
                <w:sz w:val="17"/>
              </w:rPr>
              <w:t>Learning rate / L2</w:t>
            </w:r>
          </w:p>
        </w:tc>
        <w:tc>
          <w:tcPr>
            <w:tcW w:type="dxa" w:w="57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5F6"/>
          </w:tcPr>
          <w:p>
            <w:r>
              <w:rPr>
                <w:sz w:val="17"/>
              </w:rPr>
              <w:t>0.05 / 5.0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7"/>
              </w:rPr>
              <w:t>quote_signal</w:t>
            </w:r>
          </w:p>
        </w:tc>
        <w:tc>
          <w:tcPr>
            <w:tcW w:type="dxa" w:w="57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7"/>
              </w:rPr>
              <w:t>Excluded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5F6"/>
          </w:tcPr>
          <w:p>
            <w:r>
              <w:rPr>
                <w:sz w:val="17"/>
              </w:rPr>
              <w:t>Route</w:t>
            </w:r>
          </w:p>
        </w:tc>
        <w:tc>
          <w:tcPr>
            <w:tcW w:type="dxa" w:w="57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5F6"/>
          </w:tcPr>
          <w:p>
            <w:r>
              <w:rPr>
                <w:sz w:val="17"/>
              </w:rPr>
              <w:t>Included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800"/>
            <w:shd w:fill="064A5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FFFFFF"/>
                <w:sz w:val="18"/>
              </w:rPr>
              <w:t>Mean MAE</w:t>
            </w:r>
          </w:p>
        </w:tc>
        <w:tc>
          <w:tcPr>
            <w:tcW w:type="dxa" w:w="1800"/>
            <w:shd w:fill="064A5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FFFFFF"/>
                <w:sz w:val="18"/>
              </w:rPr>
              <w:t>Worst month</w:t>
            </w:r>
          </w:p>
        </w:tc>
        <w:tc>
          <w:tcPr>
            <w:tcW w:type="dxa" w:w="1800"/>
            <w:shd w:fill="064A5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FFFFFF"/>
                <w:sz w:val="18"/>
              </w:rPr>
              <w:t>Median AE</w:t>
            </w:r>
          </w:p>
        </w:tc>
        <w:tc>
          <w:tcPr>
            <w:tcW w:type="dxa" w:w="1440"/>
            <w:shd w:fill="064A5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FFFFFF"/>
                <w:sz w:val="18"/>
              </w:rPr>
              <w:t>WAPE</w:t>
            </w:r>
          </w:p>
        </w:tc>
        <w:tc>
          <w:tcPr>
            <w:tcW w:type="dxa" w:w="1800"/>
            <w:shd w:fill="064A5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FFFFFF"/>
                <w:sz w:val="18"/>
              </w:rPr>
              <w:t>Bias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7"/>
              </w:rPr>
              <w:t>$114.20</w:t>
            </w:r>
          </w:p>
        </w:tc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7"/>
              </w:rPr>
              <w:t>$148.13</w:t>
            </w:r>
          </w:p>
        </w:tc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7"/>
              </w:rPr>
              <w:t>$42.41</w:t>
            </w:r>
          </w:p>
        </w:tc>
        <w:tc>
          <w:tcPr>
            <w:tcW w:type="dxa" w:w="14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7"/>
              </w:rPr>
              <w:t>4.78%</w:t>
            </w:r>
          </w:p>
        </w:tc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7"/>
              </w:rPr>
              <w:t>-$21.33</w:t>
            </w:r>
          </w:p>
        </w:tc>
      </w:tr>
    </w:tbl>
    <w:p>
      <w:pPr>
        <w:spacing w:after="0"/>
      </w:pPr>
    </w:p>
    <w:p>
      <w:r>
        <w:t>On regular backtest targets, mean MAE was $61.02. For rows extreme under the conservative RPM rule it was $3,880.05, which explains the much larger $627.62 RMSE. Tested configurations predict this segment poorly; possible contamination is one hypothesis alongside legitimate rare events and omitted predictors.</w:t>
      </w:r>
    </w:p>
    <w:p>
      <w:pPr>
        <w:pStyle w:val="Heading1"/>
        <w:keepNext/>
      </w:pPr>
      <w:r>
        <w:t>8. Final Inference and December Scenario</w:t>
      </w:r>
    </w:p>
    <w:p>
      <w:r>
        <w:t>The final model was refit on all 48,000 labeled rows and generated 12,000 predictions. Rates range from $185.03 to $6,833.10; all are finite, positive, uniquely aligned to load_id, and accepted by the supplied scorer.</w:t>
      </w:r>
    </w:p>
    <w:p>
      <w:r>
        <w:t>The chart input fixes Lexington to Fort Wayne, 360 miles, Dry Van, and 32,000 lb. Coordinates are recovered from the labeled city mapping. Because market_index is absent from the chart input, each date uses the daily mean from the supplied unlabeled validation covariates. quote_signal remains unused.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0847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_decemb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84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Figure: scorer-generated December prediction curve. Range $828.64-$846.87; mean $837.86.</w:t>
      </w:r>
    </w:p>
    <w:p>
      <w:pPr>
        <w:pStyle w:val="Heading1"/>
        <w:keepNext/>
      </w:pPr>
      <w:r>
        <w:t>9. Limitations and Production Considerations</w:t>
      </w:r>
    </w:p>
    <w:p>
      <w:pPr>
        <w:pStyle w:val="ListBullet"/>
        <w:spacing w:after="80"/>
      </w:pPr>
      <w:r>
        <w:t>The assessment does not specify the hidden scoring metric or acceptance threshold.</w:t>
      </w:r>
    </w:p>
    <w:p>
      <w:pPr>
        <w:pStyle w:val="ListBullet"/>
        <w:spacing w:after="80"/>
      </w:pPr>
      <w:r>
        <w:t>Approximately 1.4% of development targets are extreme under the conservative RPM rule; tested configurations predict this segment poorly. Possible contamination is one hypothesis alongside legitimate rare events and omitted predictors.</w:t>
      </w:r>
    </w:p>
    <w:p>
      <w:pPr>
        <w:pStyle w:val="ListBullet"/>
        <w:spacing w:after="80"/>
      </w:pPr>
      <w:r>
        <w:t>Historical backtest error is concentrated in RPM-extreme rows; final-period novelty risk is unmeasured because its labels are hidden.</w:t>
      </w:r>
    </w:p>
    <w:p>
      <w:pPr>
        <w:pStyle w:val="ListBullet"/>
        <w:spacing w:after="80"/>
      </w:pPr>
      <w:r>
        <w:t>December market enrichment uses unlabeled validation covariates and should be replaced by an explicit market feed in production.</w:t>
      </w:r>
    </w:p>
    <w:p>
      <w:pPr>
        <w:pStyle w:val="ListBullet"/>
        <w:spacing w:after="80"/>
      </w:pPr>
      <w:r>
        <w:t>A deployed system should monitor monthly error, route coverage, feature drift, prediction ranges, and calibration by equipment and distance band.</w:t>
      </w:r>
    </w:p>
    <w:p>
      <w:pPr>
        <w:pStyle w:val="Heading1"/>
        <w:keepNext/>
      </w:pPr>
      <w:r>
        <w:t>10. Reproducibility</w:t>
      </w:r>
    </w:p>
    <w:p>
      <w:r>
        <w:t>The complete pipeline can be reproduced from the repository root:</w:t>
      </w:r>
    </w:p>
    <w:p>
      <w:pPr>
        <w:spacing w:after="60"/>
        <w:ind w:left="288"/>
      </w:pPr>
      <w:r>
        <w:rPr>
          <w:rFonts w:ascii="Consolas" w:hAnsi="Consolas"/>
          <w:sz w:val="17"/>
        </w:rPr>
        <w:t>.\.venv\Scripts\python.exe -m unittest discover -s tests -v</w:t>
      </w:r>
    </w:p>
    <w:p>
      <w:pPr>
        <w:spacing w:after="60"/>
        <w:ind w:left="288"/>
      </w:pPr>
      <w:r>
        <w:rPr>
          <w:rFonts w:ascii="Consolas" w:hAnsi="Consolas"/>
          <w:sz w:val="17"/>
        </w:rPr>
        <w:t>.\.venv\Scripts\python.exe -m src.train --iterations 600</w:t>
      </w:r>
    </w:p>
    <w:p>
      <w:pPr>
        <w:spacing w:after="60"/>
        <w:ind w:left="288"/>
      </w:pPr>
      <w:r>
        <w:rPr>
          <w:rFonts w:ascii="Consolas" w:hAnsi="Consolas"/>
          <w:sz w:val="17"/>
        </w:rPr>
        <w:t>.\.venv\Scripts\python.exe -m src.robustness</w:t>
      </w:r>
    </w:p>
    <w:p>
      <w:pPr>
        <w:spacing w:after="60"/>
        <w:ind w:left="288"/>
      </w:pPr>
      <w:r>
        <w:rPr>
          <w:rFonts w:ascii="Consolas" w:hAnsi="Consolas"/>
          <w:sz w:val="17"/>
        </w:rPr>
        <w:t>.\.venv\Scripts\python.exe -m src.predict --iterations 400</w:t>
      </w:r>
    </w:p>
    <w:p>
      <w:pPr>
        <w:spacing w:after="60"/>
        <w:ind w:left="288"/>
      </w:pPr>
      <w:r>
        <w:rPr>
          <w:rFonts w:ascii="Consolas" w:hAnsi="Consolas"/>
          <w:sz w:val="17"/>
        </w:rPr>
        <w:t>.\.venv\Scripts\python.exe score.py --predictions validation_predictions.csv --december-predictions december_predictions.csv</w:t>
      </w:r>
    </w:p>
    <w:p>
      <w:r>
        <w:t>Final environment: Python 3.12.3, pandas 2.3.3, NumPy 2.5.3, scikit-learn 1.9.1, and CatBoost 1.2.10. Ten automated tests and the supplied scorer passed.</w:t>
      </w:r>
    </w:p>
    <w:p>
      <w:pPr>
        <w:pStyle w:val="Heading1"/>
        <w:keepNext/>
      </w:pPr>
      <w:r>
        <w:t>Conclusion</w:t>
      </w:r>
    </w:p>
    <w:p>
      <w:r>
        <w:t>The final pipeline combines future-aware validation, robust loss, domain feature engineering, explicit instability tests, and scorer-validated outputs. Performance is strong for ordinary freight loads. Historical backtest error is concentrated in RPM-extreme rows, while final-period novelty risk remains unmeasured.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65757A"/>
        <w:sz w:val="16"/>
      </w:rPr>
      <w:t>Machine Learning Engineering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64A5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4363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4363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