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0000ff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40"/>
          <w:szCs w:val="40"/>
          <w:rtl w:val="0"/>
        </w:rPr>
        <w:t xml:space="preserve">ApiGestionRegions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Outils utilisés pour réaliser le travail: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Pour faire les diagrammes: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9050" distT="19050" distL="19050" distR="19050">
            <wp:extent cx="4224338" cy="23447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344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 IDE pour le développement de l’API: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216790" cy="11074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6790" cy="1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Pour tester les différentes requêtes HTTP avec notre API: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4900613" cy="14971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49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Pour documenter notre API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4567238" cy="12759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275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L’acteur qui interagit avec notre système est: 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L’administrateur de l’agence de tourisme,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qui peut respectivement: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Ajouter une région et/ou un pays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Modifier une région et/ou un pays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Supprimer une région et/ou un pays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la liste des régions avec ou sans pays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la liste des pays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Diagramme de cas d’utilisation: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731200" cy="3759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  <w:rtl w:val="0"/>
        </w:rPr>
        <w:t xml:space="preserve">Diagramme de classe:</w:t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731200" cy="383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b w:val="1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30"/>
          <w:szCs w:val="30"/>
          <w:rtl w:val="0"/>
        </w:rPr>
        <w:t xml:space="preserve">Rédigé par: 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Mariam D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KAYANTAO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Youssouf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DJIRE 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