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87F8" w14:textId="77777777" w:rsidR="00301CCC" w:rsidRPr="00C65E4B" w:rsidRDefault="00301CCC" w:rsidP="00301CCC">
      <w:pPr>
        <w:pStyle w:val="Heading3"/>
        <w:spacing w:before="281" w:after="281"/>
      </w:pPr>
      <w:r w:rsidRPr="2CA39945">
        <w:rPr>
          <w:b/>
          <w:bCs/>
        </w:rPr>
        <w:t xml:space="preserve">DIMENSION TABLES </w:t>
      </w:r>
    </w:p>
    <w:p w14:paraId="48EEF409" w14:textId="77777777" w:rsidR="00301CCC" w:rsidRPr="00C65E4B" w:rsidRDefault="00301CCC" w:rsidP="00301CCC">
      <w:pPr>
        <w:pStyle w:val="Small"/>
        <w:spacing w:before="281" w:after="281"/>
        <w:rPr>
          <w:b/>
          <w:bCs/>
          <w:sz w:val="28"/>
          <w:szCs w:val="28"/>
        </w:rPr>
      </w:pPr>
      <w:r w:rsidRPr="2CA39945">
        <w:t>EACH DIMENSION TABLE PROVIDES additional business context to analyze inventory trends.</w:t>
      </w:r>
    </w:p>
    <w:p w14:paraId="1214C6ED" w14:textId="77777777" w:rsidR="00301CCC" w:rsidRPr="00C65E4B" w:rsidRDefault="00301CCC" w:rsidP="00301CCC">
      <w:pPr>
        <w:numPr>
          <w:ilvl w:val="0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DimensionDate</w:t>
      </w:r>
      <w:proofErr w:type="spellEnd"/>
      <w:r w:rsidRPr="2CA39945">
        <w:rPr>
          <w:szCs w:val="24"/>
        </w:rPr>
        <w:t>: Provides time-based context for analyzing inventory trends, tracking stock movements over different time periods.</w:t>
      </w:r>
    </w:p>
    <w:p w14:paraId="42203AC7" w14:textId="5F539619" w:rsidR="00301CCC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>
        <w:rPr>
          <w:b/>
          <w:bCs/>
          <w:szCs w:val="24"/>
        </w:rPr>
        <w:t>DateKey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 xml:space="preserve">– </w:t>
      </w:r>
      <w:proofErr w:type="gramStart"/>
      <w:r>
        <w:rPr>
          <w:szCs w:val="24"/>
        </w:rPr>
        <w:t>the  key</w:t>
      </w:r>
      <w:proofErr w:type="gramEnd"/>
      <w:r>
        <w:rPr>
          <w:szCs w:val="24"/>
        </w:rPr>
        <w:t xml:space="preserve"> for the dimension table</w:t>
      </w:r>
    </w:p>
    <w:p w14:paraId="32BB060C" w14:textId="4BE61740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Date</w:t>
      </w:r>
      <w:r>
        <w:rPr>
          <w:b/>
          <w:bCs/>
          <w:szCs w:val="24"/>
        </w:rPr>
        <w:t>Value</w:t>
      </w:r>
      <w:proofErr w:type="spellEnd"/>
      <w:r w:rsidRPr="2CA39945">
        <w:rPr>
          <w:szCs w:val="24"/>
        </w:rPr>
        <w:t xml:space="preserve"> – The specific date entry.</w:t>
      </w:r>
    </w:p>
    <w:p w14:paraId="697BC579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DayNumber</w:t>
      </w:r>
      <w:proofErr w:type="spellEnd"/>
      <w:r w:rsidRPr="2CA39945">
        <w:rPr>
          <w:szCs w:val="24"/>
        </w:rPr>
        <w:t xml:space="preserve"> – Numeric representation of the day in the month.</w:t>
      </w:r>
    </w:p>
    <w:p w14:paraId="78CD8F4F" w14:textId="2048AF0F" w:rsidR="00301CCC" w:rsidRPr="00301CCC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CalendarMonthNumber</w:t>
      </w:r>
      <w:proofErr w:type="spellEnd"/>
      <w:r w:rsidRPr="2CA39945">
        <w:rPr>
          <w:szCs w:val="24"/>
        </w:rPr>
        <w:t xml:space="preserve"> – Month number in the calendar year (1-12).</w:t>
      </w:r>
    </w:p>
    <w:p w14:paraId="38AEDFDE" w14:textId="498969F1" w:rsidR="00301CCC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CalendarYear</w:t>
      </w:r>
      <w:proofErr w:type="spellEnd"/>
      <w:r w:rsidRPr="2CA39945">
        <w:rPr>
          <w:szCs w:val="24"/>
        </w:rPr>
        <w:t xml:space="preserve"> – The full calendar year.</w:t>
      </w:r>
    </w:p>
    <w:p w14:paraId="162AA420" w14:textId="77777777" w:rsidR="00301CCC" w:rsidRPr="00301CCC" w:rsidRDefault="00301CCC" w:rsidP="00301CCC">
      <w:pPr>
        <w:spacing w:before="0" w:after="0"/>
        <w:ind w:left="1440"/>
        <w:rPr>
          <w:szCs w:val="24"/>
        </w:rPr>
      </w:pPr>
    </w:p>
    <w:p w14:paraId="11AB3789" w14:textId="77777777" w:rsidR="00301CCC" w:rsidRPr="00C65E4B" w:rsidRDefault="00301CCC" w:rsidP="00301CCC">
      <w:pPr>
        <w:numPr>
          <w:ilvl w:val="0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DimensionSupplier</w:t>
      </w:r>
      <w:proofErr w:type="spellEnd"/>
      <w:r w:rsidRPr="2CA39945">
        <w:rPr>
          <w:szCs w:val="24"/>
        </w:rPr>
        <w:t>: Helps analyze supplier reliability, delivery performance, and sourcing trends.</w:t>
      </w:r>
    </w:p>
    <w:p w14:paraId="707E4621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SupplierKey</w:t>
      </w:r>
      <w:proofErr w:type="spellEnd"/>
      <w:r w:rsidRPr="2CA39945">
        <w:rPr>
          <w:szCs w:val="24"/>
        </w:rPr>
        <w:t xml:space="preserve"> – Unique identifier for the supplier.</w:t>
      </w:r>
    </w:p>
    <w:p w14:paraId="37554524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r w:rsidRPr="2CA39945">
        <w:rPr>
          <w:b/>
          <w:bCs/>
          <w:szCs w:val="24"/>
        </w:rPr>
        <w:t>WWISupplierID</w:t>
      </w:r>
      <w:r w:rsidRPr="2CA39945">
        <w:rPr>
          <w:szCs w:val="24"/>
        </w:rPr>
        <w:t xml:space="preserve"> – Internal supplier ID.</w:t>
      </w:r>
    </w:p>
    <w:p w14:paraId="5D4A584F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r w:rsidRPr="2CA39945">
        <w:rPr>
          <w:b/>
          <w:bCs/>
          <w:szCs w:val="24"/>
        </w:rPr>
        <w:t>Supplier</w:t>
      </w:r>
      <w:r w:rsidRPr="2CA39945">
        <w:rPr>
          <w:szCs w:val="24"/>
        </w:rPr>
        <w:t xml:space="preserve"> – Name of the supplier company.</w:t>
      </w:r>
    </w:p>
    <w:p w14:paraId="082AAD90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r w:rsidRPr="2CA39945">
        <w:rPr>
          <w:b/>
          <w:bCs/>
          <w:szCs w:val="24"/>
        </w:rPr>
        <w:t>Category</w:t>
      </w:r>
      <w:r w:rsidRPr="2CA39945">
        <w:rPr>
          <w:szCs w:val="24"/>
        </w:rPr>
        <w:t xml:space="preserve"> – Type of supplier (e.g., Local, International).</w:t>
      </w:r>
    </w:p>
    <w:p w14:paraId="68511F23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PrimaryContact</w:t>
      </w:r>
      <w:proofErr w:type="spellEnd"/>
      <w:r w:rsidRPr="2CA39945">
        <w:rPr>
          <w:szCs w:val="24"/>
        </w:rPr>
        <w:t xml:space="preserve"> – Name of the supplier's main representative.</w:t>
      </w:r>
    </w:p>
    <w:p w14:paraId="0B2479E7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SupplierReference</w:t>
      </w:r>
      <w:proofErr w:type="spellEnd"/>
      <w:r w:rsidRPr="2CA39945">
        <w:rPr>
          <w:szCs w:val="24"/>
        </w:rPr>
        <w:t xml:space="preserve"> – Reference code for supplier identification.</w:t>
      </w:r>
    </w:p>
    <w:p w14:paraId="116553E2" w14:textId="77777777" w:rsidR="00301CCC" w:rsidRPr="00C65E4B" w:rsidRDefault="00301CCC" w:rsidP="00301CCC">
      <w:pPr>
        <w:numPr>
          <w:ilvl w:val="1"/>
          <w:numId w:val="1"/>
        </w:numPr>
        <w:spacing w:before="0" w:after="0"/>
      </w:pPr>
      <w:proofErr w:type="spellStart"/>
      <w:r w:rsidRPr="30FC9745">
        <w:rPr>
          <w:b/>
          <w:bCs/>
        </w:rPr>
        <w:t>PaymentDays</w:t>
      </w:r>
      <w:proofErr w:type="spellEnd"/>
      <w:r>
        <w:t xml:space="preserve"> – Number of days allowed for invoice payment.</w:t>
      </w:r>
    </w:p>
    <w:p w14:paraId="774FCB15" w14:textId="77777777" w:rsidR="00301CCC" w:rsidRDefault="00301CCC" w:rsidP="00301CCC">
      <w:pPr>
        <w:numPr>
          <w:ilvl w:val="1"/>
          <w:numId w:val="1"/>
        </w:numPr>
        <w:spacing w:before="0" w:after="0"/>
      </w:pPr>
      <w:proofErr w:type="spellStart"/>
      <w:r>
        <w:t>DeliveryMethodID</w:t>
      </w:r>
      <w:proofErr w:type="spellEnd"/>
    </w:p>
    <w:p w14:paraId="3DA0264F" w14:textId="77777777" w:rsidR="00301CCC" w:rsidRDefault="00301CCC" w:rsidP="00301CCC">
      <w:pPr>
        <w:spacing w:before="0" w:after="0"/>
        <w:ind w:left="1440"/>
      </w:pPr>
    </w:p>
    <w:p w14:paraId="4B2ED77E" w14:textId="77777777" w:rsidR="00301CCC" w:rsidRPr="00C65E4B" w:rsidRDefault="00301CCC" w:rsidP="00301CCC">
      <w:pPr>
        <w:numPr>
          <w:ilvl w:val="0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DimensionStockItem</w:t>
      </w:r>
      <w:proofErr w:type="spellEnd"/>
      <w:r w:rsidRPr="2CA39945">
        <w:rPr>
          <w:szCs w:val="24"/>
        </w:rPr>
        <w:t>: Provides details on stock characteristics such as brand, size, and packaging.</w:t>
      </w:r>
    </w:p>
    <w:p w14:paraId="5F0DE825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StockItemKey</w:t>
      </w:r>
      <w:proofErr w:type="spellEnd"/>
      <w:r w:rsidRPr="2CA39945">
        <w:rPr>
          <w:szCs w:val="24"/>
        </w:rPr>
        <w:t xml:space="preserve"> – Unique identifier for each stock item.</w:t>
      </w:r>
    </w:p>
    <w:p w14:paraId="338FB872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StockItemID</w:t>
      </w:r>
      <w:proofErr w:type="spellEnd"/>
      <w:r w:rsidRPr="2CA39945">
        <w:rPr>
          <w:szCs w:val="24"/>
        </w:rPr>
        <w:t xml:space="preserve"> – Internal ID assigned to stock items.</w:t>
      </w:r>
    </w:p>
    <w:p w14:paraId="2BA3C18F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r w:rsidRPr="2CA39945">
        <w:rPr>
          <w:b/>
          <w:bCs/>
          <w:szCs w:val="24"/>
        </w:rPr>
        <w:t>Color</w:t>
      </w:r>
      <w:r w:rsidRPr="2CA39945">
        <w:rPr>
          <w:szCs w:val="24"/>
        </w:rPr>
        <w:t xml:space="preserve"> – Color specification of the stock item.</w:t>
      </w:r>
    </w:p>
    <w:p w14:paraId="4445641D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SellingPackage</w:t>
      </w:r>
      <w:proofErr w:type="spellEnd"/>
      <w:r w:rsidRPr="2CA39945">
        <w:rPr>
          <w:szCs w:val="24"/>
        </w:rPr>
        <w:t xml:space="preserve"> – Packaging format for sale (e.g., "Box of 10").</w:t>
      </w:r>
    </w:p>
    <w:p w14:paraId="351E8C38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BuyingPackage</w:t>
      </w:r>
      <w:proofErr w:type="spellEnd"/>
      <w:r w:rsidRPr="2CA39945">
        <w:rPr>
          <w:szCs w:val="24"/>
        </w:rPr>
        <w:t xml:space="preserve"> – Packaging format for procurement (e.g., "Carton of 50").</w:t>
      </w:r>
    </w:p>
    <w:p w14:paraId="6FF61875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r w:rsidRPr="2CA39945">
        <w:rPr>
          <w:b/>
          <w:bCs/>
          <w:szCs w:val="24"/>
        </w:rPr>
        <w:t>Brand</w:t>
      </w:r>
      <w:r w:rsidRPr="2CA39945">
        <w:rPr>
          <w:szCs w:val="24"/>
        </w:rPr>
        <w:t xml:space="preserve"> – Brand name of the stock item.</w:t>
      </w:r>
    </w:p>
    <w:p w14:paraId="4F1531B8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r w:rsidRPr="2CA39945">
        <w:rPr>
          <w:b/>
          <w:bCs/>
          <w:szCs w:val="24"/>
        </w:rPr>
        <w:t>Size</w:t>
      </w:r>
      <w:r w:rsidRPr="2CA39945">
        <w:rPr>
          <w:szCs w:val="24"/>
        </w:rPr>
        <w:t xml:space="preserve"> – Size specifications of the stock item.</w:t>
      </w:r>
    </w:p>
    <w:p w14:paraId="7B214B5D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QuantityPerOuter</w:t>
      </w:r>
      <w:proofErr w:type="spellEnd"/>
      <w:r w:rsidRPr="2CA39945">
        <w:rPr>
          <w:szCs w:val="24"/>
        </w:rPr>
        <w:t xml:space="preserve"> – Number of units per outer packaging.</w:t>
      </w:r>
    </w:p>
    <w:p w14:paraId="475521BA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r w:rsidRPr="2CA39945">
        <w:rPr>
          <w:b/>
          <w:bCs/>
          <w:szCs w:val="24"/>
        </w:rPr>
        <w:t>Barcode</w:t>
      </w:r>
      <w:r w:rsidRPr="2CA39945">
        <w:rPr>
          <w:szCs w:val="24"/>
        </w:rPr>
        <w:t xml:space="preserve"> – Universal barcode for scanning.</w:t>
      </w:r>
    </w:p>
    <w:p w14:paraId="27FBA8A0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TaxRate</w:t>
      </w:r>
      <w:proofErr w:type="spellEnd"/>
      <w:r w:rsidRPr="2CA39945">
        <w:rPr>
          <w:szCs w:val="24"/>
        </w:rPr>
        <w:t xml:space="preserve"> – Tax percentage applied to the item.</w:t>
      </w:r>
    </w:p>
    <w:p w14:paraId="7C80C39C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30FC9745">
        <w:rPr>
          <w:b/>
          <w:bCs/>
        </w:rPr>
        <w:t>UnitPrice</w:t>
      </w:r>
      <w:proofErr w:type="spellEnd"/>
      <w:r>
        <w:t xml:space="preserve"> – Price per individual unit.</w:t>
      </w:r>
    </w:p>
    <w:p w14:paraId="72DD2E6E" w14:textId="77777777" w:rsidR="00301CCC" w:rsidRPr="00C65E4B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TypicalWeight</w:t>
      </w:r>
      <w:proofErr w:type="spellEnd"/>
      <w:r w:rsidRPr="2CA39945">
        <w:rPr>
          <w:szCs w:val="24"/>
        </w:rPr>
        <w:t xml:space="preserve"> – Approximate weight of the stock item.</w:t>
      </w:r>
    </w:p>
    <w:p w14:paraId="2A4B2E6B" w14:textId="77777777" w:rsidR="00301CCC" w:rsidRDefault="00301CCC" w:rsidP="00301CCC">
      <w:pPr>
        <w:numPr>
          <w:ilvl w:val="1"/>
          <w:numId w:val="1"/>
        </w:numPr>
        <w:spacing w:before="0" w:after="0"/>
        <w:rPr>
          <w:szCs w:val="24"/>
        </w:rPr>
      </w:pPr>
      <w:proofErr w:type="spellStart"/>
      <w:r w:rsidRPr="2CA39945">
        <w:rPr>
          <w:b/>
          <w:bCs/>
          <w:szCs w:val="24"/>
        </w:rPr>
        <w:t>StockItemName</w:t>
      </w:r>
      <w:proofErr w:type="spellEnd"/>
      <w:r w:rsidRPr="2CA39945">
        <w:rPr>
          <w:szCs w:val="24"/>
        </w:rPr>
        <w:t xml:space="preserve"> – Official product name.</w:t>
      </w:r>
    </w:p>
    <w:p w14:paraId="65119C61" w14:textId="77777777" w:rsidR="00F57F63" w:rsidRDefault="00F57F63" w:rsidP="00F57F63">
      <w:pPr>
        <w:pStyle w:val="Heading3"/>
        <w:rPr>
          <w:rFonts w:ascii="Times New Roman" w:eastAsia="Times New Roman" w:hAnsi="Times New Roman" w:cs="Times New Roman"/>
          <w:color w:val="auto"/>
          <w:spacing w:val="0"/>
          <w:szCs w:val="27"/>
          <w:lang w:eastAsia="en-US"/>
        </w:rPr>
      </w:pPr>
      <w:proofErr w:type="spellStart"/>
      <w:r>
        <w:rPr>
          <w:rStyle w:val="Strong"/>
          <w:b w:val="0"/>
          <w:bCs w:val="0"/>
        </w:rPr>
        <w:lastRenderedPageBreak/>
        <w:t>DimPurchasingOrderLine</w:t>
      </w:r>
      <w:proofErr w:type="spellEnd"/>
      <w:r>
        <w:rPr>
          <w:rStyle w:val="Strong"/>
          <w:b w:val="0"/>
          <w:bCs w:val="0"/>
        </w:rPr>
        <w:t xml:space="preserve"> Table Schema</w:t>
      </w:r>
    </w:p>
    <w:p w14:paraId="6FA92FD2" w14:textId="77777777" w:rsidR="00F57F63" w:rsidRDefault="00F57F63" w:rsidP="00F57F63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DimPurchasingOrderLine</w:t>
      </w:r>
      <w:proofErr w:type="spellEnd"/>
      <w:r>
        <w:t xml:space="preserve"> table is a dimension in the data warehouse that captures detailed information about individual purchasing order lines. This table supports analysis related to suppliers, stock items, and purchasing performance over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1751"/>
        <w:gridCol w:w="4140"/>
      </w:tblGrid>
      <w:tr w:rsidR="00F57F63" w14:paraId="59C0B82B" w14:textId="77777777" w:rsidTr="00F57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C6B6C" w14:textId="77777777" w:rsidR="00F57F63" w:rsidRDefault="00F57F6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0" w:type="auto"/>
            <w:vAlign w:val="center"/>
            <w:hideMark/>
          </w:tcPr>
          <w:p w14:paraId="33D1E9DF" w14:textId="77777777" w:rsidR="00F57F63" w:rsidRDefault="00F57F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705EF79" w14:textId="77777777" w:rsidR="00F57F63" w:rsidRDefault="00F57F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57F63" w14:paraId="07B325D0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20D6" w14:textId="77777777" w:rsidR="00F57F63" w:rsidRDefault="00F57F63">
            <w:proofErr w:type="spellStart"/>
            <w:r>
              <w:rPr>
                <w:rStyle w:val="Strong"/>
              </w:rPr>
              <w:t>PurchasingOrderDimID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69C10" w14:textId="77777777" w:rsidR="00F57F63" w:rsidRDefault="00F57F63">
            <w:r>
              <w:rPr>
                <w:rStyle w:val="HTMLCode"/>
                <w:rFonts w:eastAsiaTheme="majorEastAsia"/>
              </w:rPr>
              <w:t>int</w:t>
            </w:r>
            <w:r>
              <w:t xml:space="preserve"> (PK, Identity)</w:t>
            </w:r>
          </w:p>
        </w:tc>
        <w:tc>
          <w:tcPr>
            <w:tcW w:w="0" w:type="auto"/>
            <w:vAlign w:val="center"/>
            <w:hideMark/>
          </w:tcPr>
          <w:p w14:paraId="569E0859" w14:textId="77777777" w:rsidR="00F57F63" w:rsidRDefault="00F57F63">
            <w:r>
              <w:t>A surrogate primary key uniquely identifying each purchasing order line in the dimension table. Automatically generated during the ETL process.</w:t>
            </w:r>
          </w:p>
        </w:tc>
      </w:tr>
      <w:tr w:rsidR="00F57F63" w14:paraId="6A20BBA5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E4A1E" w14:textId="77777777" w:rsidR="00F57F63" w:rsidRDefault="00F57F63">
            <w:proofErr w:type="spellStart"/>
            <w:r>
              <w:rPr>
                <w:rStyle w:val="Strong"/>
              </w:rPr>
              <w:t>WWI_PurchasingOrderID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E4B85" w14:textId="77777777" w:rsidR="00F57F63" w:rsidRDefault="00F57F63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C141970" w14:textId="77777777" w:rsidR="00F57F63" w:rsidRDefault="00F57F63">
            <w:r>
              <w:t>The original ID of the purchasing order from the source system (</w:t>
            </w:r>
            <w:proofErr w:type="gramStart"/>
            <w:r>
              <w:t>World Wide</w:t>
            </w:r>
            <w:proofErr w:type="gramEnd"/>
            <w:r>
              <w:t xml:space="preserve"> Importers operational DB). Used to maintain referential integrity with the source data.</w:t>
            </w:r>
          </w:p>
        </w:tc>
      </w:tr>
      <w:tr w:rsidR="00F57F63" w14:paraId="37CFBA35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A09B" w14:textId="77777777" w:rsidR="00F57F63" w:rsidRDefault="00F57F63">
            <w:proofErr w:type="spellStart"/>
            <w:r>
              <w:rPr>
                <w:rStyle w:val="Strong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D10DC" w14:textId="77777777" w:rsidR="00F57F63" w:rsidRDefault="00F57F63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DC8464" w14:textId="77777777" w:rsidR="00F57F63" w:rsidRDefault="00F57F63">
            <w:r>
              <w:t>Foreign key referencing the supplier associated with the order line. It allows analysis by supplier.</w:t>
            </w:r>
          </w:p>
        </w:tc>
      </w:tr>
      <w:tr w:rsidR="00F57F63" w14:paraId="2A5C7749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60D7" w14:textId="77777777" w:rsidR="00F57F63" w:rsidRDefault="00F57F63">
            <w:proofErr w:type="spellStart"/>
            <w:r>
              <w:rPr>
                <w:rStyle w:val="Strong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AECEC" w14:textId="77777777" w:rsidR="00F57F63" w:rsidRDefault="00F57F63">
            <w:r>
              <w:rPr>
                <w:rStyle w:val="HTMLCode"/>
                <w:rFonts w:eastAsiaTheme="majorEastAsi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A200B41" w14:textId="77777777" w:rsidR="00F57F63" w:rsidRDefault="00F57F63">
            <w:r>
              <w:t xml:space="preserve">The date on which the </w:t>
            </w:r>
            <w:proofErr w:type="gramStart"/>
            <w:r>
              <w:t>purchasing</w:t>
            </w:r>
            <w:proofErr w:type="gramEnd"/>
            <w:r>
              <w:t xml:space="preserve"> order was </w:t>
            </w:r>
            <w:proofErr w:type="gramStart"/>
            <w:r>
              <w:t>created</w:t>
            </w:r>
            <w:proofErr w:type="gramEnd"/>
            <w:r>
              <w:t>. Useful for time-based analysis.</w:t>
            </w:r>
          </w:p>
        </w:tc>
      </w:tr>
      <w:tr w:rsidR="00F57F63" w14:paraId="1995D5E7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E79D" w14:textId="77777777" w:rsidR="00F57F63" w:rsidRDefault="00F57F63">
            <w:proofErr w:type="spellStart"/>
            <w:r>
              <w:rPr>
                <w:rStyle w:val="Strong"/>
              </w:rPr>
              <w:t>ExpectedDeliveryDate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A3F70" w14:textId="77777777" w:rsidR="00F57F63" w:rsidRDefault="00F57F63">
            <w:r>
              <w:rPr>
                <w:rStyle w:val="HTMLCode"/>
                <w:rFonts w:eastAsiaTheme="majorEastAsi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5207785" w14:textId="77777777" w:rsidR="00F57F63" w:rsidRDefault="00F57F63">
            <w:r>
              <w:t>The date on which the goods are expected to be delivered. Used for comparing planned vs actual delivery performance.</w:t>
            </w:r>
          </w:p>
        </w:tc>
      </w:tr>
      <w:tr w:rsidR="00F57F63" w14:paraId="7495D77A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B551" w14:textId="77777777" w:rsidR="00F57F63" w:rsidRDefault="00F57F63">
            <w:proofErr w:type="spellStart"/>
            <w:r>
              <w:rPr>
                <w:rStyle w:val="Strong"/>
              </w:rPr>
              <w:t>DeliveryMethodName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7B952" w14:textId="77777777" w:rsidR="00F57F63" w:rsidRDefault="00F57F63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nvarchar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A7D50E9" w14:textId="77777777" w:rsidR="00F57F63" w:rsidRDefault="00F57F63">
            <w:r>
              <w:t xml:space="preserve">The name of the delivery method (e.g., Courier, Standard Shipping). Helps </w:t>
            </w:r>
            <w:proofErr w:type="gramStart"/>
            <w:r>
              <w:t>in</w:t>
            </w:r>
            <w:proofErr w:type="gramEnd"/>
            <w:r>
              <w:t xml:space="preserve"> logistics analysis and supplier performance metrics.</w:t>
            </w:r>
          </w:p>
        </w:tc>
      </w:tr>
      <w:tr w:rsidR="00F57F63" w14:paraId="6A532679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658C" w14:textId="77777777" w:rsidR="00F57F63" w:rsidRDefault="00F57F63">
            <w:proofErr w:type="spellStart"/>
            <w:r>
              <w:rPr>
                <w:rStyle w:val="Strong"/>
              </w:rPr>
              <w:t>StockItemID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C7A03" w14:textId="77777777" w:rsidR="00F57F63" w:rsidRDefault="00F57F63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4189E0" w14:textId="77777777" w:rsidR="00F57F63" w:rsidRDefault="00F57F63">
            <w:r>
              <w:t xml:space="preserve">Foreign key identifying the stock item being purchased. Enables </w:t>
            </w:r>
            <w:r>
              <w:lastRenderedPageBreak/>
              <w:t>item-level analysis across multiple purchasing orders.</w:t>
            </w:r>
          </w:p>
        </w:tc>
      </w:tr>
      <w:tr w:rsidR="00F57F63" w14:paraId="53576EA1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D078" w14:textId="77777777" w:rsidR="00F57F63" w:rsidRDefault="00F57F63">
            <w:proofErr w:type="spellStart"/>
            <w:r>
              <w:rPr>
                <w:rStyle w:val="Strong"/>
              </w:rPr>
              <w:lastRenderedPageBreak/>
              <w:t>PackageTypeName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53D45" w14:textId="77777777" w:rsidR="00F57F63" w:rsidRDefault="00F57F63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C0C6A51" w14:textId="77777777" w:rsidR="00F57F63" w:rsidRDefault="00F57F63">
            <w:r>
              <w:t xml:space="preserve">Foreign key (possibly to a </w:t>
            </w:r>
            <w:proofErr w:type="spellStart"/>
            <w:r>
              <w:t>PackageType</w:t>
            </w:r>
            <w:proofErr w:type="spellEnd"/>
            <w:r>
              <w:t xml:space="preserve"> dimension) representing the type of packaging used for the item. Important for logistics and storage planning.</w:t>
            </w:r>
          </w:p>
        </w:tc>
      </w:tr>
      <w:tr w:rsidR="00F57F63" w14:paraId="09FCCD4D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0215" w14:textId="77777777" w:rsidR="00F57F63" w:rsidRDefault="00F57F63">
            <w:proofErr w:type="spellStart"/>
            <w:r>
              <w:rPr>
                <w:rStyle w:val="Strong"/>
              </w:rPr>
              <w:t>OrderOuters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8D98B" w14:textId="77777777" w:rsidR="00F57F63" w:rsidRDefault="00F57F63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B2E4AEB" w14:textId="77777777" w:rsidR="00F57F63" w:rsidRDefault="00F57F63">
            <w:r>
              <w:t>The number of outer units ordered. An outer is a group of units packaged together (e.g., a box of items).</w:t>
            </w:r>
          </w:p>
        </w:tc>
      </w:tr>
      <w:tr w:rsidR="00F57F63" w14:paraId="0587E73A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CB1BA" w14:textId="77777777" w:rsidR="00F57F63" w:rsidRDefault="00F57F63">
            <w:proofErr w:type="spellStart"/>
            <w:r>
              <w:rPr>
                <w:rStyle w:val="Strong"/>
              </w:rPr>
              <w:t>ReceivedOuters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B1398" w14:textId="77777777" w:rsidR="00F57F63" w:rsidRDefault="00F57F63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CBA50F" w14:textId="77777777" w:rsidR="00F57F63" w:rsidRDefault="00F57F63">
            <w:r>
              <w:t xml:space="preserve">The number of outer units </w:t>
            </w:r>
            <w:proofErr w:type="gramStart"/>
            <w:r>
              <w:t>actually received</w:t>
            </w:r>
            <w:proofErr w:type="gramEnd"/>
            <w:r>
              <w:t xml:space="preserve">. Enables </w:t>
            </w:r>
            <w:proofErr w:type="gramStart"/>
            <w:r>
              <w:t>the tracking</w:t>
            </w:r>
            <w:proofErr w:type="gramEnd"/>
            <w:r>
              <w:t xml:space="preserve"> of discrepancies between ordered and received quantities.</w:t>
            </w:r>
          </w:p>
        </w:tc>
      </w:tr>
      <w:tr w:rsidR="00F57F63" w14:paraId="20BEC26D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4714" w14:textId="77777777" w:rsidR="00F57F63" w:rsidRDefault="00F57F63">
            <w:proofErr w:type="spellStart"/>
            <w:r>
              <w:rPr>
                <w:rStyle w:val="Strong"/>
              </w:rPr>
              <w:t>ExpectedUnitPrice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9AE26" w14:textId="77777777" w:rsidR="00F57F63" w:rsidRDefault="00F57F63">
            <w:proofErr w:type="gramStart"/>
            <w:r>
              <w:rPr>
                <w:rStyle w:val="HTMLCode"/>
                <w:rFonts w:eastAsiaTheme="majorEastAsia"/>
              </w:rPr>
              <w:t>decimal(</w:t>
            </w:r>
            <w:proofErr w:type="gramEnd"/>
            <w:r>
              <w:rPr>
                <w:rStyle w:val="HTMLCode"/>
                <w:rFonts w:eastAsiaTheme="majorEastAsia"/>
              </w:rPr>
              <w:t>18,2)</w:t>
            </w:r>
          </w:p>
        </w:tc>
        <w:tc>
          <w:tcPr>
            <w:tcW w:w="0" w:type="auto"/>
            <w:vAlign w:val="center"/>
            <w:hideMark/>
          </w:tcPr>
          <w:p w14:paraId="255AA027" w14:textId="77777777" w:rsidR="00F57F63" w:rsidRDefault="00F57F63">
            <w:r>
              <w:t>The expected price per unit of the item ordered. Useful for budgeting and procurement cost analysis.</w:t>
            </w:r>
          </w:p>
        </w:tc>
      </w:tr>
      <w:tr w:rsidR="00F57F63" w14:paraId="312D9395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5834C" w14:textId="77777777" w:rsidR="00F57F63" w:rsidRDefault="00F57F63">
            <w:proofErr w:type="spellStart"/>
            <w:r>
              <w:rPr>
                <w:rStyle w:val="Strong"/>
              </w:rPr>
              <w:t>LastReceiptDate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AE131" w14:textId="77777777" w:rsidR="00F57F63" w:rsidRDefault="00F57F63">
            <w:r>
              <w:rPr>
                <w:rStyle w:val="HTMLCode"/>
                <w:rFonts w:eastAsiaTheme="majorEastAsia"/>
              </w:rPr>
              <w:t>date</w:t>
            </w:r>
            <w:r>
              <w:t xml:space="preserve"> (Nullable)</w:t>
            </w:r>
          </w:p>
        </w:tc>
        <w:tc>
          <w:tcPr>
            <w:tcW w:w="0" w:type="auto"/>
            <w:vAlign w:val="center"/>
            <w:hideMark/>
          </w:tcPr>
          <w:p w14:paraId="0F9DBB78" w14:textId="77777777" w:rsidR="00F57F63" w:rsidRDefault="00F57F63">
            <w:r>
              <w:t xml:space="preserve">The most recent date on which part or </w:t>
            </w:r>
            <w:proofErr w:type="gramStart"/>
            <w:r>
              <w:t>all of</w:t>
            </w:r>
            <w:proofErr w:type="gramEnd"/>
            <w:r>
              <w:t xml:space="preserve"> the order was received. Important for analyzing delivery timelines and supplier reliability.</w:t>
            </w:r>
          </w:p>
        </w:tc>
      </w:tr>
    </w:tbl>
    <w:p w14:paraId="5DB981EE" w14:textId="77777777" w:rsidR="00F57F63" w:rsidRDefault="00F57F63" w:rsidP="00F57F63">
      <w:pPr>
        <w:spacing w:before="0" w:after="0"/>
        <w:rPr>
          <w:szCs w:val="24"/>
        </w:rPr>
      </w:pPr>
    </w:p>
    <w:p w14:paraId="62645FB5" w14:textId="77777777" w:rsidR="00F57F63" w:rsidRPr="00F57F63" w:rsidRDefault="00F57F63" w:rsidP="00F57F63">
      <w:pPr>
        <w:rPr>
          <w:b/>
          <w:bCs/>
        </w:rPr>
      </w:pPr>
      <w:proofErr w:type="spellStart"/>
      <w:r w:rsidRPr="00F57F63">
        <w:rPr>
          <w:b/>
          <w:bCs/>
        </w:rPr>
        <w:t>WarehouseTransactionDim</w:t>
      </w:r>
      <w:proofErr w:type="spellEnd"/>
      <w:r w:rsidRPr="00F57F63">
        <w:rPr>
          <w:b/>
          <w:bCs/>
        </w:rPr>
        <w:t xml:space="preserve"> Table Schema</w:t>
      </w:r>
    </w:p>
    <w:p w14:paraId="3FB887AF" w14:textId="77777777" w:rsidR="00F57F63" w:rsidRPr="00F57F63" w:rsidRDefault="00F57F63" w:rsidP="00F57F63">
      <w:r w:rsidRPr="00F57F63">
        <w:t xml:space="preserve">The </w:t>
      </w:r>
      <w:proofErr w:type="spellStart"/>
      <w:r w:rsidRPr="00F57F63">
        <w:t>WarehouseTransactionDim</w:t>
      </w:r>
      <w:proofErr w:type="spellEnd"/>
      <w:r w:rsidRPr="00F57F63">
        <w:t xml:space="preserve"> table is a dimension in the data warehouse that captures detailed records of warehouse transactions. It supports analysis of stock movements, transaction types, supplier and customer interactions, and overall warehouse activity.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1668"/>
        <w:gridCol w:w="3726"/>
      </w:tblGrid>
      <w:tr w:rsidR="00F57F63" w:rsidRPr="00F57F63" w14:paraId="540FB167" w14:textId="77777777" w:rsidTr="00F57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A11C1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lastRenderedPageBreak/>
              <w:t>Attribute Name</w:t>
            </w:r>
          </w:p>
        </w:tc>
        <w:tc>
          <w:tcPr>
            <w:tcW w:w="0" w:type="auto"/>
            <w:vAlign w:val="center"/>
            <w:hideMark/>
          </w:tcPr>
          <w:p w14:paraId="3FC7D009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84C893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Description</w:t>
            </w:r>
          </w:p>
        </w:tc>
      </w:tr>
      <w:tr w:rsidR="00F57F63" w:rsidRPr="00F57F63" w14:paraId="7C104A0A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9BF3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WarehouseTransactionDimID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CA9D2" w14:textId="77777777" w:rsidR="00F57F63" w:rsidRPr="00F57F63" w:rsidRDefault="00F57F63" w:rsidP="00F57F63">
            <w:r w:rsidRPr="00F57F63">
              <w:t>int (PK, Identity)</w:t>
            </w:r>
          </w:p>
        </w:tc>
        <w:tc>
          <w:tcPr>
            <w:tcW w:w="0" w:type="auto"/>
            <w:vAlign w:val="center"/>
            <w:hideMark/>
          </w:tcPr>
          <w:p w14:paraId="79DBB088" w14:textId="77777777" w:rsidR="00F57F63" w:rsidRPr="00F57F63" w:rsidRDefault="00F57F63" w:rsidP="00F57F63">
            <w:r w:rsidRPr="00F57F63">
              <w:t>A surrogate primary key uniquely identifying each warehouse transaction in the dimension. Automatically generated during the ETL process.</w:t>
            </w:r>
          </w:p>
        </w:tc>
      </w:tr>
      <w:tr w:rsidR="00F57F63" w:rsidRPr="00F57F63" w14:paraId="7366C515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4C8F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WWIStockItemTransactionID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6C538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2548C2D2" w14:textId="77777777" w:rsidR="00F57F63" w:rsidRPr="00F57F63" w:rsidRDefault="00F57F63" w:rsidP="00F57F63">
            <w:r w:rsidRPr="00F57F63">
              <w:t xml:space="preserve">The original transaction ID </w:t>
            </w:r>
            <w:proofErr w:type="gramStart"/>
            <w:r w:rsidRPr="00F57F63">
              <w:t>from</w:t>
            </w:r>
            <w:proofErr w:type="gramEnd"/>
            <w:r w:rsidRPr="00F57F63">
              <w:t xml:space="preserve"> the </w:t>
            </w:r>
            <w:proofErr w:type="gramStart"/>
            <w:r w:rsidRPr="00F57F63">
              <w:t>World Wide</w:t>
            </w:r>
            <w:proofErr w:type="gramEnd"/>
            <w:r w:rsidRPr="00F57F63">
              <w:t xml:space="preserve"> Importers source system. Maintains referential integrity with the source data.</w:t>
            </w:r>
          </w:p>
        </w:tc>
      </w:tr>
      <w:tr w:rsidR="00F57F63" w:rsidRPr="00F57F63" w14:paraId="70F327F3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ABD1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StockItemID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34E10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7BD68D2E" w14:textId="77777777" w:rsidR="00F57F63" w:rsidRPr="00F57F63" w:rsidRDefault="00F57F63" w:rsidP="00F57F63">
            <w:r w:rsidRPr="00F57F63">
              <w:t>Foreign key identifying the specific stock item involved in the transaction. Enables tracking of stock movement at the item level.</w:t>
            </w:r>
          </w:p>
        </w:tc>
      </w:tr>
      <w:tr w:rsidR="00F57F63" w:rsidRPr="00F57F63" w14:paraId="33DC5647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9A6D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TransactionTypeName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118E6" w14:textId="77777777" w:rsidR="00F57F63" w:rsidRPr="00F57F63" w:rsidRDefault="00F57F63" w:rsidP="00F57F63">
            <w:proofErr w:type="spellStart"/>
            <w:proofErr w:type="gramStart"/>
            <w:r w:rsidRPr="00F57F63">
              <w:t>nvarchar</w:t>
            </w:r>
            <w:proofErr w:type="spellEnd"/>
            <w:r w:rsidRPr="00F57F63">
              <w:t>(</w:t>
            </w:r>
            <w:proofErr w:type="gramEnd"/>
            <w:r w:rsidRPr="00F57F63">
              <w:t>50)</w:t>
            </w:r>
          </w:p>
        </w:tc>
        <w:tc>
          <w:tcPr>
            <w:tcW w:w="0" w:type="auto"/>
            <w:vAlign w:val="center"/>
            <w:hideMark/>
          </w:tcPr>
          <w:p w14:paraId="4264E61A" w14:textId="77777777" w:rsidR="00F57F63" w:rsidRPr="00F57F63" w:rsidRDefault="00F57F63" w:rsidP="00F57F63">
            <w:r w:rsidRPr="00F57F63">
              <w:t>The name or type of transaction (e.g., Purchase, Sale, Adjustment, Return). Critical for analyzing transaction behavior and warehouse operations.</w:t>
            </w:r>
          </w:p>
        </w:tc>
      </w:tr>
      <w:tr w:rsidR="00F57F63" w:rsidRPr="00F57F63" w14:paraId="5B4CBA93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6ABAD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TransactionOccurredWhen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4C311" w14:textId="77777777" w:rsidR="00F57F63" w:rsidRPr="00F57F63" w:rsidRDefault="00F57F63" w:rsidP="00F57F63">
            <w:r w:rsidRPr="00F57F63">
              <w:t>datetime2(7)</w:t>
            </w:r>
          </w:p>
        </w:tc>
        <w:tc>
          <w:tcPr>
            <w:tcW w:w="0" w:type="auto"/>
            <w:vAlign w:val="center"/>
            <w:hideMark/>
          </w:tcPr>
          <w:p w14:paraId="20CC5E5C" w14:textId="77777777" w:rsidR="00F57F63" w:rsidRPr="00F57F63" w:rsidRDefault="00F57F63" w:rsidP="00F57F63">
            <w:r w:rsidRPr="00F57F63">
              <w:t xml:space="preserve">The timestamp </w:t>
            </w:r>
            <w:proofErr w:type="gramStart"/>
            <w:r w:rsidRPr="00F57F63">
              <w:t>indicating</w:t>
            </w:r>
            <w:proofErr w:type="gramEnd"/>
            <w:r w:rsidRPr="00F57F63">
              <w:t xml:space="preserve"> when the transaction occurred. Used for time-based analysis and trend monitoring.</w:t>
            </w:r>
          </w:p>
        </w:tc>
      </w:tr>
      <w:tr w:rsidR="00F57F63" w:rsidRPr="00F57F63" w14:paraId="0DB9AF14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7A5C" w14:textId="77777777" w:rsidR="00F57F63" w:rsidRPr="00F57F63" w:rsidRDefault="00F57F63" w:rsidP="00F57F63">
            <w:r w:rsidRPr="00F57F63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FC8F6E9" w14:textId="77777777" w:rsidR="00F57F63" w:rsidRPr="00F57F63" w:rsidRDefault="00F57F63" w:rsidP="00F57F63">
            <w:proofErr w:type="gramStart"/>
            <w:r w:rsidRPr="00F57F63">
              <w:t>decimal(</w:t>
            </w:r>
            <w:proofErr w:type="gramEnd"/>
            <w:r w:rsidRPr="00F57F63">
              <w:t>18,3)</w:t>
            </w:r>
          </w:p>
        </w:tc>
        <w:tc>
          <w:tcPr>
            <w:tcW w:w="0" w:type="auto"/>
            <w:vAlign w:val="center"/>
            <w:hideMark/>
          </w:tcPr>
          <w:p w14:paraId="1BB51A2B" w14:textId="77777777" w:rsidR="00F57F63" w:rsidRPr="00F57F63" w:rsidRDefault="00F57F63" w:rsidP="00F57F63">
            <w:r w:rsidRPr="00F57F63">
              <w:t>The quantity of items involved in the transaction. Allows precise inventory and movement tracking, including fractional units.</w:t>
            </w:r>
          </w:p>
        </w:tc>
      </w:tr>
      <w:tr w:rsidR="00F57F63" w:rsidRPr="00F57F63" w14:paraId="1150EF31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425F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50184" w14:textId="77777777" w:rsidR="00F57F63" w:rsidRPr="00F57F63" w:rsidRDefault="00F57F63" w:rsidP="00F57F63">
            <w:r w:rsidRPr="00F57F63">
              <w:t>int (Nullable)</w:t>
            </w:r>
          </w:p>
        </w:tc>
        <w:tc>
          <w:tcPr>
            <w:tcW w:w="0" w:type="auto"/>
            <w:vAlign w:val="center"/>
            <w:hideMark/>
          </w:tcPr>
          <w:p w14:paraId="6DD7F7F9" w14:textId="77777777" w:rsidR="00F57F63" w:rsidRPr="00F57F63" w:rsidRDefault="00F57F63" w:rsidP="00F57F63">
            <w:r w:rsidRPr="00F57F63">
              <w:t xml:space="preserve">Foreign key referencing the customer involved in the </w:t>
            </w:r>
            <w:r w:rsidRPr="00F57F63">
              <w:lastRenderedPageBreak/>
              <w:t>transaction, if applicable (e.g., in a sales transaction). Useful for analyzing customer-related stock movements.</w:t>
            </w:r>
          </w:p>
        </w:tc>
      </w:tr>
      <w:tr w:rsidR="00F57F63" w:rsidRPr="00F57F63" w14:paraId="2D5C72A8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D548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lastRenderedPageBreak/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72AFD" w14:textId="77777777" w:rsidR="00F57F63" w:rsidRPr="00F57F63" w:rsidRDefault="00F57F63" w:rsidP="00F57F63">
            <w:r w:rsidRPr="00F57F63">
              <w:t>int (Nullable)</w:t>
            </w:r>
          </w:p>
        </w:tc>
        <w:tc>
          <w:tcPr>
            <w:tcW w:w="0" w:type="auto"/>
            <w:vAlign w:val="center"/>
            <w:hideMark/>
          </w:tcPr>
          <w:p w14:paraId="0F28DABE" w14:textId="77777777" w:rsidR="00F57F63" w:rsidRPr="00F57F63" w:rsidRDefault="00F57F63" w:rsidP="00F57F63">
            <w:r w:rsidRPr="00F57F63">
              <w:t>Foreign key referencing the supplier involved in the transaction, if applicable (e.g., in a purchase transaction). Enables supplier-level analysis of warehouse activity.</w:t>
            </w:r>
          </w:p>
        </w:tc>
      </w:tr>
    </w:tbl>
    <w:p w14:paraId="3ED6D4F2" w14:textId="77777777" w:rsidR="008E41A4" w:rsidRDefault="008E41A4"/>
    <w:p w14:paraId="4CA11331" w14:textId="77777777" w:rsidR="00F57F63" w:rsidRPr="00F57F63" w:rsidRDefault="00F57F63" w:rsidP="00F57F63">
      <w:pPr>
        <w:rPr>
          <w:b/>
          <w:bCs/>
        </w:rPr>
      </w:pPr>
      <w:proofErr w:type="spellStart"/>
      <w:r w:rsidRPr="00F57F63">
        <w:rPr>
          <w:b/>
          <w:bCs/>
        </w:rPr>
        <w:t>FactInventoryMovement</w:t>
      </w:r>
      <w:proofErr w:type="spellEnd"/>
      <w:r w:rsidRPr="00F57F63">
        <w:rPr>
          <w:b/>
          <w:bCs/>
        </w:rPr>
        <w:t xml:space="preserve"> Table Schema</w:t>
      </w:r>
    </w:p>
    <w:p w14:paraId="5A6A1E55" w14:textId="77777777" w:rsidR="00F57F63" w:rsidRPr="00F57F63" w:rsidRDefault="00F57F63" w:rsidP="00F57F63">
      <w:r w:rsidRPr="00F57F63">
        <w:t xml:space="preserve">The </w:t>
      </w:r>
      <w:proofErr w:type="spellStart"/>
      <w:r w:rsidRPr="00F57F63">
        <w:t>FactInventoryMovement</w:t>
      </w:r>
      <w:proofErr w:type="spellEnd"/>
      <w:r w:rsidRPr="00F57F63">
        <w:t xml:space="preserve"> table is a fact table in the data warehouse that centralizes key measures related to the movement of inventory through the procurement and warehouse processes. It integrates foreign keys from multiple </w:t>
      </w:r>
      <w:proofErr w:type="gramStart"/>
      <w:r w:rsidRPr="00F57F63">
        <w:t>dimension</w:t>
      </w:r>
      <w:proofErr w:type="gramEnd"/>
      <w:r w:rsidRPr="00F57F63">
        <w:t xml:space="preserve"> tables and provides detailed quantitative metrics for business analysis.</w:t>
      </w:r>
    </w:p>
    <w:p w14:paraId="341A936C" w14:textId="77777777" w:rsidR="00F57F63" w:rsidRPr="00F57F63" w:rsidRDefault="00F57F63" w:rsidP="00F57F63">
      <w:r w:rsidRPr="00F57F63">
        <w:pict w14:anchorId="6ABC2964">
          <v:rect id="_x0000_i1043" style="width:0;height:1.5pt" o:hralign="center" o:hrstd="t" o:hr="t" fillcolor="#a0a0a0" stroked="f"/>
        </w:pict>
      </w:r>
    </w:p>
    <w:p w14:paraId="7A966954" w14:textId="77777777" w:rsidR="00F57F63" w:rsidRPr="00F57F63" w:rsidRDefault="00F57F63" w:rsidP="00F57F63">
      <w:pPr>
        <w:rPr>
          <w:b/>
          <w:bCs/>
        </w:rPr>
      </w:pPr>
      <w:r w:rsidRPr="00F57F63">
        <w:rPr>
          <w:rFonts w:ascii="Segoe UI Emoji" w:hAnsi="Segoe UI Emoji" w:cs="Segoe UI Emoji"/>
          <w:b/>
          <w:bCs/>
        </w:rPr>
        <w:t>🔑</w:t>
      </w:r>
      <w:r w:rsidRPr="00F57F63">
        <w:rPr>
          <w:b/>
          <w:bCs/>
        </w:rPr>
        <w:t xml:space="preserve"> Foreign Keys (Dimensional Keys)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762"/>
        <w:gridCol w:w="4632"/>
      </w:tblGrid>
      <w:tr w:rsidR="00F57F63" w:rsidRPr="00F57F63" w14:paraId="3B949BDF" w14:textId="77777777" w:rsidTr="00F57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3A636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Attribute Name</w:t>
            </w:r>
          </w:p>
        </w:tc>
        <w:tc>
          <w:tcPr>
            <w:tcW w:w="0" w:type="auto"/>
            <w:vAlign w:val="center"/>
            <w:hideMark/>
          </w:tcPr>
          <w:p w14:paraId="5F1C58A1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D8111CC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Description</w:t>
            </w:r>
          </w:p>
        </w:tc>
      </w:tr>
      <w:tr w:rsidR="00F57F63" w:rsidRPr="00F57F63" w14:paraId="708FC18C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8EE8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POrderDateKey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32C66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0C7B4842" w14:textId="77777777" w:rsidR="00F57F63" w:rsidRPr="00F57F63" w:rsidRDefault="00F57F63" w:rsidP="00F57F63">
            <w:r w:rsidRPr="00F57F63">
              <w:t>Foreign key referencing the date the purchasing order was created. Used for tracking procurement over time.</w:t>
            </w:r>
          </w:p>
        </w:tc>
      </w:tr>
      <w:tr w:rsidR="00F57F63" w:rsidRPr="00F57F63" w14:paraId="7A5BAA83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1331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POrderExpectedDelDateKey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A180B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6F891E48" w14:textId="77777777" w:rsidR="00F57F63" w:rsidRPr="00F57F63" w:rsidRDefault="00F57F63" w:rsidP="00F57F63">
            <w:r w:rsidRPr="00F57F63">
              <w:t xml:space="preserve">Foreign key </w:t>
            </w:r>
            <w:proofErr w:type="gramStart"/>
            <w:r w:rsidRPr="00F57F63">
              <w:t>referencing</w:t>
            </w:r>
            <w:proofErr w:type="gramEnd"/>
            <w:r w:rsidRPr="00F57F63">
              <w:t xml:space="preserve"> the expected delivery date of the purchasing order. Helps in analyzing delivery timeliness.</w:t>
            </w:r>
          </w:p>
        </w:tc>
      </w:tr>
      <w:tr w:rsidR="00F57F63" w:rsidRPr="00F57F63" w14:paraId="206D472B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6C30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ItemLReceiptDateKey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82602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44C6F9E3" w14:textId="77777777" w:rsidR="00F57F63" w:rsidRPr="00F57F63" w:rsidRDefault="00F57F63" w:rsidP="00F57F63">
            <w:r w:rsidRPr="00F57F63">
              <w:t xml:space="preserve">Foreign key </w:t>
            </w:r>
            <w:proofErr w:type="gramStart"/>
            <w:r w:rsidRPr="00F57F63">
              <w:t>referencing</w:t>
            </w:r>
            <w:proofErr w:type="gramEnd"/>
            <w:r w:rsidRPr="00F57F63">
              <w:t xml:space="preserve"> the last date a receipt was recorded for the item in the purchasing order. Used to monitor delivery completion.</w:t>
            </w:r>
          </w:p>
        </w:tc>
      </w:tr>
      <w:tr w:rsidR="00F57F63" w:rsidRPr="00F57F63" w14:paraId="4511699A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FDF6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lastRenderedPageBreak/>
              <w:t>StockReceiptDateKey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E88D4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1C640B47" w14:textId="77777777" w:rsidR="00F57F63" w:rsidRPr="00F57F63" w:rsidRDefault="00F57F63" w:rsidP="00F57F63">
            <w:r w:rsidRPr="00F57F63">
              <w:t xml:space="preserve">Foreign key </w:t>
            </w:r>
            <w:proofErr w:type="gramStart"/>
            <w:r w:rsidRPr="00F57F63">
              <w:t>referencing</w:t>
            </w:r>
            <w:proofErr w:type="gramEnd"/>
            <w:r w:rsidRPr="00F57F63">
              <w:t xml:space="preserve"> the date the stock was </w:t>
            </w:r>
            <w:proofErr w:type="gramStart"/>
            <w:r w:rsidRPr="00F57F63">
              <w:t>actually received</w:t>
            </w:r>
            <w:proofErr w:type="gramEnd"/>
            <w:r w:rsidRPr="00F57F63">
              <w:t xml:space="preserve"> and recorded in the warehouse system. </w:t>
            </w:r>
            <w:proofErr w:type="gramStart"/>
            <w:r w:rsidRPr="00F57F63">
              <w:t>Useful</w:t>
            </w:r>
            <w:proofErr w:type="gramEnd"/>
            <w:r w:rsidRPr="00F57F63">
              <w:t xml:space="preserve"> for measuring lead times.</w:t>
            </w:r>
          </w:p>
        </w:tc>
      </w:tr>
      <w:tr w:rsidR="00F57F63" w:rsidRPr="00F57F63" w14:paraId="0E6A8D3C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055F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StockItemKey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3F1D7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64B1A742" w14:textId="77777777" w:rsidR="00F57F63" w:rsidRPr="00F57F63" w:rsidRDefault="00F57F63" w:rsidP="00F57F63">
            <w:r w:rsidRPr="00F57F63">
              <w:t>Foreign key referencing the stock item involved. Enables item-level analysis of movement and inventory performance.</w:t>
            </w:r>
          </w:p>
        </w:tc>
      </w:tr>
      <w:tr w:rsidR="00F57F63" w:rsidRPr="00F57F63" w14:paraId="6558D5A8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ECBF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PurchasingOrderKey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F2CD5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3347D23A" w14:textId="77777777" w:rsidR="00F57F63" w:rsidRPr="00F57F63" w:rsidRDefault="00F57F63" w:rsidP="00F57F63">
            <w:r w:rsidRPr="00F57F63">
              <w:t xml:space="preserve">Foreign key linking to the </w:t>
            </w:r>
            <w:proofErr w:type="spellStart"/>
            <w:r w:rsidRPr="00F57F63">
              <w:t>DimPurchasingOrderLine</w:t>
            </w:r>
            <w:proofErr w:type="spellEnd"/>
            <w:r w:rsidRPr="00F57F63">
              <w:t xml:space="preserve"> table. Provides context on the purchasing order related to the inventory movement.</w:t>
            </w:r>
          </w:p>
        </w:tc>
      </w:tr>
      <w:tr w:rsidR="00F57F63" w:rsidRPr="00F57F63" w14:paraId="476C499C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7F07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SupplierKey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ADFB9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40458E2E" w14:textId="77777777" w:rsidR="00F57F63" w:rsidRPr="00F57F63" w:rsidRDefault="00F57F63" w:rsidP="00F57F63">
            <w:r w:rsidRPr="00F57F63">
              <w:t>Foreign key referencing the supplier involved in the inventory movement. Useful for supplier performance analysis.</w:t>
            </w:r>
          </w:p>
        </w:tc>
      </w:tr>
      <w:tr w:rsidR="00F57F63" w:rsidRPr="00F57F63" w14:paraId="4E2F3CF0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C9C7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WarehouseTransactionDimID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9A48B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480A4CC0" w14:textId="77777777" w:rsidR="00F57F63" w:rsidRPr="00F57F63" w:rsidRDefault="00F57F63" w:rsidP="00F57F63">
            <w:r w:rsidRPr="00F57F63">
              <w:t xml:space="preserve">Foreign key linking to the </w:t>
            </w:r>
            <w:proofErr w:type="spellStart"/>
            <w:r w:rsidRPr="00F57F63">
              <w:t>WarehouseTransactionDim</w:t>
            </w:r>
            <w:proofErr w:type="spellEnd"/>
            <w:r w:rsidRPr="00F57F63">
              <w:t xml:space="preserve"> table. Integrates warehouse activity with purchasing and stock records.</w:t>
            </w:r>
          </w:p>
        </w:tc>
      </w:tr>
    </w:tbl>
    <w:p w14:paraId="05419F34" w14:textId="77777777" w:rsidR="00F57F63" w:rsidRPr="00F57F63" w:rsidRDefault="00F57F63" w:rsidP="00F57F63">
      <w:r w:rsidRPr="00F57F63">
        <w:pict w14:anchorId="4F8CCDF9">
          <v:rect id="_x0000_i1044" style="width:0;height:1.5pt" o:hralign="center" o:hrstd="t" o:hr="t" fillcolor="#a0a0a0" stroked="f"/>
        </w:pict>
      </w:r>
    </w:p>
    <w:p w14:paraId="41854377" w14:textId="77777777" w:rsidR="00F57F63" w:rsidRPr="00F57F63" w:rsidRDefault="00F57F63" w:rsidP="00F57F63">
      <w:pPr>
        <w:rPr>
          <w:b/>
          <w:bCs/>
        </w:rPr>
      </w:pPr>
      <w:r w:rsidRPr="00F57F63">
        <w:rPr>
          <w:rFonts w:ascii="Segoe UI Emoji" w:hAnsi="Segoe UI Emoji" w:cs="Segoe UI Emoji"/>
          <w:b/>
          <w:bCs/>
        </w:rPr>
        <w:t>📐</w:t>
      </w:r>
      <w:r w:rsidRPr="00F57F63">
        <w:rPr>
          <w:b/>
          <w:bCs/>
        </w:rPr>
        <w:t xml:space="preserve"> Fact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894"/>
        <w:gridCol w:w="6106"/>
      </w:tblGrid>
      <w:tr w:rsidR="00F57F63" w:rsidRPr="00F57F63" w14:paraId="1FC30CC6" w14:textId="77777777" w:rsidTr="00F57F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A0133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Attribute Name</w:t>
            </w:r>
          </w:p>
        </w:tc>
        <w:tc>
          <w:tcPr>
            <w:tcW w:w="0" w:type="auto"/>
            <w:vAlign w:val="center"/>
            <w:hideMark/>
          </w:tcPr>
          <w:p w14:paraId="538CDA9E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DABB81D" w14:textId="77777777" w:rsidR="00F57F63" w:rsidRPr="00F57F63" w:rsidRDefault="00F57F63" w:rsidP="00F57F63">
            <w:pPr>
              <w:rPr>
                <w:b/>
                <w:bCs/>
              </w:rPr>
            </w:pPr>
            <w:r w:rsidRPr="00F57F63">
              <w:rPr>
                <w:b/>
                <w:bCs/>
              </w:rPr>
              <w:t>Description</w:t>
            </w:r>
          </w:p>
        </w:tc>
      </w:tr>
      <w:tr w:rsidR="00F57F63" w:rsidRPr="00F57F63" w14:paraId="57D752E1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D269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QuantityOrdered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DCEC0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4BC175F7" w14:textId="77777777" w:rsidR="00F57F63" w:rsidRPr="00F57F63" w:rsidRDefault="00F57F63" w:rsidP="00F57F63">
            <w:r w:rsidRPr="00F57F63">
              <w:t>The total quantity of stock ordered from the supplier. Key metric for procurement volume analysis.</w:t>
            </w:r>
          </w:p>
        </w:tc>
      </w:tr>
      <w:tr w:rsidR="00F57F63" w:rsidRPr="00F57F63" w14:paraId="3F74E433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6CE2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lastRenderedPageBreak/>
              <w:t>QuantityReceived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51091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171944E6" w14:textId="77777777" w:rsidR="00F57F63" w:rsidRPr="00F57F63" w:rsidRDefault="00F57F63" w:rsidP="00F57F63">
            <w:r w:rsidRPr="00F57F63">
              <w:t>The actual quantity of stock received from the supplier. Used to identify discrepancies and track fulfillment rates.</w:t>
            </w:r>
          </w:p>
        </w:tc>
      </w:tr>
      <w:tr w:rsidR="00F57F63" w:rsidRPr="00F57F63" w14:paraId="62D4BFB1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5EA9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QuantityStored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31C9D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78DD74BF" w14:textId="77777777" w:rsidR="00F57F63" w:rsidRPr="00F57F63" w:rsidRDefault="00F57F63" w:rsidP="00F57F63">
            <w:r w:rsidRPr="00F57F63">
              <w:t>The amount of stock that was successfully stored in the warehouse. Important for inventory control and warehousing efficiency.</w:t>
            </w:r>
          </w:p>
        </w:tc>
      </w:tr>
      <w:tr w:rsidR="00F57F63" w:rsidRPr="00F57F63" w14:paraId="7BBA4F10" w14:textId="77777777" w:rsidTr="00F57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D054" w14:textId="77777777" w:rsidR="00F57F63" w:rsidRPr="00F57F63" w:rsidRDefault="00F57F63" w:rsidP="00F57F63">
            <w:proofErr w:type="spellStart"/>
            <w:r w:rsidRPr="00F57F63">
              <w:rPr>
                <w:b/>
                <w:bCs/>
              </w:rPr>
              <w:t>LeadTimeDays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6F6FC" w14:textId="77777777" w:rsidR="00F57F63" w:rsidRPr="00F57F63" w:rsidRDefault="00F57F63" w:rsidP="00F57F63">
            <w:r w:rsidRPr="00F57F63">
              <w:t>int</w:t>
            </w:r>
          </w:p>
        </w:tc>
        <w:tc>
          <w:tcPr>
            <w:tcW w:w="0" w:type="auto"/>
            <w:vAlign w:val="center"/>
            <w:hideMark/>
          </w:tcPr>
          <w:p w14:paraId="095E24E6" w14:textId="77777777" w:rsidR="00F57F63" w:rsidRPr="00F57F63" w:rsidRDefault="00F57F63" w:rsidP="00F57F63">
            <w:r w:rsidRPr="00F57F63">
              <w:t>The number of days between the purchasing order date and the actual receipt of stock. Crucial for lead time and supplier reliability analysis.</w:t>
            </w:r>
          </w:p>
        </w:tc>
      </w:tr>
    </w:tbl>
    <w:p w14:paraId="35780BE7" w14:textId="77777777" w:rsidR="00F57F63" w:rsidRPr="00F57F63" w:rsidRDefault="00F57F63" w:rsidP="00F57F63">
      <w:r w:rsidRPr="00F57F63">
        <w:pict w14:anchorId="67C6B1D4">
          <v:rect id="_x0000_i1045" style="width:0;height:1.5pt" o:hralign="center" o:hrstd="t" o:hr="t" fillcolor="#a0a0a0" stroked="f"/>
        </w:pict>
      </w:r>
    </w:p>
    <w:p w14:paraId="596D76C1" w14:textId="77777777" w:rsidR="00F57F63" w:rsidRPr="00F57F63" w:rsidRDefault="00F57F63" w:rsidP="00F57F63">
      <w:pPr>
        <w:rPr>
          <w:b/>
          <w:bCs/>
        </w:rPr>
      </w:pPr>
      <w:r w:rsidRPr="00F57F63">
        <w:rPr>
          <w:rFonts w:ascii="Segoe UI Emoji" w:hAnsi="Segoe UI Emoji" w:cs="Segoe UI Emoji"/>
          <w:b/>
          <w:bCs/>
        </w:rPr>
        <w:t>🔒</w:t>
      </w:r>
      <w:r w:rsidRPr="00F57F63">
        <w:rPr>
          <w:b/>
          <w:bCs/>
        </w:rPr>
        <w:t xml:space="preserve"> Primary Key</w:t>
      </w:r>
    </w:p>
    <w:p w14:paraId="5771C226" w14:textId="77777777" w:rsidR="00F57F63" w:rsidRPr="00F57F63" w:rsidRDefault="00F57F63" w:rsidP="00F57F63">
      <w:r w:rsidRPr="00F57F63">
        <w:t>The composite primary key consists of all foreign key fields, ensuring the uniqueness of each fact record based on its multi-dimensional context.</w:t>
      </w:r>
    </w:p>
    <w:p w14:paraId="4F25508A" w14:textId="77777777" w:rsidR="00F57F63" w:rsidRDefault="00F57F63"/>
    <w:sectPr w:rsidR="00F5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3E0"/>
    <w:multiLevelType w:val="hybridMultilevel"/>
    <w:tmpl w:val="FFFFFFFF"/>
    <w:lvl w:ilvl="0" w:tplc="7B807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2E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C3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6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CC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8C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C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E2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64CF4"/>
    <w:multiLevelType w:val="hybridMultilevel"/>
    <w:tmpl w:val="FFFFFFFF"/>
    <w:lvl w:ilvl="0" w:tplc="B91AA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0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22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0B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2E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40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A0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84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ED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785608">
    <w:abstractNumId w:val="1"/>
  </w:num>
  <w:num w:numId="2" w16cid:durableId="156494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5F"/>
    <w:rsid w:val="00297F42"/>
    <w:rsid w:val="00301CCC"/>
    <w:rsid w:val="004F6D6A"/>
    <w:rsid w:val="0071069B"/>
    <w:rsid w:val="00746458"/>
    <w:rsid w:val="007E4E8A"/>
    <w:rsid w:val="008E41A4"/>
    <w:rsid w:val="00B3615F"/>
    <w:rsid w:val="00F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49A5"/>
  <w15:chartTrackingRefBased/>
  <w15:docId w15:val="{5E36BE26-C936-4869-9C46-A5756709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CC"/>
    <w:pPr>
      <w:spacing w:before="160" w:line="300" w:lineRule="auto"/>
    </w:pPr>
    <w:rPr>
      <w:rFonts w:ascii="Georgia Pro" w:eastAsiaTheme="minorEastAsia" w:hAnsi="Georgia Pro" w:cs="Times New Roman (Body CS)"/>
      <w:color w:val="000000" w:themeColor="text1"/>
      <w:spacing w:val="6"/>
      <w:kern w:val="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5F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15F"/>
    <w:pPr>
      <w:keepNext/>
      <w:keepLines/>
      <w:spacing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15F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15F"/>
    <w:rPr>
      <w:b/>
      <w:bCs/>
      <w:smallCaps/>
      <w:color w:val="0F4761" w:themeColor="accent1" w:themeShade="BF"/>
      <w:spacing w:val="5"/>
    </w:rPr>
  </w:style>
  <w:style w:type="paragraph" w:customStyle="1" w:styleId="Small">
    <w:name w:val="Small"/>
    <w:basedOn w:val="Normal"/>
    <w:semiHidden/>
    <w:qFormat/>
    <w:rsid w:val="00301CCC"/>
    <w:pPr>
      <w:spacing w:before="0" w:after="0"/>
    </w:pPr>
    <w:rPr>
      <w:caps/>
      <w:spacing w:val="10"/>
      <w:sz w:val="20"/>
    </w:rPr>
  </w:style>
  <w:style w:type="character" w:styleId="Strong">
    <w:name w:val="Strong"/>
    <w:basedOn w:val="DefaultParagraphFont"/>
    <w:uiPriority w:val="22"/>
    <w:qFormat/>
    <w:rsid w:val="00F57F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2</cp:revision>
  <dcterms:created xsi:type="dcterms:W3CDTF">2025-04-18T15:37:00Z</dcterms:created>
  <dcterms:modified xsi:type="dcterms:W3CDTF">2025-04-18T16:01:00Z</dcterms:modified>
</cp:coreProperties>
</file>