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4"/>
                <w:szCs w:val="24"/>
              </w:rPr>
              <w:t xml:space="preserve">TECHNICAL PROJECT REPORT</w:t>
            </w:r>
          </w:p>
        </w:tc>
      </w:tr>
    </w:tbl>
    <w:p/>
    <w:p/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DataDose Cleaning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64"/>
          <w:szCs w:val="64"/>
        </w:rPr>
        <w:t xml:space="preserve">Enrichment Pipeline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Pharmaceutical Data Standardization, Verification &amp; FDA Integration</w:t>
      </w:r>
    </w:p>
    <w:p>
      <w:pPr>
        <w:pBdr>
          <w:bottom w:val="single" w:color="1ABC9C" w:sz="8" w:space="1"/>
        </w:pBdr>
        <w:spacing w:after="200" w:before="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DataDose DEPI Initiative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 — Final 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June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Runtime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Google Colab / Jupyter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Built with Python • pandas • Groq LLM • OpenFDA API</w:t>
      </w:r>
    </w:p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DataDose Cleaning &amp; Enrichment Pipeline is a structured, five-stage data engineering workflow designed to transform raw pharmaceutical product data into a clean, verified, and FDA-enriched dataset suitable for downstream analytics, knowledge graph construction, and clinical decision support.</w:t>
      </w:r>
    </w:p>
    <w:p/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pipeline addresses critical data quality challenges common in pharmaceutical datasets: inconsistent dosage form terminology, misspelled or non-canonical active ingredient names, cluttered trade name strings containing extraneous packaging metadata, and the absence of authoritative FDA cross-referencing.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Notebooks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External APIs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LLM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2"/>
                <w:szCs w:val="52"/>
              </w:rPr>
              <w:t xml:space="preserve">FDA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Enrichment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outcomes of this pipeline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Standardized dosage form taxonomy with consistent categories (oral_solid, oral_liquid, topical, injection, drops)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Canonicalized active ingredient strings using WHO International Nonproprietary Name (INN)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LLM-assisted validation of ingredients and trade names via the Groq API (llama-3.1-8b-instant)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Cross-validation against OpenFDA drug label database for regulatory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Clean, validated trade name extraction with configurable confidence thresholds</w:t>
      </w:r>
    </w:p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Pipeline Architecture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pipeline is organized as five modular Jupyter notebooks executed in sequential order. Each notebook produces a clean CSV output consumed by the next stage. The architecture follows an Extract-Transform-Validate-Enrich pattern.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Data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01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 Initial Cleaning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DataDoseDataset_Cleaned.csv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02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Ingredient Cleaning &amp; Verification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DataDoseDataset_ActiveIngredient_Cleaned.csv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03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FDA Enrichment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ingredients_fda_results.csv / .json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Tradename Cleaning &amp; Validation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dataset_with_validated_tradenames.csv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05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Merge Utilities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merged_output.csv (any stage)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Notebook 01 — DataDose Initial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 raw CSV, perform first-pass standardization and dosage form normalization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pandas, numpy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Key Processing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 unused metadata columns: updated, created, new_price, id, Therapeutic_Group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Normalize 6 text fields to lowercase+stripped: activeingredient, company, form, group, route, tradename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rows with null form values (data quality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Apply typo correction map: 'caps' → 'capsule', 'power' → 'powder', 'tabs.' → 'tablet'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Consolidate ~30 free-text form variants into 6 canonical categories: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oral_solid (tablet, lozenges, film, effervescent)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oral_liquid (syrup, suspension, solution, mouth wash)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topical (gel, cream, lotion, ointment, shampoo, serum, foam)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injection (ampoule, vial, syringe, pen)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drops (eye/ear/oral/nasal/mouth drops)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capsule, powder, suppository, spray, patch (kept as-is)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Notebook 02 — Active Ingredient Cleaning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Parse and canonicalize active ingredient strings; optional fuzzy/LLM verification against reference list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DataDoseDataset_ActiveIngredient_Cleaned.csv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pandas, numpy, re, difflib, requests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Core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decode_encoded_tokens() — resolves placeholder tokens back to ingredient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apply_spell_fix() — corrects known pharmaceutical misspellings from a curated dictionary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normalize_text() — strips dosage amounts, units, parenthetical notes, and special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normalize_omega() — expands omega shorthand (e.g. omega-3-6-9 → omega 3 + omega 6 + omega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B-vitamin expansion — b12 → cobalamin, b9 → folic acid, b1 → thiamine,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is_cosmetic_entry() — filters out non-pharmaceutical entries (cosmetics, food additives)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clean_active_ingredient() — orchestrates full cleaning pipeline per ingredient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fuzzy_match_ingredient() — difflib sequence matching against optional reference list (threshold: 0.85)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verify_ingredients() — batch verification with LLM scaffolding (demo: first 100 unique)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Notebook 03 — FDA Data 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 ingredients via Groq LLM and cross-reference OpenFDA drug label database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DataDoseDataset_ActiveIngredient_Cleaned.csv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Outputs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ingredients_fda_results.csv, ingredients_fda_results.json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Pipeline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 — extract_unique_ingredients(): parses all +‑separated ingredient tokens from cleaned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 — call_groq_api(): sends each ingredient to Groq LLM with structured system prompt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 validates INN status, corrects spelling, assigns confidence score (0.0–1.0)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Returns JSON: {is_drug, canonical_name, fda_search_term, rejection_reason, confidence}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 — query_openfda(): queries FDA drug/label.json endpoint for confirmed drugs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Retrieves: brand names, generic names, manufacturers, dosage forms,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 — filter_confirmed_drugs(): retains only ingredients where is_drug=true AND fda_found=true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 — run_full_pipeline(): orchestrates all steps with progress tracking and CSV/JSON export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LLM System Prompt Design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Groq system prompt enforces WHO INN standard canonicalization. Rejection criteria include: cosmetic ingredients, vague supplement terms, food or spice ingredients, and any substance not found in a recognized drug regulatory database. The model returns structured JSON only, ensuring clean programmatic parsing.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Notebook 04 — Tradename Cleaning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 packaging metadata from brand names and validate as real pharmaceutical trade names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DataDoseDataset_FinalV.csv (manually curated)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Outputs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dataset_with_validated_tradenames.csv, tradenames_validated.json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Regex Cleaning Patterns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cleaning logic uses two compiled regex patterns applied in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_DOSAGE_FORM_RE — removes 30+ dosage form terms (tablet, capsule, syrup, cream, gel, patch, etc.) including common abbreviations (tab, caps, syr., inj.)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_PACK_VOLUME_RE — removes numeric quantity+unit strings (e.g. 30 caps, 250ml, 100g, 20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_LEADING_NUMBER_RE — strips leading numeric prefixes from brand name strings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Example transformation: "Amoxicillin Capsule 250mg 30 caps" → "Amoxicillin 250mg"</w:t>
      </w:r>
    </w:p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LLM Validation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regex cleaning, each trade name is optionally submitted to the Groq LLM for pharmaceutical brand verification. The model returns is_tradename (boolean), canonical_name (correct capitalization), confidence score, and rejection notes. Results below the configurable CONFIDENCE_THRESHOLD (default: 0.85) are excluded from the final export.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Notebook 05 — CSV Merge Utilities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general-purpose, pipeline-independent utility notebook providing two merge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merge_csv_files(folder_path, output_file, skip_pattern) — concatenates all CSV files in a directory via pd.concat, with optional filename exclusion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batch_merge_folders(folder_specs) — processes multiple input/output folder pairs in a single call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utilities support consolidation of chunked outputs from any pipeline stage and are particularly useful when processing is distributed across multiple Colab sessions or API batches.</w:t>
      </w:r>
    </w:p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Technology Stack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All processing and orchestration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Data Wrangling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pandas, numpy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Loading, cleaning, transforming tabular data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Text Matching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difflib, re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Fuzzy reference matching, regex-based cleaning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HTTP Client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API calls to Groq and OpenFDA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Serialization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json, csv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Reading/writing intermediate and final outputs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File Ops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glob, os, pathlib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CSV discovery and merge operations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Colab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Cloud execution, Drive-based storage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Groq (llama-3.1-8b-instant)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Ingredient/trade-name validation and INN canonicalization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 Data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OpenFDA drug/label.json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Brand names, manufacturers, dosage forms for confirmed drugs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Configuration Reference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user-configurable parameters are defined at the top of each notebook. The table below provides a complete reference for all variables, their defaults, and their purposes.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BASE_DIR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01, 02, 03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.../DataDoseDepi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Root folder for inputs/outputs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BASE_DIR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.../Tradename Clean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Separate root for notebook 04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GROQ_API_KEYS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02, 03, 04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[] (empty)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Groq API key list — LLM steps no-op until populated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GROQ_MODEL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02, 03, 04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llama-3.1-8b-instant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LLM model for validation calls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OPENFDA_API_KEY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"" (empty)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Optional key for higher OpenFDA rate limits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CONFIDENCE_THRESHOLD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0.85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LLM confidence to keep a validated trade name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fuzzy threshold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0.85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difflib ratio to accept a reference match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sample_size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03, 04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16"/>
                <w:szCs w:val="16"/>
              </w:rPr>
              <w:t xml:space="preserve">10 / 100</w:t>
            </w:r>
          </w:p>
        </w:tc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Demo batch size (increase for production runs)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Installation &amp;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3 with pandas, numpy, requests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Colab (recommended) or local Jupyter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 input file: DataDoseDataset.csv with activeingredient and form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Groq API key (optional) — required for LLM-based validation in notebooks 02, 03, 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OpenFDA API key (optional) — improves rate limits in notebook 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Curated DataDoseDataset_FinalV.csv (optional) — required only for notebook 04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Quick Start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these steps to run the full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 — Upload notebooks to Google Colab or a Jupyter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 — Mount Google Drive and update BASE_DIR in each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 — Install dependencies if running locally: pip install pandas numpy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 — Add API keys in notebooks 02, 03, and 04 (GROQ_API_KEYS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 — Run notebooks in order: 01 → 02 → 03 → 04 (optional) → 05 (as needed)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Common Usage Examples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Clean a single ingredient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clean_active_ingredient("Vit. B Complex + Vitamin C 500mg Tablet")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→ normalizes B-complex, strips dose units, splits on '+'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Clean a trade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clean_tradename_text("Amoxicillin Capsule 250mg 30 caps")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→ 'Amoxicillin 250mg'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Run FDA enrichment on a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results = run_full_pipeline(sample_size=20)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Merge CSV outputs from a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result = merge_csv_files(</w:t>
            </w:r>
          </w:p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    folder_path="/content/drive/MyDrive/DataDoseDepi/DataSets",</w:t>
            </w:r>
          </w:p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    output_file="merged_output.csv",</w:t>
            </w:r>
          </w:p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    skip_pattern="merged"</w:t>
            </w:r>
          </w:p>
          <w:p>
            <w:r>
              <w:rPr>
                <w:rFonts w:ascii="Courier New" w:cs="Courier New" w:eastAsia="Courier New" w:hAnsi="Courier New"/>
                <w:color w:val="1ABC9C"/>
                <w:sz w:val="20"/>
                <w:szCs w:val="20"/>
              </w:rPr>
              <w:t xml:space="preserve">)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86C1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Known Limitations &amp; Design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API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 validation in notebooks 02–04 is a no-op when GROQ_API_KEYS is empty — regex cleaning still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OpenFDA queries work without an API key but are rate-limited; a key raises this threshold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Groq API availability and model behavior may change; the llama-3.1-8b-instant model is subject to provider updates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Sample Size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run_full_pipeline() defaults to sample_size=10 as a demo guard — increase for production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verify_ingredients() in notebook 02 processes only the first 100 unique ingredients in the current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run_tradename_pipeline() processes df.head(sample_size) rows — full dataset requires increasing this parameter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Data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CSV must contain an activeingredient column (accepts: activeingredient, ActiveIngredient, active_ingredient, ingredients, Ingredients)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Notebook 04 expects a separately curated DataDoseDataset_FinalV.csv not automatically produced by notebooks 01–03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merge_csv_files() uses pd.concat without column alignment — inconsistent schemas across files may produce NaN-filled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Drug confirmation threshold in notebook 03 requires BOTH Groq is_drug=true AND OpenFDA fda_found=true — either alone is insufficient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Hardcoded Paths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BASE_DIR paths are hardcoded for Google Colab / Google Drive. Users running in other environments must update these paths at the top of each notebook before execution.</w:t>
      </w:r>
    </w:p>
    <w:p>
      <w:pPr>
        <w:pageBreakBefore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D6D7E"/>
        <w:sz w:val="16"/>
        <w:szCs w:val="16"/>
      </w:rPr>
      <w:t xml:space="preserve">Confidential — DataDose DEPI Initiative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of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D6D7E"/>
        <w:sz w:val="18"/>
        <w:szCs w:val="18"/>
      </w:rPr>
      <w:t xml:space="preserve">DataDose Cleaning &amp; Enrichment Pipeline</w:t>
    </w:r>
    <w:r>
      <w:rPr>
        <w:rFonts w:ascii="Arial" w:cs="Arial" w:eastAsia="Arial" w:hAnsi="Arial"/>
        <w:color w:val="2E86C1"/>
        <w:sz w:val="18"/>
        <w:szCs w:val="18"/>
      </w:rPr>
      <w:t xml:space="preserve">	Technical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2E86C1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rFonts w:ascii="Arial" w:cs="Arial" w:eastAsia="Arial" w:hAnsi="Arial"/>
        <w:color w:val="5D6D7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BC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2026-06-22T21:37:47.789Z</dcterms:created>
  <dcterms:modified xsi:type="dcterms:W3CDTF">2026-06-22T21:37:47.789Z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