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Minutes of Meeting (MOM)</w:t>
      </w:r>
    </w:p>
    <w:p>
      <w:pPr>
        <w:pStyle w:val="Heading2"/>
      </w:pPr>
      <w:r>
        <w:t>Meeting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General Accounting Architecture (GL)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December 19, 2022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03:00 PM – 06:00 PM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Finance Module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AL Gosaibi Co.</w:t>
            </w:r>
          </w:p>
        </w:tc>
      </w:tr>
    </w:tbl>
    <w:p>
      <w:pPr>
        <w:pStyle w:val="Heading2"/>
      </w:pPr>
      <w:r>
        <w:t>Attendees</w:t>
      </w:r>
    </w:p>
    <w:p>
      <w:pPr>
        <w:pStyle w:val="ListBullet"/>
      </w:pPr>
      <w:r>
        <w:t>Mohmed Adel – Presales Lead Consultant (Onsite)</w:t>
      </w:r>
    </w:p>
    <w:p>
      <w:pPr>
        <w:pStyle w:val="ListBullet"/>
      </w:pPr>
      <w:r>
        <w:t>Mina Botros – Financial Experienced Consultant</w:t>
      </w:r>
    </w:p>
    <w:p>
      <w:pPr>
        <w:pStyle w:val="ListBullet"/>
      </w:pPr>
      <w:r>
        <w:t>Mahmoud Adly – Financial Consultant</w:t>
      </w:r>
    </w:p>
    <w:p>
      <w:pPr>
        <w:pStyle w:val="ListBullet"/>
      </w:pPr>
      <w:r>
        <w:t>Ahmed Abdel Gawad – Financial Consultant</w:t>
      </w:r>
    </w:p>
    <w:p>
      <w:pPr>
        <w:pStyle w:val="ListBullet"/>
      </w:pPr>
      <w:r>
        <w:t>Al Gosaibi’s Head of Finance</w:t>
      </w:r>
    </w:p>
    <w:p>
      <w:pPr>
        <w:pStyle w:val="ListBullet"/>
      </w:pPr>
      <w:r>
        <w:t>Al Gosaibi’s CEO</w:t>
      </w:r>
    </w:p>
    <w:p>
      <w:pPr>
        <w:pStyle w:val="Heading2"/>
      </w:pPr>
      <w:r>
        <w:t>A. Organizational Structure</w:t>
      </w:r>
    </w:p>
    <w:p>
      <w:r>
        <w:t>AL Gosaibi has five legal entities, five ledgers, and eight business units.</w:t>
      </w:r>
    </w:p>
    <w:p>
      <w:pPr>
        <w:pStyle w:val="ListNumber"/>
      </w:pPr>
      <w:r>
        <w:t>Al-Gosaibi Trading Company (Active) – 4 Business Units: Pharma, Medical, Veterinary, Logistic Service</w:t>
      </w:r>
    </w:p>
    <w:p>
      <w:pPr>
        <w:pStyle w:val="ListNumber"/>
      </w:pPr>
      <w:r>
        <w:t>FNN (Not Active)</w:t>
      </w:r>
    </w:p>
    <w:p>
      <w:pPr>
        <w:pStyle w:val="ListNumber"/>
      </w:pPr>
      <w:r>
        <w:t>Naqaa (Not Active)</w:t>
      </w:r>
    </w:p>
    <w:p>
      <w:pPr>
        <w:pStyle w:val="ListNumber"/>
      </w:pPr>
      <w:r>
        <w:t>Marsa (Not Active)</w:t>
      </w:r>
    </w:p>
    <w:p>
      <w:pPr>
        <w:pStyle w:val="ListNumber"/>
      </w:pPr>
      <w:r>
        <w:t>Al Khomasia (Not Active)</w:t>
      </w:r>
    </w:p>
    <w:p>
      <w:r>
        <w:t>No consolidation or intercompany transactions between legal entities.</w:t>
      </w:r>
    </w:p>
    <w:p>
      <w:pPr>
        <w:pStyle w:val="Heading2"/>
      </w:pPr>
      <w:r>
        <w:t>B. Chart of Accounts Structure</w:t>
      </w:r>
    </w:p>
    <w:p>
      <w:r>
        <w:t>Structure: Company &gt; LOB &gt; Account &gt; Cost Center &gt; Location &gt; Product &gt; Future 1 &gt; Future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#</w:t>
            </w:r>
          </w:p>
        </w:tc>
        <w:tc>
          <w:tcPr>
            <w:tcW w:type="dxa" w:w="2160"/>
          </w:tcPr>
          <w:p>
            <w:r>
              <w:t>Segment Name</w:t>
            </w:r>
          </w:p>
        </w:tc>
        <w:tc>
          <w:tcPr>
            <w:tcW w:type="dxa" w:w="2160"/>
          </w:tcPr>
          <w:p>
            <w:r>
              <w:t>Digits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Company Code (01)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Line of Business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 Pharma | 200 Medical | 300 Veterinary | 400 Logistics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Account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By Account Nature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Cost Center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By Department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By Brand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Future 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Future 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C. Calendar and Accounting Method</w:t>
      </w:r>
    </w:p>
    <w:p>
      <w:r>
        <w:t>• Fiscal year: January to December (12 periods) plus one adjustment period dated Dec 31.</w:t>
      </w:r>
    </w:p>
    <w:p>
      <w:r>
        <w:t>• Accounting Method: Accrual Basis.</w:t>
      </w:r>
    </w:p>
    <w:p>
      <w:pPr>
        <w:pStyle w:val="Heading2"/>
      </w:pPr>
      <w:r>
        <w:t>D. Functional Currency &amp; Revaluation</w:t>
      </w:r>
    </w:p>
    <w:p>
      <w:r>
        <w:t>• Functional Currency: SAR.</w:t>
      </w:r>
    </w:p>
    <w:p>
      <w:r>
        <w:t>• Foreign currencies are revaluated at each monthly closing.</w:t>
      </w:r>
    </w:p>
    <w:p>
      <w:pPr>
        <w:pStyle w:val="Heading2"/>
      </w:pPr>
      <w:r>
        <w:t>E. Other Topics</w:t>
      </w:r>
    </w:p>
    <w:p>
      <w:r>
        <w:t>• Workflow approvals applied on GL manual journal entries based on preapproved limits (Grant of Authority).</w:t>
      </w:r>
    </w:p>
    <w:p>
      <w:pPr>
        <w:pStyle w:val="Heading2"/>
      </w:pPr>
      <w:r>
        <w:t>F. Action Plan</w:t>
      </w:r>
    </w:p>
    <w:p>
      <w:pPr>
        <w:pStyle w:val="ListBullet"/>
      </w:pPr>
      <w:r>
        <w:t>Commercial register to be provided by management.</w:t>
      </w:r>
    </w:p>
    <w:p>
      <w:pPr>
        <w:pStyle w:val="ListBullet"/>
      </w:pPr>
      <w:r>
        <w:t>Chart of Accounts (COA) to be finalized and provided by management.</w:t>
      </w:r>
    </w:p>
    <w:p>
      <w:pPr>
        <w:pStyle w:val="ListBullet"/>
      </w:pPr>
      <w:r>
        <w:t>Management to confirm proposed segment structure.</w:t>
      </w:r>
    </w:p>
    <w:p>
      <w:pPr>
        <w:pStyle w:val="ListBullet"/>
      </w:pPr>
      <w:r>
        <w:t>Raya to share COA sheet after confirmation.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