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5B1A6B"/>
          <w:sz w:val="56"/>
          <w:szCs w:val="56"/>
        </w:rPr>
        <w:t xml:space="preserve">HR ANALYTICS REPORT</w:t>
      </w:r>
    </w:p>
    <w:p>
      <w:pPr>
        <w:spacing w:after="120"/>
        <w:jc w:val="center"/>
      </w:pPr>
      <w:r>
        <w:rPr>
          <w:rFonts w:ascii="Arial" w:cs="Arial" w:eastAsia="Arial" w:hAnsi="Arial"/>
          <w:color w:val="7B2D8B"/>
          <w:sz w:val="32"/>
          <w:szCs w:val="32"/>
        </w:rPr>
        <w:t xml:space="preserve">Workforce Insights &amp; Attrition Analysis</w:t>
      </w:r>
    </w:p>
    <w:p>
      <w:pPr>
        <w:spacing w:after="1200"/>
        <w:jc w:val="center"/>
      </w:pPr>
      <w:r>
        <w:rPr>
          <w:rFonts w:ascii="Arial" w:cs="Arial" w:eastAsia="Arial" w:hAnsi="Arial"/>
          <w:color w:val="999999"/>
          <w:sz w:val="22"/>
          <w:szCs w:val="22"/>
        </w:rPr>
        <w:t xml:space="preserve">Dataset: 1,480 Employees  |  38 Features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Total Employees</w:t>
            </w:r>
          </w:p>
        </w:tc>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1,480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Attrition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 (238 employees left)</w:t>
            </w:r>
          </w:p>
        </w:tc>
      </w:tr>
      <w:tr>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Total Monthly Payroll</w:t>
            </w:r>
          </w:p>
        </w:tc>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$9.63 Million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Average Monthly Salary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$6,505</w:t>
            </w:r>
          </w:p>
        </w:tc>
      </w:tr>
      <w:tr>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Average Employee Age</w:t>
            </w:r>
          </w:p>
        </w:tc>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37 years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Gender Split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60% Male / 40% Female</w:t>
            </w:r>
          </w:p>
        </w:tc>
      </w:tr>
      <w:tr>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Largest Department</w:t>
            </w:r>
          </w:p>
        </w:tc>
        <w:tc>
          <w:tcPr>
            <w:tcW w:type="dxa" w:w="468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Research &amp; Development (65%)</w:t>
            </w:r>
          </w:p>
        </w:tc>
      </w:tr>
    </w:tbl>
    <w:p>
      <w:pPr>
        <w:spacing w:after="600"/>
      </w:pPr>
    </w:p>
    <w:p>
      <w:pPr>
        <w:pStyle w:val="Heading1"/>
        <w:spacing w:after="200" w:before="400"/>
      </w:pPr>
      <w:r>
        <w:rPr>
          <w:rFonts w:ascii="Arial" w:cs="Arial" w:eastAsia="Arial" w:hAnsi="Arial"/>
          <w:b/>
          <w:bCs/>
          <w:color w:val="5B1A6B"/>
          <w:sz w:val="32"/>
          <w:szCs w:val="32"/>
        </w:rPr>
        <w:t xml:space="preserve">1. Executive Summary</w:t>
      </w:r>
    </w:p>
    <w:p>
      <w:pPr>
        <w:spacing w:after="120"/>
      </w:pPr>
      <w:r>
        <w:rPr>
          <w:rFonts w:ascii="Arial" w:cs="Arial" w:eastAsia="Arial" w:hAnsi="Arial"/>
          <w:b w:val="false"/>
          <w:bCs w:val="false"/>
          <w:sz w:val="22"/>
          <w:szCs w:val="22"/>
        </w:rPr>
        <w:t xml:space="preserve">This report presents a comprehensive analysis of the company's human resources data, covering 1,480 employees across three departments. The primary objectives are to understand workforce composition, identify attrition drivers, and provide actionable recommendations to improve employee retention and HR strategy.</w:t>
      </w:r>
    </w:p>
    <w:p>
      <w:pPr>
        <w:spacing w:after="120"/>
      </w:pPr>
      <w:r>
        <w:rPr>
          <w:rFonts w:ascii="Arial" w:cs="Arial" w:eastAsia="Arial" w:hAnsi="Arial"/>
          <w:b w:val="false"/>
          <w:bCs w:val="false"/>
          <w:sz w:val="22"/>
          <w:szCs w:val="22"/>
        </w:rPr>
        <w:t xml:space="preserve">The overall attrition rate stands at 16%, with 238 employees having left the organization. This figure represents a meaningful challenge, particularly in the Sales department and among younger employees (18–25 age group). The findings outlined in this report are derived directly from the HR Analytics dataset and are visualized in the accompanying Excel dashboard.</w:t>
      </w:r>
    </w:p>
    <w:p>
      <w:pPr>
        <w:pStyle w:val="Heading1"/>
        <w:spacing w:after="200" w:before="400"/>
      </w:pPr>
      <w:r>
        <w:rPr>
          <w:rFonts w:ascii="Arial" w:cs="Arial" w:eastAsia="Arial" w:hAnsi="Arial"/>
          <w:b/>
          <w:bCs/>
          <w:color w:val="5B1A6B"/>
          <w:sz w:val="32"/>
          <w:szCs w:val="32"/>
        </w:rPr>
        <w:t xml:space="preserve">2. Workforce Composition</w:t>
      </w:r>
    </w:p>
    <w:p>
      <w:pPr>
        <w:pStyle w:val="Heading2"/>
        <w:spacing w:after="150" w:before="300"/>
      </w:pPr>
      <w:r>
        <w:rPr>
          <w:rFonts w:ascii="Arial" w:cs="Arial" w:eastAsia="Arial" w:hAnsi="Arial"/>
          <w:b/>
          <w:bCs/>
          <w:color w:val="7B2D8B"/>
          <w:sz w:val="26"/>
          <w:szCs w:val="26"/>
        </w:rPr>
        <w:t xml:space="preserve">2.1 Department Distribution</w:t>
      </w:r>
    </w:p>
    <w:p>
      <w:pPr>
        <w:spacing w:after="120"/>
      </w:pPr>
      <w:r>
        <w:rPr>
          <w:rFonts w:ascii="Arial" w:cs="Arial" w:eastAsia="Arial" w:hAnsi="Arial"/>
          <w:b w:val="false"/>
          <w:bCs w:val="false"/>
          <w:sz w:val="22"/>
          <w:szCs w:val="22"/>
        </w:rPr>
        <w:t xml:space="preserve">The company's workforce is heavily concentrated in the Research &amp; Development (R&amp;D) department, which accounts for 65% of all employees. Sales represents 31% and Human Resources the remaining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Employees</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Workforce</w:t>
            </w:r>
          </w:p>
        </w:tc>
      </w:tr>
      <w:tr>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Research &amp; Development</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967</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65%</w:t>
            </w:r>
          </w:p>
        </w:tc>
      </w:tr>
      <w:tr>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Sales</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450</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w:t>
            </w:r>
          </w:p>
        </w:tc>
      </w:tr>
      <w:tr>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Human Resources</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63</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4%</w:t>
            </w:r>
          </w:p>
        </w:tc>
      </w:tr>
    </w:tbl>
    <w:p>
      <w:pPr>
        <w:spacing w:after="200"/>
      </w:pPr>
    </w:p>
    <w:p>
      <w:pPr>
        <w:pStyle w:val="Heading2"/>
        <w:spacing w:after="150" w:before="300"/>
      </w:pPr>
      <w:r>
        <w:rPr>
          <w:rFonts w:ascii="Arial" w:cs="Arial" w:eastAsia="Arial" w:hAnsi="Arial"/>
          <w:b/>
          <w:bCs/>
          <w:color w:val="7B2D8B"/>
          <w:sz w:val="26"/>
          <w:szCs w:val="26"/>
        </w:rPr>
        <w:t xml:space="preserve">2.2 Age Group Distribution</w:t>
      </w:r>
    </w:p>
    <w:p>
      <w:pPr>
        <w:spacing w:after="120"/>
      </w:pPr>
      <w:r>
        <w:rPr>
          <w:rFonts w:ascii="Arial" w:cs="Arial" w:eastAsia="Arial" w:hAnsi="Arial"/>
          <w:b w:val="false"/>
          <w:bCs w:val="false"/>
          <w:sz w:val="22"/>
          <w:szCs w:val="22"/>
        </w:rPr>
        <w:t xml:space="preserve">The workforce skews toward mid-career professionals. The 26–35 age group is the largest cohort (611 employees, 41%), followed by 36–45 (471 employees, 32%). Only 123 employees fall in the 18–25 bracket, while 47 employees are 55 or 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312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12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18–25</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123</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26–35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41%</w:t>
            </w:r>
          </w:p>
        </w:tc>
      </w:tr>
      <w:tr>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36–45</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471</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32%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46–55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47</w:t>
            </w:r>
          </w:p>
        </w:tc>
        <w:tc>
          <w:tcPr>
            <w:tcW w:type="dxa" w:w="3120"/>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3%</w:t>
            </w:r>
          </w:p>
        </w:tc>
      </w:tr>
    </w:tbl>
    <w:p>
      <w:pPr>
        <w:spacing w:after="200"/>
      </w:pPr>
    </w:p>
    <w:p>
      <w:pPr>
        <w:pStyle w:val="Heading2"/>
        <w:spacing w:after="150" w:before="300"/>
      </w:pPr>
      <w:r>
        <w:rPr>
          <w:rFonts w:ascii="Arial" w:cs="Arial" w:eastAsia="Arial" w:hAnsi="Arial"/>
          <w:b/>
          <w:bCs/>
          <w:color w:val="7B2D8B"/>
          <w:sz w:val="26"/>
          <w:szCs w:val="26"/>
        </w:rPr>
        <w:t xml:space="preserve">2.3 Gender Distribution</w:t>
      </w:r>
    </w:p>
    <w:p>
      <w:pPr>
        <w:spacing w:after="120"/>
      </w:pPr>
      <w:r>
        <w:rPr>
          <w:rFonts w:ascii="Arial" w:cs="Arial" w:eastAsia="Arial" w:hAnsi="Arial"/>
          <w:b w:val="false"/>
          <w:bCs w:val="false"/>
          <w:sz w:val="22"/>
          <w:szCs w:val="22"/>
        </w:rPr>
        <w:t xml:space="preserve">The workforce is predominantly male (60%, 889 employees) compared to female (40%, 591 employees). This imbalance may warrant review in the context of DEI (Diversity, Equity &amp; Inclusion) initiatives.</w:t>
      </w:r>
    </w:p>
    <w:p>
      <w:pPr>
        <w:pStyle w:val="Heading2"/>
        <w:spacing w:after="150" w:before="300"/>
      </w:pPr>
      <w:r>
        <w:rPr>
          <w:rFonts w:ascii="Arial" w:cs="Arial" w:eastAsia="Arial" w:hAnsi="Arial"/>
          <w:b/>
          <w:bCs/>
          <w:color w:val="7B2D8B"/>
          <w:sz w:val="26"/>
          <w:szCs w:val="26"/>
        </w:rPr>
        <w:t xml:space="preserve">2.4 Education Background</w:t>
      </w:r>
    </w:p>
    <w:p>
      <w:pPr>
        <w:spacing w:after="120"/>
      </w:pPr>
      <w:r>
        <w:rPr>
          <w:rFonts w:ascii="Arial" w:cs="Arial" w:eastAsia="Arial" w:hAnsi="Arial"/>
          <w:b w:val="false"/>
          <w:bCs w:val="false"/>
          <w:sz w:val="22"/>
          <w:szCs w:val="22"/>
        </w:rPr>
        <w:t xml:space="preserve">Life Sciences is by far the most common educational background among employees, followed by Medical and Marketing. Together, Life Sciences and Medical account for 73% of the workforce's education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Education Field</w:t>
            </w:r>
          </w:p>
        </w:tc>
        <w:tc>
          <w:tcPr>
            <w:tcW w:type="dxa" w:w="3744"/>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Life Sciences</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607</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Medical</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470</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Marketing</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161</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Technical Degree</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132</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Other</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83</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Human Resources</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27</w:t>
            </w:r>
          </w:p>
        </w:tc>
      </w:tr>
    </w:tbl>
    <w:p>
      <w:pPr>
        <w:spacing w:after="200"/>
      </w:pPr>
    </w:p>
    <w:p>
      <w:pPr>
        <w:pStyle w:val="Heading1"/>
        <w:spacing w:after="200" w:before="400"/>
      </w:pPr>
      <w:r>
        <w:rPr>
          <w:rFonts w:ascii="Arial" w:cs="Arial" w:eastAsia="Arial" w:hAnsi="Arial"/>
          <w:b/>
          <w:bCs/>
          <w:color w:val="5B1A6B"/>
          <w:sz w:val="32"/>
          <w:szCs w:val="32"/>
        </w:rPr>
        <w:t xml:space="preserve">3. Attrition Analysis</w:t>
      </w:r>
    </w:p>
    <w:p>
      <w:pPr>
        <w:spacing w:after="120"/>
      </w:pPr>
      <w:r>
        <w:rPr>
          <w:rFonts w:ascii="Arial" w:cs="Arial" w:eastAsia="Arial" w:hAnsi="Arial"/>
          <w:b w:val="false"/>
          <w:bCs w:val="false"/>
          <w:sz w:val="22"/>
          <w:szCs w:val="22"/>
        </w:rPr>
        <w:t xml:space="preserve">Attrition is the most critical metric in this dataset. A 16% attrition rate means the company lost 238 employees, which carries significant costs in recruitment, onboarding, and lost institutional knowledge.</w:t>
      </w:r>
    </w:p>
    <w:p>
      <w:pPr>
        <w:pStyle w:val="Heading2"/>
        <w:spacing w:after="150" w:before="300"/>
      </w:pPr>
      <w:r>
        <w:rPr>
          <w:rFonts w:ascii="Arial" w:cs="Arial" w:eastAsia="Arial" w:hAnsi="Arial"/>
          <w:b/>
          <w:bCs/>
          <w:color w:val="7B2D8B"/>
          <w:sz w:val="26"/>
          <w:szCs w:val="26"/>
        </w:rPr>
        <w:t xml:space="preserve">3.1 Overall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r>
      <w:tr>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Active Employees</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1,242</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84%</w:t>
            </w:r>
          </w:p>
        </w:tc>
      </w:tr>
      <w:tr>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Employees Who Left (Attrition)</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238</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w:t>
            </w:r>
          </w:p>
        </w:tc>
      </w:tr>
    </w:tbl>
    <w:p>
      <w:pPr>
        <w:spacing w:after="200"/>
      </w:pPr>
    </w:p>
    <w:p>
      <w:pPr>
        <w:pStyle w:val="Heading2"/>
        <w:spacing w:after="150" w:before="300"/>
      </w:pPr>
      <w:r>
        <w:rPr>
          <w:rFonts w:ascii="Arial" w:cs="Arial" w:eastAsia="Arial" w:hAnsi="Arial"/>
          <w:b/>
          <w:bCs/>
          <w:color w:val="7B2D8B"/>
          <w:sz w:val="26"/>
          <w:szCs w:val="26"/>
        </w:rPr>
        <w:t xml:space="preserve">3.2 Key Attrition Risk Factors</w:t>
      </w:r>
    </w:p>
    <w:p>
      <w:pPr>
        <w:spacing w:after="120"/>
      </w:pPr>
      <w:r>
        <w:rPr>
          <w:rFonts w:ascii="Arial" w:cs="Arial" w:eastAsia="Arial" w:hAnsi="Arial"/>
          <w:b w:val="false"/>
          <w:bCs w:val="false"/>
          <w:sz w:val="22"/>
          <w:szCs w:val="22"/>
        </w:rPr>
        <w:t xml:space="preserve">Based on the dataset, the following factors are associated with higher attrition risk:</w:t>
      </w:r>
    </w:p>
    <w:p>
      <w:pPr>
        <w:pStyle w:val="ListParagraph"/>
        <w:numPr>
          <w:ilvl w:val="0"/>
          <w:numId w:val="2"/>
        </w:numPr>
        <w:spacing w:after="80"/>
      </w:pPr>
      <w:r>
        <w:rPr>
          <w:rFonts w:ascii="Arial" w:cs="Arial" w:eastAsia="Arial" w:hAnsi="Arial"/>
          <w:sz w:val="22"/>
          <w:szCs w:val="22"/>
        </w:rPr>
        <w:t xml:space="preserve">Young employees (18–25) show disproportionately higher attrition rates</w:t>
      </w:r>
    </w:p>
    <w:p>
      <w:pPr>
        <w:pStyle w:val="ListParagraph"/>
        <w:numPr>
          <w:ilvl w:val="0"/>
          <w:numId w:val="2"/>
        </w:numPr>
        <w:spacing w:after="80"/>
      </w:pPr>
      <w:r>
        <w:rPr>
          <w:rFonts w:ascii="Arial" w:cs="Arial" w:eastAsia="Arial" w:hAnsi="Arial"/>
          <w:sz w:val="22"/>
          <w:szCs w:val="22"/>
        </w:rPr>
        <w:t xml:space="preserve">Sales Representatives have the smallest headcount but high churn exposure</w:t>
      </w:r>
    </w:p>
    <w:p>
      <w:pPr>
        <w:pStyle w:val="ListParagraph"/>
        <w:numPr>
          <w:ilvl w:val="0"/>
          <w:numId w:val="2"/>
        </w:numPr>
        <w:spacing w:after="80"/>
      </w:pPr>
      <w:r>
        <w:rPr>
          <w:rFonts w:ascii="Arial" w:cs="Arial" w:eastAsia="Arial" w:hAnsi="Arial"/>
          <w:sz w:val="22"/>
          <w:szCs w:val="22"/>
        </w:rPr>
        <w:t xml:space="preserve">Employees who travel frequently tend to have lower work-life balance scores</w:t>
      </w:r>
    </w:p>
    <w:p>
      <w:pPr>
        <w:pStyle w:val="ListParagraph"/>
        <w:numPr>
          <w:ilvl w:val="0"/>
          <w:numId w:val="2"/>
        </w:numPr>
        <w:spacing w:after="80"/>
      </w:pPr>
      <w:r>
        <w:rPr>
          <w:rFonts w:ascii="Arial" w:cs="Arial" w:eastAsia="Arial" w:hAnsi="Arial"/>
          <w:sz w:val="22"/>
          <w:szCs w:val="22"/>
        </w:rPr>
        <w:t xml:space="preserve">Single employees and those with lower job satisfaction scores are more likely to leave</w:t>
      </w:r>
    </w:p>
    <w:p>
      <w:pPr>
        <w:pStyle w:val="ListParagraph"/>
        <w:numPr>
          <w:ilvl w:val="0"/>
          <w:numId w:val="2"/>
        </w:numPr>
        <w:spacing w:after="80"/>
      </w:pPr>
      <w:r>
        <w:rPr>
          <w:rFonts w:ascii="Arial" w:cs="Arial" w:eastAsia="Arial" w:hAnsi="Arial"/>
          <w:sz w:val="22"/>
          <w:szCs w:val="22"/>
        </w:rPr>
        <w:t xml:space="preserve">Employees in lower salary slabs (Upto 5k monthly) represent the most at-risk group</w:t>
      </w:r>
    </w:p>
    <w:p>
      <w:pPr>
        <w:pStyle w:val="Heading2"/>
        <w:spacing w:after="150" w:before="300"/>
      </w:pPr>
      <w:r>
        <w:rPr>
          <w:rFonts w:ascii="Arial" w:cs="Arial" w:eastAsia="Arial" w:hAnsi="Arial"/>
          <w:b/>
          <w:bCs/>
          <w:color w:val="7B2D8B"/>
          <w:sz w:val="26"/>
          <w:szCs w:val="26"/>
        </w:rPr>
        <w:t xml:space="preserve">3.3 Business Travel &amp; Attrition</w:t>
      </w:r>
    </w:p>
    <w:p>
      <w:pPr>
        <w:spacing w:after="120"/>
      </w:pPr>
      <w:r>
        <w:rPr>
          <w:rFonts w:ascii="Arial" w:cs="Arial" w:eastAsia="Arial" w:hAnsi="Arial"/>
          <w:b w:val="false"/>
          <w:bCs w:val="false"/>
          <w:sz w:val="22"/>
          <w:szCs w:val="22"/>
        </w:rPr>
        <w:t xml:space="preserve">The majority of employees (70%) are classified as Non-Travel or Travel_Rarely. Frequent travelers (19%) may experience higher stress and burnout, contributing to attrition risk in that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Travel Status</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808"/>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Workforce</w:t>
            </w:r>
          </w:p>
        </w:tc>
      </w:tr>
      <w:tr>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Non-Travel</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151</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10%</w:t>
            </w:r>
          </w:p>
        </w:tc>
      </w:tr>
      <w:tr>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Travel_Rarely</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1,050</w:t>
            </w:r>
          </w:p>
        </w:tc>
        <w:tc>
          <w:tcPr>
            <w:tcW w:type="dxa" w:w="280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71%</w:t>
            </w:r>
          </w:p>
        </w:tc>
      </w:tr>
      <w:tr>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Travel_Frequently</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279</w:t>
            </w:r>
          </w:p>
        </w:tc>
        <w:tc>
          <w:tcPr>
            <w:tcW w:type="dxa" w:w="2808"/>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19%</w:t>
            </w:r>
          </w:p>
        </w:tc>
      </w:tr>
    </w:tbl>
    <w:p>
      <w:pPr>
        <w:spacing w:after="200"/>
      </w:pPr>
    </w:p>
    <w:p>
      <w:pPr>
        <w:pStyle w:val="Heading1"/>
        <w:spacing w:after="200" w:before="400"/>
      </w:pPr>
      <w:r>
        <w:rPr>
          <w:rFonts w:ascii="Arial" w:cs="Arial" w:eastAsia="Arial" w:hAnsi="Arial"/>
          <w:b/>
          <w:bCs/>
          <w:color w:val="5B1A6B"/>
          <w:sz w:val="32"/>
          <w:szCs w:val="32"/>
        </w:rPr>
        <w:t xml:space="preserve">4. Compensation Analysis</w:t>
      </w:r>
    </w:p>
    <w:p>
      <w:pPr>
        <w:spacing w:after="120"/>
      </w:pPr>
      <w:r>
        <w:rPr>
          <w:rFonts w:ascii="Arial" w:cs="Arial" w:eastAsia="Arial" w:hAnsi="Arial"/>
          <w:b w:val="false"/>
          <w:bCs w:val="false"/>
          <w:sz w:val="22"/>
          <w:szCs w:val="22"/>
        </w:rPr>
        <w:t xml:space="preserve">The average monthly income across all employees is $6,505, with a total monthly payroll of $9.63 million. Compensation varies significantly by job role and department, with Research Directors and Managers commanding the highest salaries.</w:t>
      </w:r>
    </w:p>
    <w:p>
      <w:pPr>
        <w:pStyle w:val="Heading2"/>
        <w:spacing w:after="150" w:before="300"/>
      </w:pPr>
      <w:r>
        <w:rPr>
          <w:rFonts w:ascii="Arial" w:cs="Arial" w:eastAsia="Arial" w:hAnsi="Arial"/>
          <w:b/>
          <w:bCs/>
          <w:color w:val="7B2D8B"/>
          <w:sz w:val="26"/>
          <w:szCs w:val="26"/>
        </w:rPr>
        <w:t xml:space="preserve">4.1 Top Job Roles by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Job Role</w:t>
            </w:r>
          </w:p>
        </w:tc>
        <w:tc>
          <w:tcPr>
            <w:tcW w:type="dxa" w:w="3744"/>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Headcount</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Sales Executive</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329</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Research Scientist</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293</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Laboratory Technician</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261</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Manufacturing Director</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147</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Healthcare Representative</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132</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Manager</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102</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Sales Representative</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84</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Research Director</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80</w:t>
            </w:r>
          </w:p>
        </w:tc>
      </w:tr>
      <w:tr>
        <w:tc>
          <w:tcPr>
            <w:tcW w:type="dxa" w:w="5616"/>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left"/>
            </w:pPr>
            <w:r>
              <w:rPr>
                <w:rFonts w:ascii="Arial" w:cs="Arial" w:eastAsia="Arial" w:hAnsi="Arial"/>
                <w:sz w:val="20"/>
                <w:szCs w:val="20"/>
              </w:rPr>
              <w:t xml:space="preserve">Human Resources</w:t>
            </w:r>
          </w:p>
        </w:tc>
        <w:tc>
          <w:tcPr>
            <w:tcW w:type="dxa" w:w="3744"/>
            <w:tcBorders>
              <w:top w:val="single" w:color="CCCCCC" w:sz="1"/>
              <w:left w:val="single" w:color="CCCCCC" w:sz="1"/>
              <w:bottom w:val="single" w:color="CCCCCC" w:sz="1"/>
              <w:right w:val="single" w:color="CCCCCC" w:sz="1"/>
            </w:tcBorders>
            <w:shd w:fill="F9F0FC" w:val="clear"/>
            <w:tcMar>
              <w:top w:type="dxa" w:w="60"/>
              <w:left w:type="dxa" w:w="120"/>
              <w:bottom w:type="dxa" w:w="60"/>
              <w:right w:type="dxa" w:w="120"/>
            </w:tcMar>
          </w:tcPr>
          <w:p>
            <w:pPr>
              <w:jc w:val="center"/>
            </w:pPr>
            <w:r>
              <w:rPr>
                <w:rFonts w:ascii="Arial" w:cs="Arial" w:eastAsia="Arial" w:hAnsi="Arial"/>
                <w:sz w:val="20"/>
                <w:szCs w:val="20"/>
              </w:rPr>
              <w:t xml:space="preserve">52</w:t>
            </w:r>
          </w:p>
        </w:tc>
      </w:tr>
    </w:tbl>
    <w:p>
      <w:pPr>
        <w:spacing w:after="200"/>
      </w:pPr>
    </w:p>
    <w:p>
      <w:pPr>
        <w:pStyle w:val="Heading1"/>
        <w:spacing w:after="200" w:before="400"/>
      </w:pPr>
      <w:r>
        <w:rPr>
          <w:rFonts w:ascii="Arial" w:cs="Arial" w:eastAsia="Arial" w:hAnsi="Arial"/>
          <w:b/>
          <w:bCs/>
          <w:color w:val="5B1A6B"/>
          <w:sz w:val="32"/>
          <w:szCs w:val="32"/>
        </w:rPr>
        <w:t xml:space="preserve">5. Recommendations</w:t>
      </w:r>
    </w:p>
    <w:p>
      <w:pPr>
        <w:pStyle w:val="Heading2"/>
        <w:spacing w:after="150" w:before="300"/>
      </w:pPr>
      <w:r>
        <w:rPr>
          <w:rFonts w:ascii="Arial" w:cs="Arial" w:eastAsia="Arial" w:hAnsi="Arial"/>
          <w:b/>
          <w:bCs/>
          <w:color w:val="7B2D8B"/>
          <w:sz w:val="26"/>
          <w:szCs w:val="26"/>
        </w:rPr>
        <w:t xml:space="preserve">5.1 Retention Programs</w:t>
      </w:r>
    </w:p>
    <w:p>
      <w:pPr>
        <w:pStyle w:val="ListParagraph"/>
        <w:numPr>
          <w:ilvl w:val="0"/>
          <w:numId w:val="2"/>
        </w:numPr>
        <w:spacing w:after="80"/>
      </w:pPr>
      <w:r>
        <w:rPr>
          <w:rFonts w:ascii="Arial" w:cs="Arial" w:eastAsia="Arial" w:hAnsi="Arial"/>
          <w:sz w:val="22"/>
          <w:szCs w:val="22"/>
        </w:rPr>
        <w:t xml:space="preserve">Implement targeted retention programs for the 18–35 age group, particularly in Sales</w:t>
      </w:r>
    </w:p>
    <w:p>
      <w:pPr>
        <w:pStyle w:val="ListParagraph"/>
        <w:numPr>
          <w:ilvl w:val="0"/>
          <w:numId w:val="2"/>
        </w:numPr>
        <w:spacing w:after="80"/>
      </w:pPr>
      <w:r>
        <w:rPr>
          <w:rFonts w:ascii="Arial" w:cs="Arial" w:eastAsia="Arial" w:hAnsi="Arial"/>
          <w:sz w:val="22"/>
          <w:szCs w:val="22"/>
        </w:rPr>
        <w:t xml:space="preserve">Introduce structured career development pathways for Laboratory Technicians and Sales Representatives who show high attrition risk</w:t>
      </w:r>
    </w:p>
    <w:p>
      <w:pPr>
        <w:pStyle w:val="ListParagraph"/>
        <w:numPr>
          <w:ilvl w:val="0"/>
          <w:numId w:val="2"/>
        </w:numPr>
        <w:spacing w:after="80"/>
      </w:pPr>
      <w:r>
        <w:rPr>
          <w:rFonts w:ascii="Arial" w:cs="Arial" w:eastAsia="Arial" w:hAnsi="Arial"/>
          <w:sz w:val="22"/>
          <w:szCs w:val="22"/>
        </w:rPr>
        <w:t xml:space="preserve">Review compensation benchmarks for lower salary slab employees to improve retention</w:t>
      </w:r>
    </w:p>
    <w:p>
      <w:pPr>
        <w:pStyle w:val="Heading2"/>
        <w:spacing w:after="150" w:before="300"/>
      </w:pPr>
      <w:r>
        <w:rPr>
          <w:rFonts w:ascii="Arial" w:cs="Arial" w:eastAsia="Arial" w:hAnsi="Arial"/>
          <w:b/>
          <w:bCs/>
          <w:color w:val="7B2D8B"/>
          <w:sz w:val="26"/>
          <w:szCs w:val="26"/>
        </w:rPr>
        <w:t xml:space="preserve">5.2 Work-Life Balance</w:t>
      </w:r>
    </w:p>
    <w:p>
      <w:pPr>
        <w:pStyle w:val="ListParagraph"/>
        <w:numPr>
          <w:ilvl w:val="0"/>
          <w:numId w:val="2"/>
        </w:numPr>
        <w:spacing w:after="80"/>
      </w:pPr>
      <w:r>
        <w:rPr>
          <w:rFonts w:ascii="Arial" w:cs="Arial" w:eastAsia="Arial" w:hAnsi="Arial"/>
          <w:sz w:val="22"/>
          <w:szCs w:val="22"/>
        </w:rPr>
        <w:t xml:space="preserve">Evaluate the workload and travel expectations of the 279 frequently traveling employees</w:t>
      </w:r>
    </w:p>
    <w:p>
      <w:pPr>
        <w:pStyle w:val="ListParagraph"/>
        <w:numPr>
          <w:ilvl w:val="0"/>
          <w:numId w:val="2"/>
        </w:numPr>
        <w:spacing w:after="80"/>
      </w:pPr>
      <w:r>
        <w:rPr>
          <w:rFonts w:ascii="Arial" w:cs="Arial" w:eastAsia="Arial" w:hAnsi="Arial"/>
          <w:sz w:val="22"/>
          <w:szCs w:val="22"/>
        </w:rPr>
        <w:t xml:space="preserve">Introduce flexible work arrangements to reduce burnout-related attrition</w:t>
      </w:r>
    </w:p>
    <w:p>
      <w:pPr>
        <w:pStyle w:val="Heading2"/>
        <w:spacing w:after="150" w:before="300"/>
      </w:pPr>
      <w:r>
        <w:rPr>
          <w:rFonts w:ascii="Arial" w:cs="Arial" w:eastAsia="Arial" w:hAnsi="Arial"/>
          <w:b/>
          <w:bCs/>
          <w:color w:val="7B2D8B"/>
          <w:sz w:val="26"/>
          <w:szCs w:val="26"/>
        </w:rPr>
        <w:t xml:space="preserve">5.3 Diversity &amp; Inclusion</w:t>
      </w:r>
    </w:p>
    <w:p>
      <w:pPr>
        <w:pStyle w:val="ListParagraph"/>
        <w:numPr>
          <w:ilvl w:val="0"/>
          <w:numId w:val="2"/>
        </w:numPr>
        <w:spacing w:after="80"/>
      </w:pPr>
      <w:r>
        <w:rPr>
          <w:rFonts w:ascii="Arial" w:cs="Arial" w:eastAsia="Arial" w:hAnsi="Arial"/>
          <w:sz w:val="22"/>
          <w:szCs w:val="22"/>
        </w:rPr>
        <w:t xml:space="preserve">Address the 20-percentage-point gender gap through targeted hiring and promotion initiatives</w:t>
      </w:r>
    </w:p>
    <w:p>
      <w:pPr>
        <w:pStyle w:val="ListParagraph"/>
        <w:numPr>
          <w:ilvl w:val="0"/>
          <w:numId w:val="2"/>
        </w:numPr>
        <w:spacing w:after="80"/>
      </w:pPr>
      <w:r>
        <w:rPr>
          <w:rFonts w:ascii="Arial" w:cs="Arial" w:eastAsia="Arial" w:hAnsi="Arial"/>
          <w:sz w:val="22"/>
          <w:szCs w:val="22"/>
        </w:rPr>
        <w:t xml:space="preserve">Expand education field diversity beyond Life Sciences and Medical backgrounds</w:t>
      </w:r>
    </w:p>
    <w:p>
      <w:pPr>
        <w:pStyle w:val="Heading2"/>
        <w:spacing w:after="150" w:before="300"/>
      </w:pPr>
      <w:r>
        <w:rPr>
          <w:rFonts w:ascii="Arial" w:cs="Arial" w:eastAsia="Arial" w:hAnsi="Arial"/>
          <w:b/>
          <w:bCs/>
          <w:color w:val="7B2D8B"/>
          <w:sz w:val="26"/>
          <w:szCs w:val="26"/>
        </w:rPr>
        <w:t xml:space="preserve">5.4 Monitoring &amp; Reporting</w:t>
      </w:r>
    </w:p>
    <w:p>
      <w:pPr>
        <w:pStyle w:val="ListParagraph"/>
        <w:numPr>
          <w:ilvl w:val="0"/>
          <w:numId w:val="2"/>
        </w:numPr>
        <w:spacing w:after="80"/>
      </w:pPr>
      <w:r>
        <w:rPr>
          <w:rFonts w:ascii="Arial" w:cs="Arial" w:eastAsia="Arial" w:hAnsi="Arial"/>
          <w:sz w:val="22"/>
          <w:szCs w:val="22"/>
        </w:rPr>
        <w:t xml:space="preserve">Establish a quarterly HR dashboard review with senior leadership</w:t>
      </w:r>
    </w:p>
    <w:p>
      <w:pPr>
        <w:pStyle w:val="ListParagraph"/>
        <w:numPr>
          <w:ilvl w:val="0"/>
          <w:numId w:val="2"/>
        </w:numPr>
        <w:spacing w:after="80"/>
      </w:pPr>
      <w:r>
        <w:rPr>
          <w:rFonts w:ascii="Arial" w:cs="Arial" w:eastAsia="Arial" w:hAnsi="Arial"/>
          <w:sz w:val="22"/>
          <w:szCs w:val="22"/>
        </w:rPr>
        <w:t xml:space="preserve">Integrate exit interview data to enrich the attrition analysis with qualitative insights</w:t>
      </w:r>
    </w:p>
    <w:p>
      <w:pPr>
        <w:pStyle w:val="ListParagraph"/>
        <w:numPr>
          <w:ilvl w:val="0"/>
          <w:numId w:val="2"/>
        </w:numPr>
        <w:spacing w:after="80"/>
      </w:pPr>
      <w:r>
        <w:rPr>
          <w:rFonts w:ascii="Arial" w:cs="Arial" w:eastAsia="Arial" w:hAnsi="Arial"/>
          <w:sz w:val="22"/>
          <w:szCs w:val="22"/>
        </w:rPr>
        <w:t xml:space="preserve">Build a predictive attrition model using variables like JobSatisfaction, OverTime, and YearsAtCompany</w:t>
      </w:r>
    </w:p>
    <w:p>
      <w:pPr>
        <w:pStyle w:val="Heading1"/>
        <w:spacing w:after="200" w:before="400"/>
      </w:pPr>
      <w:r>
        <w:rPr>
          <w:rFonts w:ascii="Arial" w:cs="Arial" w:eastAsia="Arial" w:hAnsi="Arial"/>
          <w:b/>
          <w:bCs/>
          <w:color w:val="5B1A6B"/>
          <w:sz w:val="32"/>
          <w:szCs w:val="32"/>
        </w:rPr>
        <w:t xml:space="preserve">6. Conclusion</w:t>
      </w:r>
    </w:p>
    <w:p>
      <w:pPr>
        <w:spacing w:after="120"/>
      </w:pPr>
      <w:r>
        <w:rPr>
          <w:rFonts w:ascii="Arial" w:cs="Arial" w:eastAsia="Arial" w:hAnsi="Arial"/>
          <w:b w:val="false"/>
          <w:bCs w:val="false"/>
          <w:sz w:val="22"/>
          <w:szCs w:val="22"/>
        </w:rPr>
        <w:t xml:space="preserve">This HR analytics project demonstrates the power of data-driven decision-making in workforce management. With a 16% attrition rate and identifiable risk patterns across age groups, departments, and job roles, the organization has clear opportunities to intervene and improve employee retention.</w:t>
      </w:r>
    </w:p>
    <w:p>
      <w:pPr>
        <w:spacing w:after="120"/>
      </w:pPr>
      <w:r>
        <w:rPr>
          <w:rFonts w:ascii="Arial" w:cs="Arial" w:eastAsia="Arial" w:hAnsi="Arial"/>
          <w:b w:val="false"/>
          <w:bCs w:val="false"/>
          <w:sz w:val="22"/>
          <w:szCs w:val="22"/>
        </w:rPr>
        <w:t xml:space="preserve">The Excel dashboard accompanying this report provides an interactive interface for HR teams to explore data by gender, department, and age group in real time. Continued investment in analytics capabilities will help the company move from reactive to proactive talent management.</w:t>
      </w:r>
    </w:p>
    <w:p>
      <w:pPr>
        <w:spacing w:after="400"/>
      </w:pPr>
    </w:p>
    <w:p>
      <w:pPr>
        <w:jc w:val="center"/>
      </w:pPr>
      <w:r>
        <w:rPr>
          <w:rFonts w:ascii="Arial" w:cs="Arial" w:eastAsia="Arial" w:hAnsi="Arial"/>
          <w:color w:val="AAAAAA"/>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pgNum/>
    <w:r>
      <w:rPr>
        <w:rFonts w:ascii="Arial" w:cs="Arial" w:eastAsia="Arial" w:hAnsi="Arial"/>
        <w:color w:val="888888"/>
        <w:sz w:val="18"/>
        <w:szCs w:val="18"/>
      </w:rPr>
      <w:t xml:space="preserve">  |  HR Analytics Project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HR Analytics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B1A6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7B2D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2026-05-24T18:31:01.456Z</dcterms:created>
  <dcterms:modified xsi:type="dcterms:W3CDTF">2026-05-24T18:31:01.456Z</dcterms:modified>
</cp:coreProperties>
</file>

<file path=docProps/custom.xml><?xml version="1.0" encoding="utf-8"?>
<Properties xmlns="http://schemas.openxmlformats.org/officeDocument/2006/custom-properties" xmlns:vt="http://schemas.openxmlformats.org/officeDocument/2006/docPropsVTypes"/>
</file>