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DA1F2"/>
          <w:sz w:val="52"/>
          <w:szCs w:val="52"/>
        </w:rPr>
        <w:t xml:space="preserve">TWITTER ANALYTICS REPORT</w:t>
      </w:r>
    </w:p>
    <w:p>
      <w:pPr>
        <w:spacing w:after="120"/>
        <w:jc w:val="center"/>
      </w:pPr>
      <w:r>
        <w:rPr>
          <w:rFonts w:ascii="Arial" w:cs="Arial" w:eastAsia="Arial" w:hAnsi="Arial"/>
          <w:color w:val="0D47A1"/>
          <w:sz w:val="30"/>
          <w:szCs w:val="30"/>
        </w:rPr>
        <w:t xml:space="preserve">Tweet Performance, Engagement &amp; Media Analysis</w:t>
      </w:r>
    </w:p>
    <w:p>
      <w:pPr>
        <w:spacing w:after="1200"/>
        <w:jc w:val="center"/>
      </w:pPr>
      <w:r>
        <w:rPr>
          <w:rFonts w:ascii="Arial" w:cs="Arial" w:eastAsia="Arial" w:hAnsi="Arial"/>
          <w:color w:val="888888"/>
          <w:sz w:val="22"/>
          <w:szCs w:val="22"/>
        </w:rPr>
        <w:t xml:space="preserve">Dataset: 1,166 Tweets  |  June–October 2020  |  21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1DA1F2" w:sz="1"/>
              <w:left w:val="single" w:color="1DA1F2" w:sz="1"/>
              <w:bottom w:val="single" w:color="1DA1F2" w:sz="1"/>
              <w:right w:val="single" w:color="1DA1F2" w:sz="1"/>
            </w:tcBorders>
            <w:shd w:fill="1DA1F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744"/>
            <w:tcBorders>
              <w:top w:val="single" w:color="1DA1F2" w:sz="1"/>
              <w:left w:val="single" w:color="1DA1F2" w:sz="1"/>
              <w:bottom w:val="single" w:color="1DA1F2" w:sz="1"/>
              <w:right w:val="single" w:color="1DA1F2" w:sz="1"/>
            </w:tcBorders>
            <w:shd w:fill="1DA1F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5616"/>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left"/>
            </w:pPr>
            <w:r>
              <w:rPr>
                <w:rFonts w:ascii="Arial" w:cs="Arial" w:eastAsia="Arial" w:hAnsi="Arial"/>
                <w:sz w:val="20"/>
                <w:szCs w:val="20"/>
              </w:rPr>
              <w:t xml:space="preserve">Total Tweets (full dataset)</w:t>
            </w:r>
          </w:p>
        </w:tc>
        <w:tc>
          <w:tcPr>
            <w:tcW w:type="dxa" w:w="3744"/>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1,166</w:t>
            </w:r>
          </w:p>
        </w:tc>
      </w:tr>
      <w:tr>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Tweets in August</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218</w:t>
            </w:r>
          </w:p>
        </w:tc>
      </w:tr>
      <w:tr>
        <w:tc>
          <w:tcPr>
            <w:tcW w:type="dxa" w:w="5616"/>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left"/>
            </w:pPr>
            <w:r>
              <w:rPr>
                <w:rFonts w:ascii="Arial" w:cs="Arial" w:eastAsia="Arial" w:hAnsi="Arial"/>
                <w:sz w:val="20"/>
                <w:szCs w:val="20"/>
              </w:rPr>
              <w:t xml:space="preserve">Average Impressions per Tweet</w:t>
            </w:r>
          </w:p>
        </w:tc>
        <w:tc>
          <w:tcPr>
            <w:tcW w:type="dxa" w:w="3744"/>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782</w:t>
            </w:r>
          </w:p>
        </w:tc>
      </w:tr>
      <w:tr>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AVG Engagement Rate</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3.64%</w:t>
            </w:r>
          </w:p>
        </w:tc>
      </w:tr>
      <w:tr>
        <w:tc>
          <w:tcPr>
            <w:tcW w:type="dxa" w:w="5616"/>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left"/>
            </w:pPr>
            <w:r>
              <w:rPr>
                <w:rFonts w:ascii="Arial" w:cs="Arial" w:eastAsia="Arial" w:hAnsi="Arial"/>
                <w:sz w:val="20"/>
                <w:szCs w:val="20"/>
              </w:rPr>
              <w:t xml:space="preserve">Avg Media Engagements</w:t>
            </w:r>
          </w:p>
        </w:tc>
        <w:tc>
          <w:tcPr>
            <w:tcW w:type="dxa" w:w="3744"/>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53</w:t>
            </w:r>
          </w:p>
        </w:tc>
      </w:tr>
      <w:tr>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Best Posting Day</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Tuesday (239 tweets)</w:t>
            </w:r>
          </w:p>
        </w:tc>
      </w:tr>
      <w:tr>
        <w:tc>
          <w:tcPr>
            <w:tcW w:type="dxa" w:w="5616"/>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left"/>
            </w:pPr>
            <w:r>
              <w:rPr>
                <w:rFonts w:ascii="Arial" w:cs="Arial" w:eastAsia="Arial" w:hAnsi="Arial"/>
                <w:sz w:val="20"/>
                <w:szCs w:val="20"/>
              </w:rPr>
              <w:t xml:space="preserve">Peak Posting Hour</w:t>
            </w:r>
          </w:p>
        </w:tc>
        <w:tc>
          <w:tcPr>
            <w:tcW w:type="dxa" w:w="3744"/>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5 PM (120 tweets)</w:t>
            </w:r>
          </w:p>
        </w:tc>
      </w:tr>
      <w:tr>
        <w:tc>
          <w:tcPr>
            <w:tcW w:type="dxa" w:w="56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Top Tweet Engagements</w:t>
            </w:r>
          </w:p>
        </w:tc>
        <w:tc>
          <w:tcPr>
            <w:tcW w:type="dxa" w:w="374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54,098</w:t>
            </w:r>
          </w:p>
        </w:tc>
      </w:tr>
    </w:tbl>
    <w:p>
      <w:pPr>
        <w:spacing w:after="200"/>
      </w:pPr>
    </w:p>
    <w:p>
      <w:pPr>
        <w:pStyle w:val="Heading1"/>
        <w:spacing w:after="200" w:before="400"/>
      </w:pPr>
      <w:r>
        <w:rPr>
          <w:rFonts w:ascii="Arial" w:cs="Arial" w:eastAsia="Arial" w:hAnsi="Arial"/>
          <w:b/>
          <w:bCs/>
          <w:color w:val="0D47A1"/>
          <w:sz w:val="32"/>
          <w:szCs w:val="32"/>
        </w:rPr>
        <w:t xml:space="preserve">1. Executive Summary</w:t>
      </w:r>
    </w:p>
    <w:p>
      <w:pPr>
        <w:spacing w:after="120"/>
      </w:pPr>
      <w:r>
        <w:rPr>
          <w:rFonts w:ascii="Arial" w:cs="Arial" w:eastAsia="Arial" w:hAnsi="Arial"/>
          <w:sz w:val="22"/>
          <w:szCs w:val="22"/>
        </w:rPr>
        <w:t xml:space="preserve">This report presents a comprehensive analysis of a Twitter account's performance between June and October 2020, covering 1,166 tweets across 21 metrics including impressions, engagements, likes, retweets, media views, and more.</w:t>
      </w:r>
    </w:p>
    <w:p>
      <w:pPr>
        <w:spacing w:after="120"/>
      </w:pPr>
      <w:r>
        <w:rPr>
          <w:rFonts w:ascii="Arial" w:cs="Arial" w:eastAsia="Arial" w:hAnsi="Arial"/>
          <w:sz w:val="22"/>
          <w:szCs w:val="22"/>
        </w:rPr>
        <w:t xml:space="preserve">Key findings show Tuesday and Thursday are the highest-volume posting days, 5 PM is the peak posting hour, and July produced the highest media engagement rates. One standout tweet generated 54,098 engagements — revealing the potential for viral content in this account's niche.</w:t>
      </w:r>
    </w:p>
    <w:p>
      <w:pPr>
        <w:pStyle w:val="Heading1"/>
        <w:spacing w:after="200" w:before="400"/>
      </w:pPr>
      <w:r>
        <w:rPr>
          <w:rFonts w:ascii="Arial" w:cs="Arial" w:eastAsia="Arial" w:hAnsi="Arial"/>
          <w:b/>
          <w:bCs/>
          <w:color w:val="0D47A1"/>
          <w:sz w:val="32"/>
          <w:szCs w:val="32"/>
        </w:rPr>
        <w:t xml:space="preserve">2. Dataset Overview</w:t>
      </w:r>
    </w:p>
    <w:p>
      <w:pPr>
        <w:spacing w:after="120"/>
      </w:pPr>
      <w:r>
        <w:rPr>
          <w:rFonts w:ascii="Arial" w:cs="Arial" w:eastAsia="Arial" w:hAnsi="Arial"/>
          <w:sz w:val="22"/>
          <w:szCs w:val="22"/>
        </w:rPr>
        <w:t xml:space="preserve">The dataset contains 1,166 clean tweet records spanning five months. Each record contains the tweet text, timestamp, and 19 performance metrics captured from Twitter Analytics.</w:t>
      </w:r>
    </w:p>
    <w:p>
      <w:pPr>
        <w:pStyle w:val="Heading2"/>
        <w:spacing w:after="140" w:before="280"/>
      </w:pPr>
      <w:r>
        <w:rPr>
          <w:rFonts w:ascii="Arial" w:cs="Arial" w:eastAsia="Arial" w:hAnsi="Arial"/>
          <w:b/>
          <w:bCs/>
          <w:color w:val="1DA1F2"/>
          <w:sz w:val="26"/>
          <w:szCs w:val="26"/>
        </w:rPr>
        <w:t xml:space="preserve">2.1 Monthly Tweet Volume</w:t>
      </w:r>
    </w:p>
    <w:tbl>
      <w:tblPr>
        <w:tblW w:type="dxa" w:w="975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106"/>
        <w:gridCol w:w="1872"/>
        <w:gridCol w:w="1872"/>
      </w:tblGrid>
      <w:tr>
        <w:trPr>
          <w:tblHeader/>
        </w:trPr>
        <w:tc>
          <w:tcPr>
            <w:tcW w:type="dxa" w:w="2340"/>
            <w:tcBorders>
              <w:top w:val="single" w:color="1DA1F2" w:sz="1"/>
              <w:left w:val="single" w:color="1DA1F2" w:sz="1"/>
              <w:bottom w:val="single" w:color="1DA1F2" w:sz="1"/>
              <w:right w:val="single" w:color="1DA1F2" w:sz="1"/>
            </w:tcBorders>
            <w:shd w:fill="1DA1F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w:t>
            </w:r>
          </w:p>
        </w:tc>
        <w:tc>
          <w:tcPr>
            <w:tcW w:type="dxa" w:w="1560"/>
            <w:tcBorders>
              <w:top w:val="single" w:color="1DA1F2" w:sz="1"/>
              <w:left w:val="single" w:color="1DA1F2" w:sz="1"/>
              <w:bottom w:val="single" w:color="1DA1F2" w:sz="1"/>
              <w:right w:val="single" w:color="1DA1F2" w:sz="1"/>
            </w:tcBorders>
            <w:shd w:fill="1DA1F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Tweets</w:t>
            </w:r>
          </w:p>
        </w:tc>
        <w:tc>
          <w:tcPr>
            <w:tcW w:type="dxa" w:w="2106"/>
            <w:tcBorders>
              <w:top w:val="single" w:color="1DA1F2" w:sz="1"/>
              <w:left w:val="single" w:color="1DA1F2" w:sz="1"/>
              <w:bottom w:val="single" w:color="1DA1F2" w:sz="1"/>
              <w:right w:val="single" w:color="1DA1F2" w:sz="1"/>
            </w:tcBorders>
            <w:shd w:fill="1DA1F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Impressions</w:t>
            </w:r>
          </w:p>
        </w:tc>
        <w:tc>
          <w:tcPr>
            <w:tcW w:type="dxa" w:w="1872"/>
            <w:tcBorders>
              <w:top w:val="single" w:color="1DA1F2" w:sz="1"/>
              <w:left w:val="single" w:color="1DA1F2" w:sz="1"/>
              <w:bottom w:val="single" w:color="1DA1F2" w:sz="1"/>
              <w:right w:val="single" w:color="1DA1F2" w:sz="1"/>
            </w:tcBorders>
            <w:shd w:fill="1DA1F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Eng. Rate</w:t>
            </w:r>
          </w:p>
        </w:tc>
        <w:tc>
          <w:tcPr>
            <w:tcW w:type="dxa" w:w="1872"/>
            <w:tcBorders>
              <w:top w:val="single" w:color="1DA1F2" w:sz="1"/>
              <w:left w:val="single" w:color="1DA1F2" w:sz="1"/>
              <w:bottom w:val="single" w:color="1DA1F2" w:sz="1"/>
              <w:right w:val="single" w:color="1DA1F2" w:sz="1"/>
            </w:tcBorders>
            <w:shd w:fill="1DA1F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Media Eng.</w:t>
            </w:r>
          </w:p>
        </w:tc>
      </w:tr>
      <w:tr>
        <w:tc>
          <w:tcPr>
            <w:tcW w:type="dxa" w:w="2340"/>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left"/>
            </w:pPr>
            <w:r>
              <w:rPr>
                <w:rFonts w:ascii="Arial" w:cs="Arial" w:eastAsia="Arial" w:hAnsi="Arial"/>
                <w:sz w:val="20"/>
                <w:szCs w:val="20"/>
              </w:rPr>
              <w:t xml:space="preserve">June</w:t>
            </w:r>
          </w:p>
        </w:tc>
        <w:tc>
          <w:tcPr>
            <w:tcW w:type="dxa" w:w="1560"/>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223</w:t>
            </w:r>
          </w:p>
        </w:tc>
        <w:tc>
          <w:tcPr>
            <w:tcW w:type="dxa" w:w="2106"/>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595</w:t>
            </w:r>
          </w:p>
        </w:tc>
        <w:tc>
          <w:tcPr>
            <w:tcW w:type="dxa" w:w="1872"/>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3.0%</w:t>
            </w:r>
          </w:p>
        </w:tc>
        <w:tc>
          <w:tcPr>
            <w:tcW w:type="dxa" w:w="1872"/>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13</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July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312</w:t>
            </w:r>
          </w:p>
        </w:tc>
        <w:tc>
          <w:tcPr>
            <w:tcW w:type="dxa" w:w="210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1,134</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163</w:t>
            </w:r>
          </w:p>
        </w:tc>
      </w:tr>
      <w:tr>
        <w:tc>
          <w:tcPr>
            <w:tcW w:type="dxa" w:w="2340"/>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left"/>
            </w:pPr>
            <w:r>
              <w:rPr>
                <w:rFonts w:ascii="Arial" w:cs="Arial" w:eastAsia="Arial" w:hAnsi="Arial"/>
                <w:sz w:val="20"/>
                <w:szCs w:val="20"/>
              </w:rPr>
              <w:t xml:space="preserve">August</w:t>
            </w:r>
          </w:p>
        </w:tc>
        <w:tc>
          <w:tcPr>
            <w:tcW w:type="dxa" w:w="1560"/>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218</w:t>
            </w:r>
          </w:p>
        </w:tc>
        <w:tc>
          <w:tcPr>
            <w:tcW w:type="dxa" w:w="2106"/>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685</w:t>
            </w:r>
          </w:p>
        </w:tc>
        <w:tc>
          <w:tcPr>
            <w:tcW w:type="dxa" w:w="1872"/>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3.0%</w:t>
            </w:r>
          </w:p>
        </w:tc>
        <w:tc>
          <w:tcPr>
            <w:tcW w:type="dxa" w:w="1872"/>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16</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September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232</w:t>
            </w:r>
          </w:p>
        </w:tc>
        <w:tc>
          <w:tcPr>
            <w:tcW w:type="dxa" w:w="210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756</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7</w:t>
            </w:r>
          </w:p>
        </w:tc>
      </w:tr>
      <w:tr>
        <w:tc>
          <w:tcPr>
            <w:tcW w:type="dxa" w:w="2340"/>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left"/>
            </w:pPr>
            <w:r>
              <w:rPr>
                <w:rFonts w:ascii="Arial" w:cs="Arial" w:eastAsia="Arial" w:hAnsi="Arial"/>
                <w:sz w:val="20"/>
                <w:szCs w:val="20"/>
              </w:rPr>
              <w:t xml:space="preserve">October</w:t>
            </w:r>
          </w:p>
        </w:tc>
        <w:tc>
          <w:tcPr>
            <w:tcW w:type="dxa" w:w="1560"/>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181</w:t>
            </w:r>
          </w:p>
        </w:tc>
        <w:tc>
          <w:tcPr>
            <w:tcW w:type="dxa" w:w="2106"/>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555</w:t>
            </w:r>
          </w:p>
        </w:tc>
        <w:tc>
          <w:tcPr>
            <w:tcW w:type="dxa" w:w="1872"/>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4.0%</w:t>
            </w:r>
          </w:p>
        </w:tc>
        <w:tc>
          <w:tcPr>
            <w:tcW w:type="dxa" w:w="1872"/>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14</w:t>
            </w:r>
          </w:p>
        </w:tc>
      </w:tr>
    </w:tbl>
    <w:p>
      <w:pPr>
        <w:spacing w:after="200"/>
      </w:pPr>
    </w:p>
    <w:p>
      <w:pPr>
        <w:spacing w:after="120"/>
      </w:pPr>
      <w:r>
        <w:rPr>
          <w:rFonts w:ascii="Arial" w:cs="Arial" w:eastAsia="Arial" w:hAnsi="Arial"/>
          <w:sz w:val="22"/>
          <w:szCs w:val="22"/>
        </w:rPr>
        <w:t xml:space="preserve">July was the most active month (312 tweets) and had the highest average impressions (1,134) and dramatically higher media engagements (163 per tweet), suggesting a period of high-quality media content. October had the lowest tweet volume and impressions.</w:t>
      </w:r>
    </w:p>
    <w:p>
      <w:pPr>
        <w:pStyle w:val="Heading2"/>
        <w:spacing w:after="140" w:before="280"/>
      </w:pPr>
      <w:r>
        <w:rPr>
          <w:rFonts w:ascii="Arial" w:cs="Arial" w:eastAsia="Arial" w:hAnsi="Arial"/>
          <w:b/>
          <w:bCs/>
          <w:color w:val="1DA1F2"/>
          <w:sz w:val="26"/>
          <w:szCs w:val="26"/>
        </w:rPr>
        <w:t xml:space="preserve">2.2 Key Metrics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DA1F2" w:sz="1"/>
              <w:left w:val="single" w:color="1DA1F2" w:sz="1"/>
              <w:bottom w:val="single" w:color="1DA1F2" w:sz="1"/>
              <w:right w:val="single" w:color="1DA1F2" w:sz="1"/>
            </w:tcBorders>
            <w:shd w:fill="1DA1F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6240"/>
            <w:tcBorders>
              <w:top w:val="single" w:color="1DA1F2" w:sz="1"/>
              <w:left w:val="single" w:color="1DA1F2" w:sz="1"/>
              <w:bottom w:val="single" w:color="1DA1F2" w:sz="1"/>
              <w:right w:val="single" w:color="1DA1F2" w:sz="1"/>
            </w:tcBorders>
            <w:shd w:fill="1DA1F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left"/>
            </w:pPr>
            <w:r>
              <w:rPr>
                <w:rFonts w:ascii="Arial" w:cs="Arial" w:eastAsia="Arial" w:hAnsi="Arial"/>
                <w:sz w:val="20"/>
                <w:szCs w:val="20"/>
              </w:rPr>
              <w:t xml:space="preserve">impressions</w:t>
            </w:r>
          </w:p>
        </w:tc>
        <w:tc>
          <w:tcPr>
            <w:tcW w:type="dxa" w:w="6240"/>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Total times the tweet appeared on any screen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engagements</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Total interactions (clicks, likes, retweets, replies)</w:t>
            </w:r>
          </w:p>
        </w:tc>
      </w:tr>
      <w:tr>
        <w:tc>
          <w:tcPr>
            <w:tcW w:type="dxa" w:w="3120"/>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left"/>
            </w:pPr>
            <w:r>
              <w:rPr>
                <w:rFonts w:ascii="Arial" w:cs="Arial" w:eastAsia="Arial" w:hAnsi="Arial"/>
                <w:sz w:val="20"/>
                <w:szCs w:val="20"/>
              </w:rPr>
              <w:t xml:space="preserve">engagement rate</w:t>
            </w:r>
          </w:p>
        </w:tc>
        <w:tc>
          <w:tcPr>
            <w:tcW w:type="dxa" w:w="6240"/>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Engagements divided by impressions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media views</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Times embedded media (images/video) was viewed</w:t>
            </w:r>
          </w:p>
        </w:tc>
      </w:tr>
      <w:tr>
        <w:tc>
          <w:tcPr>
            <w:tcW w:type="dxa" w:w="3120"/>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left"/>
            </w:pPr>
            <w:r>
              <w:rPr>
                <w:rFonts w:ascii="Arial" w:cs="Arial" w:eastAsia="Arial" w:hAnsi="Arial"/>
                <w:sz w:val="20"/>
                <w:szCs w:val="20"/>
              </w:rPr>
              <w:t xml:space="preserve">media engagements</w:t>
            </w:r>
          </w:p>
        </w:tc>
        <w:tc>
          <w:tcPr>
            <w:tcW w:type="dxa" w:w="6240"/>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Clicks or interactions on embedded media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likes / retweets</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Direct social amplification signals</w:t>
            </w:r>
          </w:p>
        </w:tc>
      </w:tr>
    </w:tbl>
    <w:p>
      <w:pPr>
        <w:spacing w:after="200"/>
      </w:pPr>
    </w:p>
    <w:p>
      <w:pPr>
        <w:pStyle w:val="Heading1"/>
        <w:spacing w:after="200" w:before="400"/>
      </w:pPr>
      <w:r>
        <w:rPr>
          <w:rFonts w:ascii="Arial" w:cs="Arial" w:eastAsia="Arial" w:hAnsi="Arial"/>
          <w:b/>
          <w:bCs/>
          <w:color w:val="0D47A1"/>
          <w:sz w:val="32"/>
          <w:szCs w:val="32"/>
        </w:rPr>
        <w:t xml:space="preserve">3. Engagement Analysis</w:t>
      </w:r>
    </w:p>
    <w:p>
      <w:pPr>
        <w:pStyle w:val="Heading2"/>
        <w:spacing w:after="140" w:before="280"/>
      </w:pPr>
      <w:r>
        <w:rPr>
          <w:rFonts w:ascii="Arial" w:cs="Arial" w:eastAsia="Arial" w:hAnsi="Arial"/>
          <w:b/>
          <w:bCs/>
          <w:color w:val="1DA1F2"/>
          <w:sz w:val="26"/>
          <w:szCs w:val="26"/>
        </w:rPr>
        <w:t xml:space="preserve">3.1 Tweets by Day of Week</w:t>
      </w:r>
    </w:p>
    <w:p>
      <w:pPr>
        <w:spacing w:after="120"/>
      </w:pPr>
      <w:r>
        <w:rPr>
          <w:rFonts w:ascii="Arial" w:cs="Arial" w:eastAsia="Arial" w:hAnsi="Arial"/>
          <w:sz w:val="22"/>
          <w:szCs w:val="22"/>
        </w:rPr>
        <w:t xml:space="preserve">Posting activity is heavily concentrated mid-week, with Tuesday being the busiest day (239 tweets) and Saturday the quietest (50 tweets).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DA1F2" w:sz="1"/>
              <w:left w:val="single" w:color="1DA1F2" w:sz="1"/>
              <w:bottom w:val="single" w:color="1DA1F2" w:sz="1"/>
              <w:right w:val="single" w:color="1DA1F2" w:sz="1"/>
            </w:tcBorders>
            <w:shd w:fill="1DA1F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w:t>
            </w:r>
          </w:p>
        </w:tc>
        <w:tc>
          <w:tcPr>
            <w:tcW w:type="dxa" w:w="4680"/>
            <w:tcBorders>
              <w:top w:val="single" w:color="1DA1F2" w:sz="1"/>
              <w:left w:val="single" w:color="1DA1F2" w:sz="1"/>
              <w:bottom w:val="single" w:color="1DA1F2" w:sz="1"/>
              <w:right w:val="single" w:color="1DA1F2" w:sz="1"/>
            </w:tcBorders>
            <w:shd w:fill="1DA1F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Tweet Count</w:t>
            </w:r>
          </w:p>
        </w:tc>
      </w:tr>
      <w:tr>
        <w:tc>
          <w:tcPr>
            <w:tcW w:type="dxa" w:w="4680"/>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left"/>
            </w:pPr>
            <w:r>
              <w:rPr>
                <w:rFonts w:ascii="Arial" w:cs="Arial" w:eastAsia="Arial" w:hAnsi="Arial"/>
                <w:sz w:val="20"/>
                <w:szCs w:val="20"/>
              </w:rPr>
              <w:t xml:space="preserve">Tuesday</w:t>
            </w:r>
          </w:p>
        </w:tc>
        <w:tc>
          <w:tcPr>
            <w:tcW w:type="dxa" w:w="4680"/>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239</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Thursday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230</w:t>
            </w:r>
          </w:p>
        </w:tc>
      </w:tr>
      <w:tr>
        <w:tc>
          <w:tcPr>
            <w:tcW w:type="dxa" w:w="4680"/>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left"/>
            </w:pPr>
            <w:r>
              <w:rPr>
                <w:rFonts w:ascii="Arial" w:cs="Arial" w:eastAsia="Arial" w:hAnsi="Arial"/>
                <w:sz w:val="20"/>
                <w:szCs w:val="20"/>
              </w:rPr>
              <w:t xml:space="preserve">Wednesday</w:t>
            </w:r>
          </w:p>
        </w:tc>
        <w:tc>
          <w:tcPr>
            <w:tcW w:type="dxa" w:w="4680"/>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215</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Monday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187</w:t>
            </w:r>
          </w:p>
        </w:tc>
      </w:tr>
      <w:tr>
        <w:tc>
          <w:tcPr>
            <w:tcW w:type="dxa" w:w="4680"/>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left"/>
            </w:pPr>
            <w:r>
              <w:rPr>
                <w:rFonts w:ascii="Arial" w:cs="Arial" w:eastAsia="Arial" w:hAnsi="Arial"/>
                <w:sz w:val="20"/>
                <w:szCs w:val="20"/>
              </w:rPr>
              <w:t xml:space="preserve">Friday</w:t>
            </w:r>
          </w:p>
        </w:tc>
        <w:tc>
          <w:tcPr>
            <w:tcW w:type="dxa" w:w="4680"/>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165</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Sunday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80</w:t>
            </w:r>
          </w:p>
        </w:tc>
      </w:tr>
      <w:tr>
        <w:tc>
          <w:tcPr>
            <w:tcW w:type="dxa" w:w="4680"/>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left"/>
            </w:pPr>
            <w:r>
              <w:rPr>
                <w:rFonts w:ascii="Arial" w:cs="Arial" w:eastAsia="Arial" w:hAnsi="Arial"/>
                <w:sz w:val="20"/>
                <w:szCs w:val="20"/>
              </w:rPr>
              <w:t xml:space="preserve">Saturday</w:t>
            </w:r>
          </w:p>
        </w:tc>
        <w:tc>
          <w:tcPr>
            <w:tcW w:type="dxa" w:w="4680"/>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50</w:t>
            </w:r>
          </w:p>
        </w:tc>
      </w:tr>
    </w:tbl>
    <w:p>
      <w:pPr>
        <w:spacing w:after="200"/>
      </w:pPr>
    </w:p>
    <w:p>
      <w:pPr>
        <w:pStyle w:val="Heading2"/>
        <w:spacing w:after="140" w:before="280"/>
      </w:pPr>
      <w:r>
        <w:rPr>
          <w:rFonts w:ascii="Arial" w:cs="Arial" w:eastAsia="Arial" w:hAnsi="Arial"/>
          <w:b/>
          <w:bCs/>
          <w:color w:val="1DA1F2"/>
          <w:sz w:val="26"/>
          <w:szCs w:val="26"/>
        </w:rPr>
        <w:t xml:space="preserve">3.2 Peak Posting Hours</w:t>
      </w:r>
    </w:p>
    <w:p>
      <w:pPr>
        <w:spacing w:after="120"/>
      </w:pPr>
      <w:r>
        <w:rPr>
          <w:rFonts w:ascii="Arial" w:cs="Arial" w:eastAsia="Arial" w:hAnsi="Arial"/>
          <w:sz w:val="22"/>
          <w:szCs w:val="22"/>
        </w:rPr>
        <w:t xml:space="preserve">The account is most active between 12 PM and 6 PM, with a clear peak at 5 PM (120 tweets). Overnight hours see minimal activity.</w:t>
      </w:r>
    </w:p>
    <w:p>
      <w:pPr>
        <w:pStyle w:val="ListParagraph"/>
        <w:numPr>
          <w:ilvl w:val="0"/>
          <w:numId w:val="2"/>
        </w:numPr>
        <w:spacing w:after="80"/>
      </w:pPr>
      <w:r>
        <w:rPr>
          <w:rFonts w:ascii="Arial" w:cs="Arial" w:eastAsia="Arial" w:hAnsi="Arial"/>
          <w:sz w:val="22"/>
          <w:szCs w:val="22"/>
        </w:rPr>
        <w:t xml:space="preserve">Peak hour: 5 PM — 120 tweets</w:t>
      </w:r>
    </w:p>
    <w:p>
      <w:pPr>
        <w:pStyle w:val="ListParagraph"/>
        <w:numPr>
          <w:ilvl w:val="0"/>
          <w:numId w:val="2"/>
        </w:numPr>
        <w:spacing w:after="80"/>
      </w:pPr>
      <w:r>
        <w:rPr>
          <w:rFonts w:ascii="Arial" w:cs="Arial" w:eastAsia="Arial" w:hAnsi="Arial"/>
          <w:sz w:val="22"/>
          <w:szCs w:val="22"/>
        </w:rPr>
        <w:t xml:space="preserve">Second peak: 1 PM — 95 tweets</w:t>
      </w:r>
    </w:p>
    <w:p>
      <w:pPr>
        <w:pStyle w:val="ListParagraph"/>
        <w:numPr>
          <w:ilvl w:val="0"/>
          <w:numId w:val="2"/>
        </w:numPr>
        <w:spacing w:after="80"/>
      </w:pPr>
      <w:r>
        <w:rPr>
          <w:rFonts w:ascii="Arial" w:cs="Arial" w:eastAsia="Arial" w:hAnsi="Arial"/>
          <w:sz w:val="22"/>
          <w:szCs w:val="22"/>
        </w:rPr>
        <w:t xml:space="preserve">Third peak: 3 PM — 93 tweets</w:t>
      </w:r>
    </w:p>
    <w:p>
      <w:pPr>
        <w:pStyle w:val="ListParagraph"/>
        <w:numPr>
          <w:ilvl w:val="0"/>
          <w:numId w:val="2"/>
        </w:numPr>
        <w:spacing w:after="80"/>
      </w:pPr>
      <w:r>
        <w:rPr>
          <w:rFonts w:ascii="Arial" w:cs="Arial" w:eastAsia="Arial" w:hAnsi="Arial"/>
          <w:sz w:val="22"/>
          <w:szCs w:val="22"/>
        </w:rPr>
        <w:t xml:space="preserve">Lowest activity: 4 AM — only 6 tweets</w:t>
      </w:r>
    </w:p>
    <w:p>
      <w:pPr>
        <w:spacing w:after="200"/>
      </w:pPr>
    </w:p>
    <w:p>
      <w:pPr>
        <w:pStyle w:val="Heading2"/>
        <w:spacing w:after="140" w:before="280"/>
      </w:pPr>
      <w:r>
        <w:rPr>
          <w:rFonts w:ascii="Arial" w:cs="Arial" w:eastAsia="Arial" w:hAnsi="Arial"/>
          <w:b/>
          <w:bCs/>
          <w:color w:val="1DA1F2"/>
          <w:sz w:val="26"/>
          <w:szCs w:val="26"/>
        </w:rPr>
        <w:t xml:space="preserve">3.3 Top 10 Tweets by Engagements</w:t>
      </w:r>
    </w:p>
    <w:p>
      <w:pPr>
        <w:spacing w:after="120"/>
      </w:pPr>
      <w:r>
        <w:rPr>
          <w:rFonts w:ascii="Arial" w:cs="Arial" w:eastAsia="Arial" w:hAnsi="Arial"/>
          <w:sz w:val="22"/>
          <w:szCs w:val="22"/>
        </w:rPr>
        <w:t xml:space="preserve">The top tweet massively outperformed all others with 54,098 engagements versus a dataset average of 782 impressions. This viral outlier is worth studying for replicable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6552"/>
        <w:gridCol w:w="1872"/>
      </w:tblGrid>
      <w:tr>
        <w:trPr>
          <w:tblHeader/>
        </w:trPr>
        <w:tc>
          <w:tcPr>
            <w:tcW w:type="dxa" w:w="936"/>
            <w:tcBorders>
              <w:top w:val="single" w:color="1DA1F2" w:sz="1"/>
              <w:left w:val="single" w:color="1DA1F2" w:sz="1"/>
              <w:bottom w:val="single" w:color="1DA1F2" w:sz="1"/>
              <w:right w:val="single" w:color="1DA1F2" w:sz="1"/>
            </w:tcBorders>
            <w:shd w:fill="1DA1F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6552"/>
            <w:tcBorders>
              <w:top w:val="single" w:color="1DA1F2" w:sz="1"/>
              <w:left w:val="single" w:color="1DA1F2" w:sz="1"/>
              <w:bottom w:val="single" w:color="1DA1F2" w:sz="1"/>
              <w:right w:val="single" w:color="1DA1F2" w:sz="1"/>
            </w:tcBorders>
            <w:shd w:fill="1DA1F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Tweet Preview</w:t>
            </w:r>
          </w:p>
        </w:tc>
        <w:tc>
          <w:tcPr>
            <w:tcW w:type="dxa" w:w="1872"/>
            <w:tcBorders>
              <w:top w:val="single" w:color="1DA1F2" w:sz="1"/>
              <w:left w:val="single" w:color="1DA1F2" w:sz="1"/>
              <w:bottom w:val="single" w:color="1DA1F2" w:sz="1"/>
              <w:right w:val="single" w:color="1DA1F2" w:sz="1"/>
            </w:tcBorders>
            <w:shd w:fill="1DA1F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Engagements</w:t>
            </w:r>
          </w:p>
        </w:tc>
      </w:tr>
      <w:tr>
        <w:tc>
          <w:tcPr>
            <w:tcW w:type="dxa" w:w="936"/>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left"/>
            </w:pPr>
            <w:r>
              <w:rPr>
                <w:rFonts w:ascii="Arial" w:cs="Arial" w:eastAsia="Arial" w:hAnsi="Arial"/>
                <w:sz w:val="20"/>
                <w:szCs w:val="20"/>
              </w:rPr>
              <w:t xml:space="preserve">1</w:t>
            </w:r>
          </w:p>
        </w:tc>
        <w:tc>
          <w:tcPr>
            <w:tcW w:type="dxa" w:w="6552"/>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elementum ligula vehicula consequat morbi a ipsum...</w:t>
            </w:r>
          </w:p>
        </w:tc>
        <w:tc>
          <w:tcPr>
            <w:tcW w:type="dxa" w:w="1872"/>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54,098</w:t>
            </w:r>
          </w:p>
        </w:tc>
      </w:tr>
      <w:tr>
        <w:tc>
          <w:tcPr>
            <w:tcW w:type="dxa" w:w="93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w:t>
            </w:r>
          </w:p>
        </w:tc>
        <w:tc>
          <w:tcPr>
            <w:tcW w:type="dxa" w:w="65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sit amet lobortis sapien sapien non mi integer...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2,274</w:t>
            </w:r>
          </w:p>
        </w:tc>
      </w:tr>
      <w:tr>
        <w:tc>
          <w:tcPr>
            <w:tcW w:type="dxa" w:w="936"/>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left"/>
            </w:pPr>
            <w:r>
              <w:rPr>
                <w:rFonts w:ascii="Arial" w:cs="Arial" w:eastAsia="Arial" w:hAnsi="Arial"/>
                <w:sz w:val="20"/>
                <w:szCs w:val="20"/>
              </w:rPr>
              <w:t xml:space="preserve">3</w:t>
            </w:r>
          </w:p>
        </w:tc>
        <w:tc>
          <w:tcPr>
            <w:tcW w:type="dxa" w:w="6552"/>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justo in hac habitasse platea dictumst etiam...</w:t>
            </w:r>
          </w:p>
        </w:tc>
        <w:tc>
          <w:tcPr>
            <w:tcW w:type="dxa" w:w="1872"/>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1,553</w:t>
            </w:r>
          </w:p>
        </w:tc>
      </w:tr>
      <w:tr>
        <w:tc>
          <w:tcPr>
            <w:tcW w:type="dxa" w:w="93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4</w:t>
            </w:r>
          </w:p>
        </w:tc>
        <w:tc>
          <w:tcPr>
            <w:tcW w:type="dxa" w:w="65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augue quam sollicitudin vitae consectetuer eget...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1,191</w:t>
            </w:r>
          </w:p>
        </w:tc>
      </w:tr>
      <w:tr>
        <w:tc>
          <w:tcPr>
            <w:tcW w:type="dxa" w:w="936"/>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left"/>
            </w:pPr>
            <w:r>
              <w:rPr>
                <w:rFonts w:ascii="Arial" w:cs="Arial" w:eastAsia="Arial" w:hAnsi="Arial"/>
                <w:sz w:val="20"/>
                <w:szCs w:val="20"/>
              </w:rPr>
              <w:t xml:space="preserve">5</w:t>
            </w:r>
          </w:p>
        </w:tc>
        <w:tc>
          <w:tcPr>
            <w:tcW w:type="dxa" w:w="6552"/>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lectus aliquam sit amet diam in magna bibendum...</w:t>
            </w:r>
          </w:p>
        </w:tc>
        <w:tc>
          <w:tcPr>
            <w:tcW w:type="dxa" w:w="1872"/>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1,118</w:t>
            </w:r>
          </w:p>
        </w:tc>
      </w:tr>
      <w:tr>
        <w:tc>
          <w:tcPr>
            <w:tcW w:type="dxa" w:w="93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6</w:t>
            </w:r>
          </w:p>
        </w:tc>
        <w:tc>
          <w:tcPr>
            <w:tcW w:type="dxa" w:w="65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nulla neque libero convallis eget eleifend...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1,065</w:t>
            </w:r>
          </w:p>
        </w:tc>
      </w:tr>
      <w:tr>
        <w:tc>
          <w:tcPr>
            <w:tcW w:type="dxa" w:w="936"/>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left"/>
            </w:pPr>
            <w:r>
              <w:rPr>
                <w:rFonts w:ascii="Arial" w:cs="Arial" w:eastAsia="Arial" w:hAnsi="Arial"/>
                <w:sz w:val="20"/>
                <w:szCs w:val="20"/>
              </w:rPr>
              <w:t xml:space="preserve">7</w:t>
            </w:r>
          </w:p>
        </w:tc>
        <w:tc>
          <w:tcPr>
            <w:tcW w:type="dxa" w:w="6552"/>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morbi sem mauris laoreet ut rhoncus aliquet...</w:t>
            </w:r>
          </w:p>
        </w:tc>
        <w:tc>
          <w:tcPr>
            <w:tcW w:type="dxa" w:w="1872"/>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924</w:t>
            </w:r>
          </w:p>
        </w:tc>
      </w:tr>
      <w:tr>
        <w:tc>
          <w:tcPr>
            <w:tcW w:type="dxa" w:w="93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8</w:t>
            </w:r>
          </w:p>
        </w:tc>
        <w:tc>
          <w:tcPr>
            <w:tcW w:type="dxa" w:w="65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nam dui proin leo odio porttitor id consequat...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919</w:t>
            </w:r>
          </w:p>
        </w:tc>
      </w:tr>
      <w:tr>
        <w:tc>
          <w:tcPr>
            <w:tcW w:type="dxa" w:w="936"/>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left"/>
            </w:pPr>
            <w:r>
              <w:rPr>
                <w:rFonts w:ascii="Arial" w:cs="Arial" w:eastAsia="Arial" w:hAnsi="Arial"/>
                <w:sz w:val="20"/>
                <w:szCs w:val="20"/>
              </w:rPr>
              <w:t xml:space="preserve">9</w:t>
            </w:r>
          </w:p>
        </w:tc>
        <w:tc>
          <w:tcPr>
            <w:tcW w:type="dxa" w:w="6552"/>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arcu sed augue aliquam erat volutpat in congue...</w:t>
            </w:r>
          </w:p>
        </w:tc>
        <w:tc>
          <w:tcPr>
            <w:tcW w:type="dxa" w:w="1872"/>
            <w:tcBorders>
              <w:top w:val="single" w:color="CCCCCC" w:sz="1"/>
              <w:left w:val="single" w:color="CCCCCC" w:sz="1"/>
              <w:bottom w:val="single" w:color="CCCCCC" w:sz="1"/>
              <w:right w:val="single" w:color="CCCCCC" w:sz="1"/>
            </w:tcBorders>
            <w:shd w:fill="E8F5FD" w:val="clear"/>
            <w:tcMar>
              <w:top w:type="dxa" w:w="60"/>
              <w:left w:type="dxa" w:w="120"/>
              <w:bottom w:type="dxa" w:w="60"/>
              <w:right w:type="dxa" w:w="120"/>
            </w:tcMar>
          </w:tcPr>
          <w:p>
            <w:pPr>
              <w:jc w:val="center"/>
            </w:pPr>
            <w:r>
              <w:rPr>
                <w:rFonts w:ascii="Arial" w:cs="Arial" w:eastAsia="Arial" w:hAnsi="Arial"/>
                <w:sz w:val="20"/>
                <w:szCs w:val="20"/>
              </w:rPr>
              <w:t xml:space="preserve">533</w:t>
            </w:r>
          </w:p>
        </w:tc>
      </w:tr>
      <w:tr>
        <w:tc>
          <w:tcPr>
            <w:tcW w:type="dxa" w:w="93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10</w:t>
            </w:r>
          </w:p>
        </w:tc>
        <w:tc>
          <w:tcPr>
            <w:tcW w:type="dxa" w:w="65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semper porta volutpat quam pede lobortis...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486</w:t>
            </w:r>
          </w:p>
        </w:tc>
      </w:tr>
    </w:tbl>
    <w:p>
      <w:pPr>
        <w:spacing w:after="200"/>
      </w:pPr>
    </w:p>
    <w:p>
      <w:pPr>
        <w:pStyle w:val="Heading1"/>
        <w:spacing w:after="200" w:before="400"/>
      </w:pPr>
      <w:r>
        <w:rPr>
          <w:rFonts w:ascii="Arial" w:cs="Arial" w:eastAsia="Arial" w:hAnsi="Arial"/>
          <w:b/>
          <w:bCs/>
          <w:color w:val="0D47A1"/>
          <w:sz w:val="32"/>
          <w:szCs w:val="32"/>
        </w:rPr>
        <w:t xml:space="preserve">4. Media Performance Analysis</w:t>
      </w:r>
    </w:p>
    <w:p>
      <w:pPr>
        <w:spacing w:after="120"/>
      </w:pPr>
      <w:r>
        <w:rPr>
          <w:rFonts w:ascii="Arial" w:cs="Arial" w:eastAsia="Arial" w:hAnsi="Arial"/>
          <w:sz w:val="22"/>
          <w:szCs w:val="22"/>
        </w:rPr>
        <w:t xml:space="preserve">Media content plays a significant role in tweet performance. The dataset tracks both media views (passive exposure) and media engagements (active interaction).</w:t>
      </w:r>
    </w:p>
    <w:p>
      <w:pPr>
        <w:pStyle w:val="ListParagraph"/>
        <w:numPr>
          <w:ilvl w:val="0"/>
          <w:numId w:val="2"/>
        </w:numPr>
        <w:spacing w:after="80"/>
      </w:pPr>
      <w:r>
        <w:rPr>
          <w:rFonts w:ascii="Arial" w:cs="Arial" w:eastAsia="Arial" w:hAnsi="Arial"/>
          <w:sz w:val="22"/>
          <w:szCs w:val="22"/>
        </w:rPr>
        <w:t xml:space="preserve">July stands out with 163 avg media engagements — 10x higher than any other month</w:t>
      </w:r>
    </w:p>
    <w:p>
      <w:pPr>
        <w:pStyle w:val="ListParagraph"/>
        <w:numPr>
          <w:ilvl w:val="0"/>
          <w:numId w:val="2"/>
        </w:numPr>
        <w:spacing w:after="80"/>
      </w:pPr>
      <w:r>
        <w:rPr>
          <w:rFonts w:ascii="Arial" w:cs="Arial" w:eastAsia="Arial" w:hAnsi="Arial"/>
          <w:sz w:val="22"/>
          <w:szCs w:val="22"/>
        </w:rPr>
        <w:t xml:space="preserve">June, August, and October show similar low media engagement (7–16 avg)</w:t>
      </w:r>
    </w:p>
    <w:p>
      <w:pPr>
        <w:pStyle w:val="ListParagraph"/>
        <w:numPr>
          <w:ilvl w:val="0"/>
          <w:numId w:val="2"/>
        </w:numPr>
        <w:spacing w:after="80"/>
      </w:pPr>
      <w:r>
        <w:rPr>
          <w:rFonts w:ascii="Arial" w:cs="Arial" w:eastAsia="Arial" w:hAnsi="Arial"/>
          <w:sz w:val="22"/>
          <w:szCs w:val="22"/>
        </w:rPr>
        <w:t xml:space="preserve">September dropped to just 7 avg media engagements despite high tweet volume</w:t>
      </w:r>
    </w:p>
    <w:p>
      <w:pPr>
        <w:pStyle w:val="ListParagraph"/>
        <w:numPr>
          <w:ilvl w:val="0"/>
          <w:numId w:val="2"/>
        </w:numPr>
        <w:spacing w:after="80"/>
      </w:pPr>
      <w:r>
        <w:rPr>
          <w:rFonts w:ascii="Arial" w:cs="Arial" w:eastAsia="Arial" w:hAnsi="Arial"/>
          <w:sz w:val="22"/>
          <w:szCs w:val="22"/>
        </w:rPr>
        <w:t xml:space="preserve">The July spike suggests a campaign or content type that resonated strongly with audiences</w:t>
      </w:r>
    </w:p>
    <w:p>
      <w:pPr>
        <w:spacing w:after="200"/>
      </w:pPr>
    </w:p>
    <w:p>
      <w:pPr>
        <w:pStyle w:val="Heading1"/>
        <w:spacing w:after="200" w:before="400"/>
      </w:pPr>
      <w:r>
        <w:rPr>
          <w:rFonts w:ascii="Arial" w:cs="Arial" w:eastAsia="Arial" w:hAnsi="Arial"/>
          <w:b/>
          <w:bCs/>
          <w:color w:val="0D47A1"/>
          <w:sz w:val="32"/>
          <w:szCs w:val="32"/>
        </w:rPr>
        <w:t xml:space="preserve">5. Recommendations</w:t>
      </w:r>
    </w:p>
    <w:p>
      <w:pPr>
        <w:pStyle w:val="Heading2"/>
        <w:spacing w:after="140" w:before="280"/>
      </w:pPr>
      <w:r>
        <w:rPr>
          <w:rFonts w:ascii="Arial" w:cs="Arial" w:eastAsia="Arial" w:hAnsi="Arial"/>
          <w:b/>
          <w:bCs/>
          <w:color w:val="1DA1F2"/>
          <w:sz w:val="26"/>
          <w:szCs w:val="26"/>
        </w:rPr>
        <w:t xml:space="preserve">5.1 Optimize Posting Schedule</w:t>
      </w:r>
    </w:p>
    <w:p>
      <w:pPr>
        <w:pStyle w:val="ListParagraph"/>
        <w:numPr>
          <w:ilvl w:val="0"/>
          <w:numId w:val="2"/>
        </w:numPr>
        <w:spacing w:after="80"/>
      </w:pPr>
      <w:r>
        <w:rPr>
          <w:rFonts w:ascii="Arial" w:cs="Arial" w:eastAsia="Arial" w:hAnsi="Arial"/>
          <w:sz w:val="22"/>
          <w:szCs w:val="22"/>
        </w:rPr>
        <w:t xml:space="preserve">Focus posting on Tuesday and Thursday — highest engagement and volume</w:t>
      </w:r>
    </w:p>
    <w:p>
      <w:pPr>
        <w:pStyle w:val="ListParagraph"/>
        <w:numPr>
          <w:ilvl w:val="0"/>
          <w:numId w:val="2"/>
        </w:numPr>
        <w:spacing w:after="80"/>
      </w:pPr>
      <w:r>
        <w:rPr>
          <w:rFonts w:ascii="Arial" w:cs="Arial" w:eastAsia="Arial" w:hAnsi="Arial"/>
          <w:sz w:val="22"/>
          <w:szCs w:val="22"/>
        </w:rPr>
        <w:t xml:space="preserve">Schedule tweets between 1 PM and 6 PM to align with peak audience activity</w:t>
      </w:r>
    </w:p>
    <w:p>
      <w:pPr>
        <w:pStyle w:val="ListParagraph"/>
        <w:numPr>
          <w:ilvl w:val="0"/>
          <w:numId w:val="2"/>
        </w:numPr>
        <w:spacing w:after="80"/>
      </w:pPr>
      <w:r>
        <w:rPr>
          <w:rFonts w:ascii="Arial" w:cs="Arial" w:eastAsia="Arial" w:hAnsi="Arial"/>
          <w:sz w:val="22"/>
          <w:szCs w:val="22"/>
        </w:rPr>
        <w:t xml:space="preserve">Reduce weekend posting — Saturday and Sunday show lowest performance</w:t>
      </w:r>
    </w:p>
    <w:p>
      <w:pPr>
        <w:pStyle w:val="Heading2"/>
        <w:spacing w:after="140" w:before="280"/>
      </w:pPr>
      <w:r>
        <w:rPr>
          <w:rFonts w:ascii="Arial" w:cs="Arial" w:eastAsia="Arial" w:hAnsi="Arial"/>
          <w:b/>
          <w:bCs/>
          <w:color w:val="1DA1F2"/>
          <w:sz w:val="26"/>
          <w:szCs w:val="26"/>
        </w:rPr>
        <w:t xml:space="preserve">5.2 Content Strategy</w:t>
      </w:r>
    </w:p>
    <w:p>
      <w:pPr>
        <w:pStyle w:val="ListParagraph"/>
        <w:numPr>
          <w:ilvl w:val="0"/>
          <w:numId w:val="2"/>
        </w:numPr>
        <w:spacing w:after="80"/>
      </w:pPr>
      <w:r>
        <w:rPr>
          <w:rFonts w:ascii="Arial" w:cs="Arial" w:eastAsia="Arial" w:hAnsi="Arial"/>
          <w:sz w:val="22"/>
          <w:szCs w:val="22"/>
        </w:rPr>
        <w:t xml:space="preserve">Analyze the top-performing tweet (54,098 engagements) to identify replicable elements: topic, format, hashtags, and tone</w:t>
      </w:r>
    </w:p>
    <w:p>
      <w:pPr>
        <w:pStyle w:val="ListParagraph"/>
        <w:numPr>
          <w:ilvl w:val="0"/>
          <w:numId w:val="2"/>
        </w:numPr>
        <w:spacing w:after="80"/>
      </w:pPr>
      <w:r>
        <w:rPr>
          <w:rFonts w:ascii="Arial" w:cs="Arial" w:eastAsia="Arial" w:hAnsi="Arial"/>
          <w:sz w:val="22"/>
          <w:szCs w:val="22"/>
        </w:rPr>
        <w:t xml:space="preserve">Invest more in media-rich tweets — July's results show a 10x media engagement lift</w:t>
      </w:r>
    </w:p>
    <w:p>
      <w:pPr>
        <w:pStyle w:val="ListParagraph"/>
        <w:numPr>
          <w:ilvl w:val="0"/>
          <w:numId w:val="2"/>
        </w:numPr>
        <w:spacing w:after="80"/>
      </w:pPr>
      <w:r>
        <w:rPr>
          <w:rFonts w:ascii="Arial" w:cs="Arial" w:eastAsia="Arial" w:hAnsi="Arial"/>
          <w:sz w:val="22"/>
          <w:szCs w:val="22"/>
        </w:rPr>
        <w:t xml:space="preserve">Study the drop in October impressions to identify whether it is seasonal, algorithmic, or content-related</w:t>
      </w:r>
    </w:p>
    <w:p>
      <w:pPr>
        <w:pStyle w:val="Heading2"/>
        <w:spacing w:after="140" w:before="280"/>
      </w:pPr>
      <w:r>
        <w:rPr>
          <w:rFonts w:ascii="Arial" w:cs="Arial" w:eastAsia="Arial" w:hAnsi="Arial"/>
          <w:b/>
          <w:bCs/>
          <w:color w:val="1DA1F2"/>
          <w:sz w:val="26"/>
          <w:szCs w:val="26"/>
        </w:rPr>
        <w:t xml:space="preserve">5.3 Monitoring &amp; Reporting</w:t>
      </w:r>
    </w:p>
    <w:p>
      <w:pPr>
        <w:pStyle w:val="ListParagraph"/>
        <w:numPr>
          <w:ilvl w:val="0"/>
          <w:numId w:val="2"/>
        </w:numPr>
        <w:spacing w:after="80"/>
      </w:pPr>
      <w:r>
        <w:rPr>
          <w:rFonts w:ascii="Arial" w:cs="Arial" w:eastAsia="Arial" w:hAnsi="Arial"/>
          <w:sz w:val="22"/>
          <w:szCs w:val="22"/>
        </w:rPr>
        <w:t xml:space="preserve">Track engagement rate weekly — more stable than raw impressions and better reflects content quality</w:t>
      </w:r>
    </w:p>
    <w:p>
      <w:pPr>
        <w:pStyle w:val="ListParagraph"/>
        <w:numPr>
          <w:ilvl w:val="0"/>
          <w:numId w:val="2"/>
        </w:numPr>
        <w:spacing w:after="80"/>
      </w:pPr>
      <w:r>
        <w:rPr>
          <w:rFonts w:ascii="Arial" w:cs="Arial" w:eastAsia="Arial" w:hAnsi="Arial"/>
          <w:sz w:val="22"/>
          <w:szCs w:val="22"/>
        </w:rPr>
        <w:t xml:space="preserve">Build a monthly performance scorecard to compare against these baseline metrics</w:t>
      </w:r>
    </w:p>
    <w:p>
      <w:pPr>
        <w:pStyle w:val="ListParagraph"/>
        <w:numPr>
          <w:ilvl w:val="0"/>
          <w:numId w:val="2"/>
        </w:numPr>
        <w:spacing w:after="80"/>
      </w:pPr>
      <w:r>
        <w:rPr>
          <w:rFonts w:ascii="Arial" w:cs="Arial" w:eastAsia="Arial" w:hAnsi="Arial"/>
          <w:sz w:val="22"/>
          <w:szCs w:val="22"/>
        </w:rPr>
        <w:t xml:space="preserve">Integrate hashtag and URL click data into future analyses to measure campaign ROI</w:t>
      </w:r>
    </w:p>
    <w:p>
      <w:pPr>
        <w:pStyle w:val="Heading1"/>
        <w:spacing w:after="200" w:before="400"/>
      </w:pPr>
      <w:r>
        <w:rPr>
          <w:rFonts w:ascii="Arial" w:cs="Arial" w:eastAsia="Arial" w:hAnsi="Arial"/>
          <w:b/>
          <w:bCs/>
          <w:color w:val="0D47A1"/>
          <w:sz w:val="32"/>
          <w:szCs w:val="32"/>
        </w:rPr>
        <w:t xml:space="preserve">6. Conclusion</w:t>
      </w:r>
    </w:p>
    <w:p>
      <w:pPr>
        <w:spacing w:after="120"/>
      </w:pPr>
      <w:r>
        <w:rPr>
          <w:rFonts w:ascii="Arial" w:cs="Arial" w:eastAsia="Arial" w:hAnsi="Arial"/>
          <w:sz w:val="22"/>
          <w:szCs w:val="22"/>
        </w:rPr>
        <w:t xml:space="preserve">This Twitter analytics project demonstrates how raw social media export data can be transformed into actionable insights. With 1,166 tweets across five months, clear patterns emerge around posting timing, content quality, and media performance.</w:t>
      </w:r>
    </w:p>
    <w:p>
      <w:pPr>
        <w:spacing w:after="120"/>
      </w:pPr>
      <w:r>
        <w:rPr>
          <w:rFonts w:ascii="Arial" w:cs="Arial" w:eastAsia="Arial" w:hAnsi="Arial"/>
          <w:sz w:val="22"/>
          <w:szCs w:val="22"/>
        </w:rPr>
        <w:t xml:space="preserve">The Power BI dashboard provides an interactive interface for stakeholders to explore data by month, while the Excel dashboard offers a portable alternative. Continued tracking against these benchmarks will help the account team consistently improve reach and engagement.</w:t>
      </w:r>
    </w:p>
    <w:p>
      <w:pPr>
        <w:spacing w:after="200"/>
      </w:pPr>
    </w:p>
    <w:p>
      <w:pPr>
        <w:jc w:val="center"/>
      </w:pPr>
      <w:r>
        <w:rPr>
          <w:rFonts w:ascii="Arial" w:cs="Arial" w:eastAsia="Arial" w:hAnsi="Arial"/>
          <w:color w:val="888888"/>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pgNum/>
    <w:r>
      <w:rPr>
        <w:rFonts w:ascii="Arial" w:cs="Arial" w:eastAsia="Arial" w:hAnsi="Arial"/>
        <w:color w:val="888888"/>
        <w:sz w:val="18"/>
        <w:szCs w:val="18"/>
      </w:rPr>
      <w:t xml:space="preserve">  |  Twitter Analytics Project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Twitter Analytics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47A1"/>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DA1F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2026-05-25T02:07:37.968Z</dcterms:created>
  <dcterms:modified xsi:type="dcterms:W3CDTF">2026-05-25T02:07:37.979Z</dcterms:modified>
</cp:coreProperties>
</file>

<file path=docProps/custom.xml><?xml version="1.0" encoding="utf-8"?>
<Properties xmlns="http://schemas.openxmlformats.org/officeDocument/2006/custom-properties" xmlns:vt="http://schemas.openxmlformats.org/officeDocument/2006/docPropsVTypes"/>
</file>