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p>
    <w:p>
      <w:pPr>
        <w:shd w:fill="1A3C5E" w:val="clear"/>
        <w:spacing w:after="60" w:before="0"/>
        <w:jc w:val="center"/>
      </w:pPr>
      <w:r>
        <w:rPr>
          <w:rFonts w:ascii="Arial" w:cs="Arial" w:eastAsia="Arial" w:hAnsi="Arial"/>
          <w:sz w:val="4"/>
          <w:szCs w:val="4"/>
        </w:rPr>
        <w:t xml:space="preserve"/>
      </w:r>
    </w:p>
    <w:p>
      <w:pPr>
        <w:spacing w:after="80" w:before="200"/>
        <w:jc w:val="center"/>
      </w:pPr>
      <w:r>
        <w:rPr>
          <w:rFonts w:ascii="Arial" w:cs="Arial" w:eastAsia="Arial" w:hAnsi="Arial"/>
          <w:sz w:val="96"/>
          <w:szCs w:val="96"/>
        </w:rPr>
        <w:t xml:space="preserve">📊</w:t>
      </w:r>
    </w:p>
    <w:p>
      <w:pPr>
        <w:spacing w:after="40" w:before="80"/>
        <w:jc w:val="center"/>
      </w:pPr>
      <w:r>
        <w:rPr>
          <w:rFonts w:ascii="Arial" w:cs="Arial" w:eastAsia="Arial" w:hAnsi="Arial"/>
          <w:b/>
          <w:bCs/>
          <w:color w:val="1A3C5E"/>
          <w:sz w:val="56"/>
          <w:szCs w:val="56"/>
        </w:rPr>
        <w:t xml:space="preserve">SALES ANALYSIS REPORT</w:t>
      </w:r>
    </w:p>
    <w:p>
      <w:pPr>
        <w:spacing w:after="120" w:before="20"/>
        <w:jc w:val="center"/>
      </w:pPr>
      <w:r>
        <w:rPr>
          <w:rFonts w:ascii="Arial" w:cs="Arial" w:eastAsia="Arial" w:hAnsi="Arial"/>
          <w:i/>
          <w:iCs/>
          <w:color w:val="2E86AB"/>
          <w:sz w:val="28"/>
          <w:szCs w:val="28"/>
        </w:rPr>
        <w:t xml:space="preserve">Superstore Dataset  ·  Data-Driven Business Insights</w:t>
      </w:r>
    </w:p>
    <w:p>
      <w:pPr>
        <w:pBdr>
          <w:bottom w:val="single" w:color="F39C12" w:sz="12" w:space="1"/>
        </w:pBdr>
        <w:spacing w:after="60" w:before="60"/>
      </w:pPr>
    </w:p>
    <w:p>
      <w:pPr>
        <w:spacing w:after="100" w:before="100"/>
      </w:pPr>
    </w:p>
    <w:p>
      <w:pPr>
        <w:shd w:fill="EAF4FB" w:val="clear"/>
        <w:spacing w:after="40" w:before="80"/>
        <w:jc w:val="center"/>
      </w:pPr>
      <w:r>
        <w:rPr>
          <w:rFonts w:ascii="Arial" w:cs="Arial" w:eastAsia="Arial" w:hAnsi="Arial"/>
          <w:color w:val="2C3E50"/>
          <w:sz w:val="22"/>
          <w:szCs w:val="22"/>
        </w:rPr>
        <w:t xml:space="preserve">Prepared for:  Digital Egypt Pioneers Initiative (DEPI)</w:t>
      </w:r>
    </w:p>
    <w:p>
      <w:pPr>
        <w:shd w:fill="EAF4FB" w:val="clear"/>
        <w:spacing w:after="20" w:before="20"/>
        <w:jc w:val="center"/>
      </w:pPr>
      <w:r>
        <w:rPr>
          <w:rFonts w:ascii="Arial" w:cs="Arial" w:eastAsia="Arial" w:hAnsi="Arial"/>
          <w:color w:val="7F8C8D"/>
          <w:sz w:val="20"/>
          <w:szCs w:val="20"/>
        </w:rPr>
        <w:t xml:space="preserve">📅  Year: 2026     |     🔒  Confidential</w:t>
      </w:r>
    </w:p>
    <w:p>
      <w:pPr>
        <w:spacing w:after="100" w:before="200"/>
      </w:pPr>
    </w:p>
    <w:p>
      <w:pPr>
        <w:pBdr>
          <w:bottom w:val="single" w:color="2E86AB" w:sz="12" w:space="1"/>
        </w:pBdr>
        <w:spacing w:after="60" w:before="60"/>
      </w:pPr>
    </w:p>
    <w:p>
      <w:pPr>
        <w:spacing w:after="80" w:before="120"/>
      </w:pPr>
    </w:p>
    <w:p>
      <w:pPr>
        <w:spacing w:after="40" w:before="80"/>
        <w:jc w:val="center"/>
      </w:pPr>
      <w:r>
        <w:rPr>
          <w:rFonts w:ascii="Arial" w:cs="Arial" w:eastAsia="Arial" w:hAnsi="Arial"/>
          <w:b/>
          <w:bCs/>
          <w:color w:val="1A3C5E"/>
          <w:sz w:val="28"/>
          <w:szCs w:val="28"/>
        </w:rPr>
        <w:t xml:space="preserve">Key Performance Indicators</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7A589" w:val="clear"/>
            <w:tcMar>
              <w:top w:type="dxa" w:w="160"/>
              <w:left w:type="dxa" w:w="200"/>
              <w:bottom w:type="dxa" w:w="160"/>
              <w:right w:type="dxa" w:w="200"/>
            </w:tcMar>
            <w:vAlign w:val="center"/>
          </w:tcPr>
          <w:p>
            <w:pPr>
              <w:spacing w:after="20" w:before="40"/>
              <w:jc w:val="center"/>
            </w:pPr>
            <w:r>
              <w:rPr>
                <w:rFonts w:ascii="Arial" w:cs="Arial" w:eastAsia="Arial" w:hAnsi="Arial"/>
                <w:sz w:val="48"/>
                <w:szCs w:val="48"/>
              </w:rPr>
              <w:t xml:space="preserve">💰</w:t>
            </w:r>
          </w:p>
          <w:p>
            <w:pPr>
              <w:spacing w:after="20" w:before="20"/>
              <w:jc w:val="center"/>
            </w:pPr>
            <w:r>
              <w:rPr>
                <w:rFonts w:ascii="Arial" w:cs="Arial" w:eastAsia="Arial" w:hAnsi="Arial"/>
                <w:b/>
                <w:bCs/>
                <w:color w:val="FFFFFF"/>
                <w:sz w:val="26"/>
                <w:szCs w:val="26"/>
              </w:rPr>
              <w:t xml:space="preserve">$2.26M</w:t>
            </w:r>
          </w:p>
          <w:p>
            <w:pPr>
              <w:spacing w:after="40" w:before="20"/>
              <w:jc w:val="center"/>
            </w:pPr>
            <w:r>
              <w:rPr>
                <w:rFonts w:ascii="Arial" w:cs="Arial" w:eastAsia="Arial" w:hAnsi="Arial"/>
                <w:color w:val="E8F8F5"/>
                <w:sz w:val="18"/>
                <w:szCs w:val="18"/>
              </w:rPr>
              <w:t xml:space="preserve">إجمالي المبيعات</w:t>
            </w:r>
          </w:p>
        </w:tc>
        <w:tc>
          <w:tcPr>
            <w:tcW w:type="dxa" w:w="2340"/>
            <w:tcBorders>
              <w:top w:val="none" w:color="FFFFFF" w:sz="0"/>
              <w:left w:val="none" w:color="FFFFFF" w:sz="0"/>
              <w:bottom w:val="none" w:color="FFFFFF" w:sz="0"/>
              <w:right w:val="none" w:color="FFFFFF" w:sz="0"/>
            </w:tcBorders>
            <w:shd w:fill="2E86AB" w:val="clear"/>
            <w:tcMar>
              <w:top w:type="dxa" w:w="160"/>
              <w:left w:type="dxa" w:w="200"/>
              <w:bottom w:type="dxa" w:w="160"/>
              <w:right w:type="dxa" w:w="200"/>
            </w:tcMar>
            <w:vAlign w:val="center"/>
          </w:tcPr>
          <w:p>
            <w:pPr>
              <w:spacing w:after="20" w:before="40"/>
              <w:jc w:val="center"/>
            </w:pPr>
            <w:r>
              <w:rPr>
                <w:rFonts w:ascii="Arial" w:cs="Arial" w:eastAsia="Arial" w:hAnsi="Arial"/>
                <w:sz w:val="48"/>
                <w:szCs w:val="48"/>
              </w:rPr>
              <w:t xml:space="preserve">📦</w:t>
            </w:r>
          </w:p>
          <w:p>
            <w:pPr>
              <w:spacing w:after="20" w:before="20"/>
              <w:jc w:val="center"/>
            </w:pPr>
            <w:r>
              <w:rPr>
                <w:rFonts w:ascii="Arial" w:cs="Arial" w:eastAsia="Arial" w:hAnsi="Arial"/>
                <w:b/>
                <w:bCs/>
                <w:color w:val="FFFFFF"/>
                <w:sz w:val="26"/>
                <w:szCs w:val="26"/>
              </w:rPr>
              <w:t xml:space="preserve">Office Supplies</w:t>
            </w:r>
          </w:p>
          <w:p>
            <w:pPr>
              <w:spacing w:after="40" w:before="20"/>
              <w:jc w:val="center"/>
            </w:pPr>
            <w:r>
              <w:rPr>
                <w:rFonts w:ascii="Arial" w:cs="Arial" w:eastAsia="Arial" w:hAnsi="Arial"/>
                <w:color w:val="E8F8F5"/>
                <w:sz w:val="18"/>
                <w:szCs w:val="18"/>
              </w:rPr>
              <w:t xml:space="preserve">أعلى فئة</w:t>
            </w:r>
          </w:p>
        </w:tc>
        <w:tc>
          <w:tcPr>
            <w:tcW w:type="dxa" w:w="2340"/>
            <w:tcBorders>
              <w:top w:val="none" w:color="FFFFFF" w:sz="0"/>
              <w:left w:val="none" w:color="FFFFFF" w:sz="0"/>
              <w:bottom w:val="none" w:color="FFFFFF" w:sz="0"/>
              <w:right w:val="none" w:color="FFFFFF" w:sz="0"/>
            </w:tcBorders>
            <w:shd w:fill="F39C12" w:val="clear"/>
            <w:tcMar>
              <w:top w:type="dxa" w:w="160"/>
              <w:left w:type="dxa" w:w="200"/>
              <w:bottom w:type="dxa" w:w="160"/>
              <w:right w:type="dxa" w:w="200"/>
            </w:tcMar>
            <w:vAlign w:val="center"/>
          </w:tcPr>
          <w:p>
            <w:pPr>
              <w:spacing w:after="20" w:before="40"/>
              <w:jc w:val="center"/>
            </w:pPr>
            <w:r>
              <w:rPr>
                <w:rFonts w:ascii="Arial" w:cs="Arial" w:eastAsia="Arial" w:hAnsi="Arial"/>
                <w:sz w:val="48"/>
                <w:szCs w:val="48"/>
              </w:rPr>
              <w:t xml:space="preserve">🌍</w:t>
            </w:r>
          </w:p>
          <w:p>
            <w:pPr>
              <w:spacing w:after="20" w:before="20"/>
              <w:jc w:val="center"/>
            </w:pPr>
            <w:r>
              <w:rPr>
                <w:rFonts w:ascii="Arial" w:cs="Arial" w:eastAsia="Arial" w:hAnsi="Arial"/>
                <w:b/>
                <w:bCs/>
                <w:color w:val="FFFFFF"/>
                <w:sz w:val="26"/>
                <w:szCs w:val="26"/>
              </w:rPr>
              <w:t xml:space="preserve">West Region</w:t>
            </w:r>
          </w:p>
          <w:p>
            <w:pPr>
              <w:spacing w:after="40" w:before="20"/>
              <w:jc w:val="center"/>
            </w:pPr>
            <w:r>
              <w:rPr>
                <w:rFonts w:ascii="Arial" w:cs="Arial" w:eastAsia="Arial" w:hAnsi="Arial"/>
                <w:color w:val="E8F8F5"/>
                <w:sz w:val="18"/>
                <w:szCs w:val="18"/>
              </w:rPr>
              <w:t xml:space="preserve">أفضل منطقة</w:t>
            </w:r>
          </w:p>
        </w:tc>
        <w:tc>
          <w:tcPr>
            <w:tcW w:type="dxa" w:w="234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vAlign w:val="center"/>
          </w:tcPr>
          <w:p>
            <w:pPr>
              <w:spacing w:after="20" w:before="40"/>
              <w:jc w:val="center"/>
            </w:pPr>
            <w:r>
              <w:rPr>
                <w:rFonts w:ascii="Arial" w:cs="Arial" w:eastAsia="Arial" w:hAnsi="Arial"/>
                <w:sz w:val="48"/>
                <w:szCs w:val="48"/>
              </w:rPr>
              <w:t xml:space="preserve">📈</w:t>
            </w:r>
          </w:p>
          <w:p>
            <w:pPr>
              <w:spacing w:after="20" w:before="20"/>
              <w:jc w:val="center"/>
            </w:pPr>
            <w:r>
              <w:rPr>
                <w:rFonts w:ascii="Arial" w:cs="Arial" w:eastAsia="Arial" w:hAnsi="Arial"/>
                <w:b/>
                <w:bCs/>
                <w:color w:val="FFFFFF"/>
                <w:sz w:val="26"/>
                <w:szCs w:val="26"/>
              </w:rPr>
              <w:t xml:space="preserve">نوفمبر / ديسمبر</w:t>
            </w:r>
          </w:p>
          <w:p>
            <w:pPr>
              <w:spacing w:after="40" w:before="20"/>
              <w:jc w:val="center"/>
            </w:pPr>
            <w:r>
              <w:rPr>
                <w:rFonts w:ascii="Arial" w:cs="Arial" w:eastAsia="Arial" w:hAnsi="Arial"/>
                <w:color w:val="E8F8F5"/>
                <w:sz w:val="18"/>
                <w:szCs w:val="18"/>
              </w:rPr>
              <w:t xml:space="preserve">ذروة المبيعات</w:t>
            </w:r>
          </w:p>
        </w:tc>
      </w:tr>
    </w:tbl>
    <w:p>
      <w:pPr>
        <w:spacing w:after="100" w:before="200"/>
      </w:pPr>
    </w:p>
    <w:p>
      <w:r>
        <w:br w:type="page"/>
      </w:r>
    </w:p>
    <w:p>
      <w:pPr>
        <w:spacing w:before="200" w:after="80"/>
      </w:pPr>
      <w:r>
        <w:rPr>
          <w:rFonts w:ascii="Arial" w:hAnsi="Arial"/>
          <w:b/>
          <w:color w:val="1A3C5E"/>
          <w:sz w:val="40"/>
        </w:rPr>
        <w:t>Table of Contents</w:t>
      </w:r>
    </w:p>
    <w:p>
      <w:pPr>
        <w:pBdr>
          <w:bottom w:val="single" w:color="F39C12" w:sz="12" w:space="1"/>
        </w:pBdr>
        <w:spacing w:before="0" w:after="120"/>
      </w:pPr>
    </w:p>
    <w:p>
      <w:pPr>
        <w:shd w:fill="EAF4FB" w:val="clear"/>
        <w:spacing w:before="80" w:after="80"/>
        <w:tabs>
          <w:tab w:val="right" w:leader="dot" w:pos="9000"/>
        </w:tabs>
      </w:pPr>
      <w:r>
        <w:rPr>
          <w:rFonts w:ascii="Arial" w:hAnsi="Arial"/>
          <w:b/>
          <w:color w:val="1A3C5E"/>
          <w:sz w:val="22"/>
        </w:rPr>
        <w:t xml:space="preserve">  01  </w:t>
      </w:r>
      <w:r>
        <w:rPr>
          <w:rFonts w:ascii="Arial" w:hAnsi="Arial"/>
          <w:color w:val="2C3E50"/>
          <w:sz w:val="22"/>
        </w:rPr>
        <w:t>Introduction</w:t>
      </w:r>
      <w:r>
        <w:rPr>
          <w:rFonts w:ascii="Arial" w:hAnsi="Arial"/>
          <w:color w:val="2C3E50"/>
          <w:sz w:val="22"/>
        </w:rPr>
        <w:tab/>
      </w:r>
      <w:r>
        <w:rPr>
          <w:rFonts w:ascii="Arial" w:hAnsi="Arial"/>
          <w:b/>
          <w:color w:val="1A3C5E"/>
          <w:sz w:val="22"/>
        </w:rPr>
        <w:t>3</w:t>
      </w:r>
    </w:p>
    <w:p>
      <w:pPr>
        <w:spacing w:before="80" w:after="80"/>
        <w:tabs>
          <w:tab w:val="right" w:leader="dot" w:pos="9000"/>
        </w:tabs>
      </w:pPr>
      <w:r>
        <w:rPr>
          <w:rFonts w:ascii="Arial" w:hAnsi="Arial"/>
          <w:b/>
          <w:color w:val="1A3C5E"/>
          <w:sz w:val="22"/>
        </w:rPr>
        <w:t xml:space="preserve">  02  </w:t>
      </w:r>
      <w:r>
        <w:rPr>
          <w:rFonts w:ascii="Arial" w:hAnsi="Arial"/>
          <w:color w:val="2C3E50"/>
          <w:sz w:val="22"/>
        </w:rPr>
        <w:t>Data Preparation</w:t>
      </w:r>
      <w:r>
        <w:rPr>
          <w:rFonts w:ascii="Arial" w:hAnsi="Arial"/>
          <w:color w:val="2C3E50"/>
          <w:sz w:val="22"/>
        </w:rPr>
        <w:tab/>
      </w:r>
      <w:r>
        <w:rPr>
          <w:rFonts w:ascii="Arial" w:hAnsi="Arial"/>
          <w:b/>
          <w:color w:val="1A3C5E"/>
          <w:sz w:val="22"/>
        </w:rPr>
        <w:t>4</w:t>
      </w:r>
    </w:p>
    <w:p>
      <w:pPr>
        <w:shd w:fill="EAF4FB" w:val="clear"/>
        <w:spacing w:before="80" w:after="80"/>
        <w:tabs>
          <w:tab w:val="right" w:leader="dot" w:pos="9000"/>
        </w:tabs>
      </w:pPr>
      <w:r>
        <w:rPr>
          <w:rFonts w:ascii="Arial" w:hAnsi="Arial"/>
          <w:b/>
          <w:color w:val="1A3C5E"/>
          <w:sz w:val="22"/>
        </w:rPr>
        <w:t xml:space="preserve">  03  </w:t>
      </w:r>
      <w:r>
        <w:rPr>
          <w:rFonts w:ascii="Arial" w:hAnsi="Arial"/>
          <w:color w:val="2C3E50"/>
          <w:sz w:val="22"/>
        </w:rPr>
        <w:t xml:space="preserve">Data Analysis &amp; Findings</w:t>
      </w:r>
      <w:r>
        <w:rPr>
          <w:rFonts w:ascii="Arial" w:hAnsi="Arial"/>
          <w:color w:val="2C3E50"/>
          <w:sz w:val="22"/>
        </w:rPr>
        <w:tab/>
      </w:r>
      <w:r>
        <w:rPr>
          <w:rFonts w:ascii="Arial" w:hAnsi="Arial"/>
          <w:b/>
          <w:color w:val="1A3C5E"/>
          <w:sz w:val="22"/>
        </w:rPr>
        <w:t>5</w:t>
      </w:r>
    </w:p>
    <w:p>
      <w:pPr>
        <w:spacing w:before="80" w:after="80"/>
        <w:tabs>
          <w:tab w:val="right" w:leader="dot" w:pos="9000"/>
        </w:tabs>
      </w:pPr>
      <w:r>
        <w:rPr>
          <w:rFonts w:ascii="Arial" w:hAnsi="Arial"/>
          <w:b/>
          <w:color w:val="1A3C5E"/>
          <w:sz w:val="22"/>
        </w:rPr>
        <w:t xml:space="preserve">  04  </w:t>
      </w:r>
      <w:r>
        <w:rPr>
          <w:rFonts w:ascii="Arial" w:hAnsi="Arial"/>
          <w:color w:val="2C3E50"/>
          <w:sz w:val="22"/>
        </w:rPr>
        <w:t>Power BI Dashboard Overview</w:t>
      </w:r>
      <w:r>
        <w:rPr>
          <w:rFonts w:ascii="Arial" w:hAnsi="Arial"/>
          <w:color w:val="2C3E50"/>
          <w:sz w:val="22"/>
        </w:rPr>
        <w:tab/>
      </w:r>
      <w:r>
        <w:rPr>
          <w:rFonts w:ascii="Arial" w:hAnsi="Arial"/>
          <w:b/>
          <w:color w:val="1A3C5E"/>
          <w:sz w:val="22"/>
        </w:rPr>
        <w:t>6</w:t>
      </w:r>
    </w:p>
    <w:p>
      <w:pPr>
        <w:shd w:fill="EAF4FB" w:val="clear"/>
        <w:spacing w:before="80" w:after="80"/>
        <w:tabs>
          <w:tab w:val="right" w:leader="dot" w:pos="9000"/>
        </w:tabs>
      </w:pPr>
      <w:r>
        <w:rPr>
          <w:rFonts w:ascii="Arial" w:hAnsi="Arial"/>
          <w:b/>
          <w:color w:val="1A3C5E"/>
          <w:sz w:val="22"/>
        </w:rPr>
        <w:t xml:space="preserve">  05  </w:t>
      </w:r>
      <w:r>
        <w:rPr>
          <w:rFonts w:ascii="Arial" w:hAnsi="Arial"/>
          <w:color w:val="2C3E50"/>
          <w:sz w:val="22"/>
        </w:rPr>
        <w:t>Key Business Insights</w:t>
      </w:r>
      <w:r>
        <w:rPr>
          <w:rFonts w:ascii="Arial" w:hAnsi="Arial"/>
          <w:color w:val="2C3E50"/>
          <w:sz w:val="22"/>
        </w:rPr>
        <w:tab/>
      </w:r>
      <w:r>
        <w:rPr>
          <w:rFonts w:ascii="Arial" w:hAnsi="Arial"/>
          <w:b/>
          <w:color w:val="1A3C5E"/>
          <w:sz w:val="22"/>
        </w:rPr>
        <w:t>7</w:t>
      </w:r>
    </w:p>
    <w:p>
      <w:pPr>
        <w:spacing w:before="80" w:after="80"/>
        <w:tabs>
          <w:tab w:val="right" w:leader="dot" w:pos="9000"/>
        </w:tabs>
      </w:pPr>
      <w:r>
        <w:rPr>
          <w:rFonts w:ascii="Arial" w:hAnsi="Arial"/>
          <w:b/>
          <w:color w:val="1A3C5E"/>
          <w:sz w:val="22"/>
        </w:rPr>
        <w:t xml:space="preserve">  06  </w:t>
      </w:r>
      <w:r>
        <w:rPr>
          <w:rFonts w:ascii="Arial" w:hAnsi="Arial"/>
          <w:color w:val="2C3E50"/>
          <w:sz w:val="22"/>
        </w:rPr>
        <w:t>Strategic Recommendations</w:t>
      </w:r>
      <w:r>
        <w:rPr>
          <w:rFonts w:ascii="Arial" w:hAnsi="Arial"/>
          <w:color w:val="2C3E50"/>
          <w:sz w:val="22"/>
        </w:rPr>
        <w:tab/>
      </w:r>
      <w:r>
        <w:rPr>
          <w:rFonts w:ascii="Arial" w:hAnsi="Arial"/>
          <w:b/>
          <w:color w:val="1A3C5E"/>
          <w:sz w:val="22"/>
        </w:rPr>
        <w:t>8</w:t>
      </w:r>
    </w:p>
    <w:p>
      <w:pPr>
        <w:shd w:fill="EAF4FB" w:val="clear"/>
        <w:spacing w:before="80" w:after="80"/>
        <w:tabs>
          <w:tab w:val="right" w:leader="dot" w:pos="9000"/>
        </w:tabs>
      </w:pPr>
      <w:r>
        <w:rPr>
          <w:rFonts w:ascii="Arial" w:hAnsi="Arial"/>
          <w:b/>
          <w:color w:val="1A3C5E"/>
          <w:sz w:val="22"/>
        </w:rPr>
        <w:t xml:space="preserve">  07  </w:t>
      </w:r>
      <w:r>
        <w:rPr>
          <w:rFonts w:ascii="Arial" w:hAnsi="Arial"/>
          <w:color w:val="2C3E50"/>
          <w:sz w:val="22"/>
        </w:rPr>
        <w:t>Conclusion</w:t>
      </w:r>
      <w:r>
        <w:rPr>
          <w:rFonts w:ascii="Arial" w:hAnsi="Arial"/>
          <w:color w:val="2C3E50"/>
          <w:sz w:val="22"/>
        </w:rPr>
        <w:tab/>
      </w:r>
      <w:r>
        <w:rPr>
          <w:rFonts w:ascii="Arial" w:hAnsi="Arial"/>
          <w:b/>
          <w:color w:val="1A3C5E"/>
          <w:sz w:val="22"/>
        </w:rPr>
        <w:t>9</w:t>
      </w:r>
    </w:p>
    <w:p>
      <w:pPr>
        <w:pBdr>
          <w:bottom w:val="single" w:color="F39C12" w:sz="12" w:space="1"/>
        </w:pBdr>
        <w:spacing w:before="120" w:after="60"/>
      </w:pPr>
    </w:p>
    <w:p>
      <w:r>
        <w:br w:type="page"/>
      </w:r>
    </w:p>
    <w:p>
      <w:pPr>
        <w:pBdr>
          <w:left w:val="single" w:color="F39C12" w:sz="36" w:space="8"/>
        </w:pBdr>
        <w:shd w:fill="1A3C5E" w:val="clear"/>
        <w:spacing w:after="160" w:before="360"/>
        <w:ind w:left="0"/>
      </w:pPr>
      <w:r>
        <w:rPr>
          <w:rFonts w:ascii="Arial" w:cs="Arial" w:eastAsia="Arial" w:hAnsi="Arial"/>
          <w:b/>
          <w:bCs/>
          <w:color w:val="FFFFFF"/>
          <w:sz w:val="30"/>
          <w:szCs w:val="30"/>
        </w:rPr>
        <w:t xml:space="preserve">  01   Introduction</w:t>
      </w:r>
    </w:p>
    <w:p>
      <w:pPr>
        <w:spacing w:after="60" w:before="60"/>
      </w:pPr>
    </w:p>
    <w:p>
      <w:pPr>
        <w:spacing w:after="80" w:before="80"/>
      </w:pPr>
      <w:r>
        <w:rPr>
          <w:rFonts w:ascii="Arial" w:cs="Arial" w:eastAsia="Arial" w:hAnsi="Arial"/>
          <w:b w:val="false"/>
          <w:bCs w:val="false"/>
          <w:color w:val="2C3E50"/>
          <w:sz w:val="22"/>
          <w:szCs w:val="22"/>
        </w:rPr>
        <w:t xml:space="preserve">In today's competitive retail landscape, the ability to transform raw transactional data into actionable business intelligence is a critical differentiator. Organizations that leverage data-driven decision-making consistently outperform their peers in revenue growth and operational efficiency.</w:t>
      </w:r>
    </w:p>
    <w:p>
      <w:pPr>
        <w:spacing w:after="60" w:before="60"/>
      </w:pPr>
    </w:p>
    <w:p>
      <w:pPr>
        <w:spacing w:after="80" w:before="80"/>
      </w:pPr>
      <w:r>
        <w:rPr>
          <w:rFonts w:ascii="Arial" w:cs="Arial" w:eastAsia="Arial" w:hAnsi="Arial"/>
          <w:b w:val="false"/>
          <w:bCs w:val="false"/>
          <w:color w:val="2C3E50"/>
          <w:sz w:val="22"/>
          <w:szCs w:val="22"/>
        </w:rPr>
        <w:t xml:space="preserve">This report presents a comprehensive analysis of the Superstore retail dataset — encompassing thousands of transactions across multiple product categories, geographic regions, customer segments, and time periods. The analysis was conducted as part of the Digital Egypt Pioneers Initiative (DEPI) to demonstrate practical applications of data analytics in real-world business scenarios.</w:t>
      </w:r>
    </w:p>
    <w:p>
      <w:pPr>
        <w:spacing w:after="60" w:before="60"/>
      </w:pPr>
    </w:p>
    <w:p>
      <w:pPr>
        <w:spacing w:after="80" w:before="120"/>
      </w:pPr>
      <w:r>
        <w:rPr>
          <w:rFonts w:ascii="Arial" w:cs="Arial" w:eastAsia="Arial" w:hAnsi="Arial"/>
          <w:b/>
          <w:bCs/>
          <w:color w:val="2E86AB"/>
          <w:sz w:val="24"/>
          <w:szCs w:val="24"/>
        </w:rPr>
        <w:t xml:space="preserve">🎯  Project Objectives</w:t>
      </w:r>
    </w:p>
    <w:p>
      <w:pPr>
        <w:pStyle w:val="ListParagraph"/>
        <w:numPr>
          <w:ilvl w:val="0"/>
          <w:numId w:val="2"/>
        </w:numPr>
        <w:spacing w:after="60" w:before="60"/>
      </w:pPr>
      <w:r>
        <w:rPr>
          <w:rFonts w:ascii="Arial" w:cs="Arial" w:eastAsia="Arial" w:hAnsi="Arial"/>
          <w:color w:val="2C3E50"/>
          <w:sz w:val="22"/>
          <w:szCs w:val="22"/>
        </w:rPr>
        <w:t xml:space="preserve">Identify top-performing and underperforming product categories and sub-categories</w:t>
      </w:r>
    </w:p>
    <w:p>
      <w:pPr>
        <w:pStyle w:val="ListParagraph"/>
        <w:numPr>
          <w:ilvl w:val="0"/>
          <w:numId w:val="2"/>
        </w:numPr>
        <w:spacing w:after="60" w:before="60"/>
      </w:pPr>
      <w:r>
        <w:rPr>
          <w:rFonts w:ascii="Arial" w:cs="Arial" w:eastAsia="Arial" w:hAnsi="Arial"/>
          <w:color w:val="2C3E50"/>
          <w:sz w:val="22"/>
          <w:szCs w:val="22"/>
        </w:rPr>
        <w:t xml:space="preserve">Understand geographical distribution of sales across U.S. regions</w:t>
      </w:r>
    </w:p>
    <w:p>
      <w:pPr>
        <w:pStyle w:val="ListParagraph"/>
        <w:numPr>
          <w:ilvl w:val="0"/>
          <w:numId w:val="2"/>
        </w:numPr>
        <w:spacing w:after="60" w:before="60"/>
      </w:pPr>
      <w:r>
        <w:rPr>
          <w:rFonts w:ascii="Arial" w:cs="Arial" w:eastAsia="Arial" w:hAnsi="Arial"/>
          <w:color w:val="2C3E50"/>
          <w:sz w:val="22"/>
          <w:szCs w:val="22"/>
        </w:rPr>
        <w:t xml:space="preserve">Detect seasonal sales patterns and trend cycles</w:t>
      </w:r>
    </w:p>
    <w:p>
      <w:pPr>
        <w:pStyle w:val="ListParagraph"/>
        <w:numPr>
          <w:ilvl w:val="0"/>
          <w:numId w:val="2"/>
        </w:numPr>
        <w:spacing w:after="60" w:before="60"/>
      </w:pPr>
      <w:r>
        <w:rPr>
          <w:rFonts w:ascii="Arial" w:cs="Arial" w:eastAsia="Arial" w:hAnsi="Arial"/>
          <w:color w:val="2C3E50"/>
          <w:sz w:val="22"/>
          <w:szCs w:val="22"/>
        </w:rPr>
        <w:t xml:space="preserve">Pinpoint high-value customer segments for targeted strategies</w:t>
      </w:r>
    </w:p>
    <w:p>
      <w:pPr>
        <w:pStyle w:val="ListParagraph"/>
        <w:numPr>
          <w:ilvl w:val="0"/>
          <w:numId w:val="2"/>
        </w:numPr>
        <w:spacing w:after="60" w:before="60"/>
      </w:pPr>
      <w:r>
        <w:rPr>
          <w:rFonts w:ascii="Arial" w:cs="Arial" w:eastAsia="Arial" w:hAnsi="Arial"/>
          <w:color w:val="2C3E50"/>
          <w:sz w:val="22"/>
          <w:szCs w:val="22"/>
        </w:rPr>
        <w:t xml:space="preserve">Build an interactive Power BI dashboard for stakeholder reporting</w:t>
      </w:r>
    </w:p>
    <w:p>
      <w:pPr>
        <w:spacing w:after="40" w:before="80"/>
      </w:pPr>
    </w:p>
    <w:p>
      <w:pPr>
        <w:spacing w:after="80" w:before="120"/>
      </w:pPr>
      <w:r>
        <w:rPr>
          <w:rFonts w:ascii="Arial" w:cs="Arial" w:eastAsia="Arial" w:hAnsi="Arial"/>
          <w:b/>
          <w:bCs/>
          <w:color w:val="2E86AB"/>
          <w:sz w:val="24"/>
          <w:szCs w:val="24"/>
        </w:rPr>
        <w:t xml:space="preserve">📋  Dataset Overview</w:t>
      </w:r>
    </w:p>
    <w:p>
      <w:pPr>
        <w:pBdr>
          <w:left w:val="single" w:color="2E86AB" w:sz="24" w:space="6"/>
        </w:pBdr>
        <w:shd w:fill="EAF4FB" w:val="clear"/>
        <w:spacing w:after="100" w:before="100"/>
        <w:ind w:left="200" w:right="200"/>
      </w:pPr>
      <w:r>
        <w:rPr>
          <w:rFonts w:ascii="Arial" w:cs="Arial" w:eastAsia="Arial" w:hAnsi="Arial"/>
          <w:b/>
          <w:bCs/>
          <w:color w:val="2E86AB"/>
          <w:sz w:val="24"/>
          <w:szCs w:val="24"/>
        </w:rPr>
        <w:t xml:space="preserve">📦  </w:t>
      </w:r>
      <w:r>
        <w:rPr>
          <w:rFonts w:ascii="Arial" w:cs="Arial" w:eastAsia="Arial" w:hAnsi="Arial"/>
          <w:b/>
          <w:bCs/>
          <w:color w:val="2C3E50"/>
          <w:sz w:val="22"/>
          <w:szCs w:val="22"/>
        </w:rPr>
        <w:t xml:space="preserve">Source: </w:t>
      </w:r>
      <w:r>
        <w:rPr>
          <w:rFonts w:ascii="Arial" w:cs="Arial" w:eastAsia="Arial" w:hAnsi="Arial"/>
          <w:color w:val="2C3E50"/>
          <w:sz w:val="22"/>
          <w:szCs w:val="22"/>
        </w:rPr>
        <w:t xml:space="preserve">Superstore retail dataset — a widely used benchmark dataset in business analytics.</w:t>
      </w:r>
    </w:p>
    <w:p>
      <w:pPr>
        <w:spacing w:after="20" w:before="20"/>
      </w:pPr>
    </w:p>
    <w:p>
      <w:pPr>
        <w:pBdr>
          <w:left w:val="single" w:color="2E86AB" w:sz="24" w:space="6"/>
        </w:pBdr>
        <w:shd w:fill="EAF4FB" w:val="clear"/>
        <w:spacing w:after="100" w:before="100"/>
        <w:ind w:left="200" w:right="200"/>
      </w:pPr>
      <w:r>
        <w:rPr>
          <w:rFonts w:ascii="Arial" w:cs="Arial" w:eastAsia="Arial" w:hAnsi="Arial"/>
          <w:b/>
          <w:bCs/>
          <w:color w:val="2E86AB"/>
          <w:sz w:val="24"/>
          <w:szCs w:val="24"/>
        </w:rPr>
        <w:t xml:space="preserve">📊  </w:t>
      </w:r>
      <w:r>
        <w:rPr>
          <w:rFonts w:ascii="Arial" w:cs="Arial" w:eastAsia="Arial" w:hAnsi="Arial"/>
          <w:b/>
          <w:bCs/>
          <w:color w:val="2C3E50"/>
          <w:sz w:val="22"/>
          <w:szCs w:val="22"/>
        </w:rPr>
        <w:t xml:space="preserve">Scope: </w:t>
      </w:r>
      <w:r>
        <w:rPr>
          <w:rFonts w:ascii="Arial" w:cs="Arial" w:eastAsia="Arial" w:hAnsi="Arial"/>
          <w:color w:val="2C3E50"/>
          <w:sz w:val="22"/>
          <w:szCs w:val="22"/>
        </w:rPr>
        <w:t xml:space="preserve">Multi-year sales transactions across product categories, regions, and customer segments.</w:t>
      </w:r>
    </w:p>
    <w:p>
      <w:pPr>
        <w:spacing w:after="20" w:before="20"/>
      </w:pPr>
    </w:p>
    <w:p>
      <w:pPr>
        <w:pBdr>
          <w:left w:val="single" w:color="2E86AB" w:sz="24" w:space="6"/>
        </w:pBdr>
        <w:shd w:fill="EAF4FB" w:val="clear"/>
        <w:spacing w:after="100" w:before="100"/>
        <w:ind w:left="200" w:right="200"/>
      </w:pPr>
      <w:r>
        <w:rPr>
          <w:rFonts w:ascii="Arial" w:cs="Arial" w:eastAsia="Arial" w:hAnsi="Arial"/>
          <w:b/>
          <w:bCs/>
          <w:color w:val="2E86AB"/>
          <w:sz w:val="24"/>
          <w:szCs w:val="24"/>
        </w:rPr>
        <w:t xml:space="preserve">🔧  </w:t>
      </w:r>
      <w:r>
        <w:rPr>
          <w:rFonts w:ascii="Arial" w:cs="Arial" w:eastAsia="Arial" w:hAnsi="Arial"/>
          <w:b/>
          <w:bCs/>
          <w:color w:val="2C3E50"/>
          <w:sz w:val="22"/>
          <w:szCs w:val="22"/>
        </w:rPr>
        <w:t xml:space="preserve">Tool: </w:t>
      </w:r>
      <w:r>
        <w:rPr>
          <w:rFonts w:ascii="Arial" w:cs="Arial" w:eastAsia="Arial" w:hAnsi="Arial"/>
          <w:color w:val="2C3E50"/>
          <w:sz w:val="22"/>
          <w:szCs w:val="22"/>
        </w:rPr>
        <w:t xml:space="preserve">Python (Pandas, Matplotlib) for analysis + Power BI for interactive dashboards.</w:t>
      </w:r>
    </w:p>
    <w:p>
      <w:pPr>
        <w:spacing w:after="60" w:before="100"/>
      </w:pPr>
    </w:p>
    <w:p>
      <w:r>
        <w:br w:type="page"/>
      </w:r>
    </w:p>
    <w:p>
      <w:pPr>
        <w:pBdr>
          <w:left w:val="single" w:color="F39C12" w:sz="36" w:space="8"/>
        </w:pBdr>
        <w:shd w:fill="1A3C5E" w:val="clear"/>
        <w:spacing w:after="160" w:before="360"/>
        <w:ind w:left="0"/>
      </w:pPr>
      <w:r>
        <w:rPr>
          <w:rFonts w:ascii="Arial" w:cs="Arial" w:eastAsia="Arial" w:hAnsi="Arial"/>
          <w:b/>
          <w:bCs/>
          <w:color w:val="FFFFFF"/>
          <w:sz w:val="30"/>
          <w:szCs w:val="30"/>
        </w:rPr>
        <w:t xml:space="preserve">  02   Data Preparation</w:t>
      </w:r>
    </w:p>
    <w:p>
      <w:pPr>
        <w:spacing w:after="60" w:before="60"/>
      </w:pPr>
    </w:p>
    <w:p>
      <w:pPr>
        <w:spacing w:after="80" w:before="80"/>
      </w:pPr>
      <w:r>
        <w:rPr>
          <w:rFonts w:ascii="Arial" w:cs="Arial" w:eastAsia="Arial" w:hAnsi="Arial"/>
          <w:b w:val="false"/>
          <w:bCs w:val="false"/>
          <w:color w:val="2C3E50"/>
          <w:sz w:val="22"/>
          <w:szCs w:val="22"/>
        </w:rPr>
        <w:t xml:space="preserve">Robust data preparation is the foundation of any reliable analysis. Before drawing insights, the dataset was thoroughly inspected, cleaned, and structured to ensure analytical accuracy.</w:t>
      </w:r>
    </w:p>
    <w:p>
      <w:pPr>
        <w:spacing w:after="40" w:before="80"/>
      </w:pPr>
    </w:p>
    <w:p>
      <w:pPr>
        <w:spacing w:after="80" w:before="120"/>
      </w:pPr>
      <w:r>
        <w:rPr>
          <w:rFonts w:ascii="Arial" w:cs="Arial" w:eastAsia="Arial" w:hAnsi="Arial"/>
          <w:b/>
          <w:bCs/>
          <w:color w:val="2E86AB"/>
          <w:sz w:val="24"/>
          <w:szCs w:val="24"/>
        </w:rPr>
        <w:t xml:space="preserve">🔍  Data Quality Assessment</w:t>
      </w:r>
    </w:p>
    <w:p>
      <w:pPr>
        <w:pBdr>
          <w:left w:val="single" w:color="17A589" w:sz="24" w:space="6"/>
        </w:pBdr>
        <w:shd w:fill="E8F8F5" w:val="clear"/>
        <w:spacing w:after="100" w:before="100"/>
        <w:ind w:left="200" w:right="200"/>
      </w:pPr>
      <w:r>
        <w:rPr>
          <w:rFonts w:ascii="Arial" w:cs="Arial" w:eastAsia="Arial" w:hAnsi="Arial"/>
          <w:b/>
          <w:bCs/>
          <w:color w:val="17A589"/>
          <w:sz w:val="24"/>
          <w:szCs w:val="24"/>
        </w:rPr>
        <w:t xml:space="preserve">✅  </w:t>
      </w:r>
      <w:r>
        <w:rPr>
          <w:rFonts w:ascii="Arial" w:cs="Arial" w:eastAsia="Arial" w:hAnsi="Arial"/>
          <w:b/>
          <w:bCs/>
          <w:color w:val="2C3E50"/>
          <w:sz w:val="22"/>
          <w:szCs w:val="22"/>
        </w:rPr>
        <w:t xml:space="preserve">Missing Values: </w:t>
      </w:r>
      <w:r>
        <w:rPr>
          <w:rFonts w:ascii="Arial" w:cs="Arial" w:eastAsia="Arial" w:hAnsi="Arial"/>
          <w:color w:val="2C3E50"/>
          <w:sz w:val="22"/>
          <w:szCs w:val="22"/>
        </w:rPr>
        <w:t xml:space="preserve">Only the Postal Code column contained a small number of missing values (retained as NaN — non-critical field with alternative location identifiers available).</w:t>
      </w:r>
    </w:p>
    <w:p>
      <w:pPr>
        <w:spacing w:after="20" w:before="20"/>
      </w:pPr>
    </w:p>
    <w:p>
      <w:pPr>
        <w:pBdr>
          <w:left w:val="single" w:color="17A589" w:sz="24" w:space="6"/>
        </w:pBdr>
        <w:shd w:fill="E8F8F5" w:val="clear"/>
        <w:spacing w:after="100" w:before="100"/>
        <w:ind w:left="200" w:right="200"/>
      </w:pPr>
      <w:r>
        <w:rPr>
          <w:rFonts w:ascii="Arial" w:cs="Arial" w:eastAsia="Arial" w:hAnsi="Arial"/>
          <w:b/>
          <w:bCs/>
          <w:color w:val="17A589"/>
          <w:sz w:val="24"/>
          <w:szCs w:val="24"/>
        </w:rPr>
        <w:t xml:space="preserve">✅  </w:t>
      </w:r>
      <w:r>
        <w:rPr>
          <w:rFonts w:ascii="Arial" w:cs="Arial" w:eastAsia="Arial" w:hAnsi="Arial"/>
          <w:b/>
          <w:bCs/>
          <w:color w:val="2C3E50"/>
          <w:sz w:val="22"/>
          <w:szCs w:val="22"/>
        </w:rPr>
        <w:t xml:space="preserve">Duplicate Records: </w:t>
      </w:r>
      <w:r>
        <w:rPr>
          <w:rFonts w:ascii="Arial" w:cs="Arial" w:eastAsia="Arial" w:hAnsi="Arial"/>
          <w:color w:val="2C3E50"/>
          <w:sz w:val="22"/>
          <w:szCs w:val="22"/>
        </w:rPr>
        <w:t xml:space="preserve">Full scan performed — zero duplicate records found. Dataset integrity confirmed.</w:t>
      </w:r>
    </w:p>
    <w:p>
      <w:pPr>
        <w:spacing w:after="20" w:before="20"/>
      </w:pPr>
    </w:p>
    <w:p>
      <w:pPr>
        <w:pBdr>
          <w:left w:val="single" w:color="17A589" w:sz="24" w:space="6"/>
        </w:pBdr>
        <w:shd w:fill="E8F8F5" w:val="clear"/>
        <w:spacing w:after="100" w:before="100"/>
        <w:ind w:left="200" w:right="200"/>
      </w:pPr>
      <w:r>
        <w:rPr>
          <w:rFonts w:ascii="Arial" w:cs="Arial" w:eastAsia="Arial" w:hAnsi="Arial"/>
          <w:b/>
          <w:bCs/>
          <w:color w:val="17A589"/>
          <w:sz w:val="24"/>
          <w:szCs w:val="24"/>
        </w:rPr>
        <w:t xml:space="preserve">✅  </w:t>
      </w:r>
      <w:r>
        <w:rPr>
          <w:rFonts w:ascii="Arial" w:cs="Arial" w:eastAsia="Arial" w:hAnsi="Arial"/>
          <w:b/>
          <w:bCs/>
          <w:color w:val="2C3E50"/>
          <w:sz w:val="22"/>
          <w:szCs w:val="22"/>
        </w:rPr>
        <w:t xml:space="preserve">Date Formatting: </w:t>
      </w:r>
      <w:r>
        <w:rPr>
          <w:rFonts w:ascii="Arial" w:cs="Arial" w:eastAsia="Arial" w:hAnsi="Arial"/>
          <w:color w:val="2C3E50"/>
          <w:sz w:val="22"/>
          <w:szCs w:val="22"/>
        </w:rPr>
        <w:t xml:space="preserve">Order Date and Ship Date columns converted to proper datetime format for time-series analysis.</w:t>
      </w:r>
    </w:p>
    <w:p>
      <w:pPr>
        <w:spacing w:after="20" w:before="20"/>
      </w:pPr>
    </w:p>
    <w:p>
      <w:pPr>
        <w:pBdr>
          <w:left w:val="single" w:color="17A589" w:sz="24" w:space="6"/>
        </w:pBdr>
        <w:shd w:fill="E8F8F5" w:val="clear"/>
        <w:spacing w:after="100" w:before="100"/>
        <w:ind w:left="200" w:right="200"/>
      </w:pPr>
      <w:r>
        <w:rPr>
          <w:rFonts w:ascii="Arial" w:cs="Arial" w:eastAsia="Arial" w:hAnsi="Arial"/>
          <w:b/>
          <w:bCs/>
          <w:color w:val="17A589"/>
          <w:sz w:val="24"/>
          <w:szCs w:val="24"/>
        </w:rPr>
        <w:t xml:space="preserve">✅  </w:t>
      </w:r>
      <w:r>
        <w:rPr>
          <w:rFonts w:ascii="Arial" w:cs="Arial" w:eastAsia="Arial" w:hAnsi="Arial"/>
          <w:b/>
          <w:bCs/>
          <w:color w:val="2C3E50"/>
          <w:sz w:val="22"/>
          <w:szCs w:val="22"/>
        </w:rPr>
        <w:t xml:space="preserve">Column Naming: </w:t>
      </w:r>
      <w:r>
        <w:rPr>
          <w:rFonts w:ascii="Arial" w:cs="Arial" w:eastAsia="Arial" w:hAnsi="Arial"/>
          <w:color w:val="2C3E50"/>
          <w:sz w:val="22"/>
          <w:szCs w:val="22"/>
        </w:rPr>
        <w:t xml:space="preserve">Column names standardized (spaces replaced with underscores) for improved programmatic access.</w:t>
      </w:r>
    </w:p>
    <w:p>
      <w:pPr>
        <w:spacing w:after="20" w:before="20"/>
      </w:pPr>
    </w:p>
    <w:p>
      <w:pPr>
        <w:pBdr>
          <w:left w:val="single" w:color="F39C12" w:sz="24" w:space="6"/>
        </w:pBdr>
        <w:shd w:fill="EAF4FB" w:val="clear"/>
        <w:spacing w:after="100" w:before="100"/>
        <w:ind w:left="200" w:right="200"/>
      </w:pPr>
      <w:r>
        <w:rPr>
          <w:rFonts w:ascii="Arial" w:cs="Arial" w:eastAsia="Arial" w:hAnsi="Arial"/>
          <w:b/>
          <w:bCs/>
          <w:color w:val="F39C12"/>
          <w:sz w:val="24"/>
          <w:szCs w:val="24"/>
        </w:rPr>
        <w:t xml:space="preserve">⚠️  </w:t>
      </w:r>
      <w:r>
        <w:rPr>
          <w:rFonts w:ascii="Arial" w:cs="Arial" w:eastAsia="Arial" w:hAnsi="Arial"/>
          <w:b/>
          <w:bCs/>
          <w:color w:val="2C3E50"/>
          <w:sz w:val="22"/>
          <w:szCs w:val="22"/>
        </w:rPr>
        <w:t xml:space="preserve">Outlier Treatment: </w:t>
      </w:r>
      <w:r>
        <w:rPr>
          <w:rFonts w:ascii="Arial" w:cs="Arial" w:eastAsia="Arial" w:hAnsi="Arial"/>
          <w:color w:val="2C3E50"/>
          <w:sz w:val="22"/>
          <w:szCs w:val="22"/>
        </w:rPr>
        <w:t xml:space="preserve">High-value sales outliers were reviewed but intentionally retained — they represent legitimate high-value transactions, not data errors.</w:t>
      </w:r>
    </w:p>
    <w:p>
      <w:pPr>
        <w:spacing w:after="40" w:before="80"/>
      </w:pPr>
    </w:p>
    <w:p>
      <w:pPr>
        <w:pBdr>
          <w:left w:val="single" w:color="F39C12" w:sz="28" w:space="8"/>
        </w:pBdr>
        <w:shd w:fill="1A3C5E" w:val="clear"/>
        <w:spacing w:after="80" w:before="100"/>
      </w:pPr>
      <w:r>
        <w:rPr>
          <w:rFonts w:ascii="Arial" w:cs="Arial" w:eastAsia="Arial" w:hAnsi="Arial"/>
          <w:b/>
          <w:bCs/>
          <w:color w:val="FFFFFF"/>
          <w:sz w:val="22"/>
          <w:szCs w:val="22"/>
        </w:rPr>
        <w:t xml:space="preserve">  ✔  Outcome: </w:t>
      </w:r>
      <w:r>
        <w:rPr>
          <w:rFonts w:ascii="Arial" w:cs="Arial" w:eastAsia="Arial" w:hAnsi="Arial"/>
          <w:color w:val="D5EEF9"/>
          <w:sz w:val="22"/>
          <w:szCs w:val="22"/>
        </w:rPr>
        <w:t xml:space="preserve">Dataset is clean, structured, and fully ready for multi-dimensional analysis.</w:t>
      </w:r>
    </w:p>
    <w:p>
      <w:pPr>
        <w:spacing w:after="60" w:before="100"/>
      </w:pPr>
    </w:p>
    <w:p>
      <w:r>
        <w:br w:type="page"/>
      </w:r>
    </w:p>
    <w:p>
      <w:pPr>
        <w:pBdr>
          <w:left w:val="single" w:color="F39C12" w:sz="36" w:space="8"/>
        </w:pBdr>
        <w:shd w:fill="1A3C5E" w:val="clear"/>
        <w:spacing w:after="160" w:before="360"/>
        <w:ind w:left="0"/>
      </w:pPr>
      <w:r>
        <w:rPr>
          <w:rFonts w:ascii="Arial" w:cs="Arial" w:eastAsia="Arial" w:hAnsi="Arial"/>
          <w:b/>
          <w:bCs/>
          <w:color w:val="FFFFFF"/>
          <w:sz w:val="30"/>
          <w:szCs w:val="30"/>
        </w:rPr>
        <w:t xml:space="preserve">  03   Data Analysis &amp; Findings</w:t>
      </w:r>
    </w:p>
    <w:p>
      <w:pPr>
        <w:spacing w:after="60" w:before="60"/>
      </w:pPr>
    </w:p>
    <w:p>
      <w:pPr>
        <w:spacing w:after="80" w:before="80"/>
      </w:pPr>
      <w:r>
        <w:rPr>
          <w:rFonts w:ascii="Arial" w:cs="Arial" w:eastAsia="Arial" w:hAnsi="Arial"/>
          <w:b w:val="false"/>
          <w:bCs w:val="false"/>
          <w:color w:val="2C3E50"/>
          <w:sz w:val="22"/>
          <w:szCs w:val="22"/>
        </w:rPr>
        <w:t xml:space="preserve">Exploratory data analysis (EDA) was conducted across four analytical dimensions: product categories, geographic regions, time periods, and customer profiles.</w:t>
      </w:r>
    </w:p>
    <w:p>
      <w:pPr>
        <w:spacing w:after="60" w:before="80"/>
      </w:pPr>
    </w:p>
    <w:p>
      <w:pPr>
        <w:spacing w:after="80" w:before="100"/>
      </w:pPr>
      <w:r>
        <w:rPr>
          <w:rFonts w:ascii="Arial" w:cs="Arial" w:eastAsia="Arial" w:hAnsi="Arial"/>
          <w:b/>
          <w:bCs/>
          <w:color w:val="1A3C5E"/>
          <w:sz w:val="26"/>
          <w:szCs w:val="26"/>
        </w:rPr>
        <w:t xml:space="preserve">📦  Sales by Category</w:t>
      </w:r>
    </w:p>
    <w:p>
      <w:pPr>
        <w:pBdr>
          <w:bottom w:val="single" w:color="BDC3C7" w:sz="12" w:space="1"/>
        </w:pBdr>
        <w:spacing w:after="60" w:before="6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3C5E" w:sz="4"/>
              <w:left w:val="single" w:color="1A3C5E" w:sz="4"/>
              <w:bottom w:val="single" w:color="1A3C5E" w:sz="4"/>
              <w:right w:val="single" w:color="1A3C5E" w:sz="4"/>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الفئة / Category</w:t>
            </w:r>
          </w:p>
        </w:tc>
        <w:tc>
          <w:tcPr>
            <w:tcW w:type="dxa" w:w="3120"/>
            <w:tcBorders>
              <w:top w:val="single" w:color="1A3C5E" w:sz="4"/>
              <w:left w:val="single" w:color="1A3C5E" w:sz="4"/>
              <w:bottom w:val="single" w:color="1A3C5E" w:sz="4"/>
              <w:right w:val="single" w:color="1A3C5E" w:sz="4"/>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أعلى المنتجات / Top Products</w:t>
            </w:r>
          </w:p>
        </w:tc>
        <w:tc>
          <w:tcPr>
            <w:tcW w:type="dxa" w:w="3120"/>
            <w:tcBorders>
              <w:top w:val="single" w:color="1A3C5E" w:sz="4"/>
              <w:left w:val="single" w:color="1A3C5E" w:sz="4"/>
              <w:bottom w:val="single" w:color="1A3C5E" w:sz="4"/>
              <w:right w:val="single" w:color="1A3C5E" w:sz="4"/>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الأداء / Performance</w:t>
            </w:r>
          </w:p>
        </w:tc>
      </w:tr>
      <w:tr>
        <w:tc>
          <w:tcPr>
            <w:tcW w:type="dxa" w:w="3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1"/>
                <w:szCs w:val="21"/>
              </w:rPr>
              <w:t xml:space="preserve">Office Supplies</w:t>
            </w:r>
          </w:p>
        </w:tc>
        <w:tc>
          <w:tcPr>
            <w:tcW w:type="dxa" w:w="3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1"/>
                <w:szCs w:val="21"/>
              </w:rPr>
              <w:t xml:space="preserve">Storage, Binders, Art</w:t>
            </w:r>
          </w:p>
        </w:tc>
        <w:tc>
          <w:tcPr>
            <w:tcW w:type="dxa" w:w="3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1"/>
                <w:szCs w:val="21"/>
              </w:rPr>
              <w:t xml:space="preserve">⭐⭐⭐⭐⭐  الأعلى</w:t>
            </w:r>
          </w:p>
        </w:tc>
      </w:tr>
      <w:tr>
        <w:tc>
          <w:tcPr>
            <w:tcW w:type="dxa" w:w="3120"/>
            <w:tcBorders>
              <w:top w:val="single" w:color="BDC3C7" w:sz="4"/>
              <w:left w:val="single" w:color="BDC3C7" w:sz="4"/>
              <w:bottom w:val="single" w:color="BDC3C7" w:sz="4"/>
              <w:right w:val="single" w:color="BDC3C7" w:sz="4"/>
            </w:tcBorders>
            <w:shd w:fill="F0F7FC" w:val="clear"/>
            <w:tcMar>
              <w:top w:type="dxa" w:w="80"/>
              <w:left w:type="dxa" w:w="120"/>
              <w:bottom w:type="dxa" w:w="80"/>
              <w:right w:type="dxa" w:w="120"/>
            </w:tcMar>
            <w:vAlign w:val="center"/>
          </w:tcPr>
          <w:p>
            <w:pPr>
              <w:jc w:val="center"/>
            </w:pPr>
            <w:r>
              <w:rPr>
                <w:rFonts w:ascii="Arial" w:cs="Arial" w:eastAsia="Arial" w:hAnsi="Arial"/>
                <w:color w:val="2C3E50"/>
                <w:sz w:val="21"/>
                <w:szCs w:val="21"/>
              </w:rPr>
              <w:t xml:space="preserve">Technology</w:t>
            </w:r>
          </w:p>
        </w:tc>
        <w:tc>
          <w:tcPr>
            <w:tcW w:type="dxa" w:w="3120"/>
            <w:tcBorders>
              <w:top w:val="single" w:color="BDC3C7" w:sz="4"/>
              <w:left w:val="single" w:color="BDC3C7" w:sz="4"/>
              <w:bottom w:val="single" w:color="BDC3C7" w:sz="4"/>
              <w:right w:val="single" w:color="BDC3C7" w:sz="4"/>
            </w:tcBorders>
            <w:shd w:fill="F0F7FC" w:val="clear"/>
            <w:tcMar>
              <w:top w:type="dxa" w:w="80"/>
              <w:left w:type="dxa" w:w="120"/>
              <w:bottom w:type="dxa" w:w="80"/>
              <w:right w:type="dxa" w:w="120"/>
            </w:tcMar>
            <w:vAlign w:val="center"/>
          </w:tcPr>
          <w:p>
            <w:pPr>
              <w:jc w:val="center"/>
            </w:pPr>
            <w:r>
              <w:rPr>
                <w:rFonts w:ascii="Arial" w:cs="Arial" w:eastAsia="Arial" w:hAnsi="Arial"/>
                <w:color w:val="2C3E50"/>
                <w:sz w:val="21"/>
                <w:szCs w:val="21"/>
              </w:rPr>
              <w:t xml:space="preserve">Phones, Accessories, Machines</w:t>
            </w:r>
          </w:p>
        </w:tc>
        <w:tc>
          <w:tcPr>
            <w:tcW w:type="dxa" w:w="3120"/>
            <w:tcBorders>
              <w:top w:val="single" w:color="BDC3C7" w:sz="4"/>
              <w:left w:val="single" w:color="BDC3C7" w:sz="4"/>
              <w:bottom w:val="single" w:color="BDC3C7" w:sz="4"/>
              <w:right w:val="single" w:color="BDC3C7" w:sz="4"/>
            </w:tcBorders>
            <w:shd w:fill="F0F7FC" w:val="clear"/>
            <w:tcMar>
              <w:top w:type="dxa" w:w="80"/>
              <w:left w:type="dxa" w:w="120"/>
              <w:bottom w:type="dxa" w:w="80"/>
              <w:right w:type="dxa" w:w="120"/>
            </w:tcMar>
            <w:vAlign w:val="center"/>
          </w:tcPr>
          <w:p>
            <w:pPr>
              <w:jc w:val="center"/>
            </w:pPr>
            <w:r>
              <w:rPr>
                <w:rFonts w:ascii="Arial" w:cs="Arial" w:eastAsia="Arial" w:hAnsi="Arial"/>
                <w:color w:val="2C3E50"/>
                <w:sz w:val="21"/>
                <w:szCs w:val="21"/>
              </w:rPr>
              <w:t xml:space="preserve">⭐⭐⭐⭐  عالي</w:t>
            </w:r>
          </w:p>
        </w:tc>
      </w:tr>
      <w:tr>
        <w:tc>
          <w:tcPr>
            <w:tcW w:type="dxa" w:w="3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1"/>
                <w:szCs w:val="21"/>
              </w:rPr>
              <w:t xml:space="preserve">Furniture</w:t>
            </w:r>
          </w:p>
        </w:tc>
        <w:tc>
          <w:tcPr>
            <w:tcW w:type="dxa" w:w="3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1"/>
                <w:szCs w:val="21"/>
              </w:rPr>
              <w:t xml:space="preserve">Chairs, Tables, Bookcases</w:t>
            </w:r>
          </w:p>
        </w:tc>
        <w:tc>
          <w:tcPr>
            <w:tcW w:type="dxa" w:w="3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1"/>
                <w:szCs w:val="21"/>
              </w:rPr>
              <w:t xml:space="preserve">⭐⭐⭐  متوسط</w:t>
            </w:r>
          </w:p>
        </w:tc>
      </w:tr>
    </w:tbl>
    <w:p>
      <w:pPr>
        <w:spacing w:after="60" w:before="60"/>
      </w:pPr>
    </w:p>
    <w:p>
      <w:pPr>
        <w:spacing w:after="80" w:before="80"/>
      </w:pPr>
      <w:r>
        <w:rPr>
          <w:rFonts w:ascii="Arial" w:cs="Arial" w:eastAsia="Arial" w:hAnsi="Arial"/>
          <w:b w:val="false"/>
          <w:bCs w:val="false"/>
          <w:color w:val="2C3E50"/>
          <w:sz w:val="22"/>
          <w:szCs w:val="22"/>
        </w:rPr>
        <w:t xml:space="preserve">Total revenue reached approximately $2.26 million. The distribution is heavily skewed — most individual orders are small-to-medium in value, while a handful of high-ticket transactions account for a disproportionate share of total revenue. This pattern signals both opportunity (upselling) and risk (customer concentration).</w:t>
      </w:r>
    </w:p>
    <w:p>
      <w:pPr>
        <w:spacing w:after="60" w:before="80"/>
      </w:pPr>
    </w:p>
    <w:p>
      <w:pPr>
        <w:spacing w:after="80" w:before="100"/>
      </w:pPr>
      <w:r>
        <w:rPr>
          <w:rFonts w:ascii="Arial" w:cs="Arial" w:eastAsia="Arial" w:hAnsi="Arial"/>
          <w:b/>
          <w:bCs/>
          <w:color w:val="1A3C5E"/>
          <w:sz w:val="26"/>
          <w:szCs w:val="26"/>
        </w:rPr>
        <w:t xml:space="preserve">🌍  Regional Performance Analysis</w:t>
      </w:r>
    </w:p>
    <w:p>
      <w:pPr>
        <w:pBdr>
          <w:bottom w:val="single" w:color="BDC3C7" w:sz="12" w:space="1"/>
        </w:pBdr>
        <w:spacing w:after="60" w:before="6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86AB" w:sz="4"/>
              <w:left w:val="single" w:color="2E86AB" w:sz="4"/>
              <w:bottom w:val="single" w:color="2E86AB" w:sz="4"/>
              <w:right w:val="single" w:color="2E86AB"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المنطقة / Region</w:t>
            </w:r>
          </w:p>
        </w:tc>
        <w:tc>
          <w:tcPr>
            <w:tcW w:type="dxa" w:w="2340"/>
            <w:tcBorders>
              <w:top w:val="single" w:color="2E86AB" w:sz="4"/>
              <w:left w:val="single" w:color="2E86AB" w:sz="4"/>
              <w:bottom w:val="single" w:color="2E86AB" w:sz="4"/>
              <w:right w:val="single" w:color="2E86AB"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نسبة المبيعات</w:t>
            </w:r>
          </w:p>
        </w:tc>
        <w:tc>
          <w:tcPr>
            <w:tcW w:type="dxa" w:w="2340"/>
            <w:tcBorders>
              <w:top w:val="single" w:color="2E86AB" w:sz="4"/>
              <w:left w:val="single" w:color="2E86AB" w:sz="4"/>
              <w:bottom w:val="single" w:color="2E86AB" w:sz="4"/>
              <w:right w:val="single" w:color="2E86AB"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القوة النسبية</w:t>
            </w:r>
          </w:p>
        </w:tc>
        <w:tc>
          <w:tcPr>
            <w:tcW w:type="dxa" w:w="2340"/>
            <w:tcBorders>
              <w:top w:val="single" w:color="2E86AB" w:sz="4"/>
              <w:left w:val="single" w:color="2E86AB" w:sz="4"/>
              <w:bottom w:val="single" w:color="2E86AB" w:sz="4"/>
              <w:right w:val="single" w:color="2E86AB" w:sz="4"/>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التوصية</w:t>
            </w:r>
          </w:p>
        </w:tc>
      </w:tr>
      <w:tr>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jc w:val="center"/>
            </w:pPr>
            <w:r>
              <w:rPr>
                <w:rFonts w:ascii="Arial" w:cs="Arial" w:eastAsia="Arial" w:hAnsi="Arial"/>
                <w:b/>
                <w:bCs/>
                <w:color w:val="2C3E50"/>
                <w:sz w:val="21"/>
                <w:szCs w:val="21"/>
              </w:rPr>
              <w:t xml:space="preserve">🌟 West</w:t>
            </w:r>
          </w:p>
        </w:tc>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الأعلى</w:t>
            </w:r>
          </w:p>
        </w:tc>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E8449"/>
                <w:sz w:val="21"/>
                <w:szCs w:val="21"/>
              </w:rPr>
              <w:t xml:space="preserve">قوية جداً</w:t>
            </w:r>
          </w:p>
        </w:tc>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استمرار التوسع</w:t>
            </w:r>
          </w:p>
        </w:tc>
      </w:tr>
      <w:tr>
        <w:tc>
          <w:tcPr>
            <w:tcW w:type="dxa" w:w="2340"/>
            <w:tcBorders>
              <w:top w:val="single" w:color="BDC3C7" w:sz="4"/>
              <w:left w:val="single" w:color="BDC3C7" w:sz="4"/>
              <w:bottom w:val="single" w:color="BDC3C7" w:sz="4"/>
              <w:right w:val="single" w:color="BDC3C7" w:sz="4"/>
            </w:tcBorders>
            <w:shd w:fill="F0F7FC" w:val="clear"/>
            <w:tcMar>
              <w:top w:type="dxa" w:w="80"/>
              <w:left w:type="dxa" w:w="120"/>
              <w:bottom w:type="dxa" w:w="80"/>
              <w:right w:type="dxa" w:w="120"/>
            </w:tcMar>
          </w:tcPr>
          <w:p>
            <w:pPr>
              <w:jc w:val="center"/>
            </w:pPr>
            <w:r>
              <w:rPr>
                <w:rFonts w:ascii="Arial" w:cs="Arial" w:eastAsia="Arial" w:hAnsi="Arial"/>
                <w:b/>
                <w:bCs/>
                <w:color w:val="2C3E50"/>
                <w:sz w:val="21"/>
                <w:szCs w:val="21"/>
              </w:rPr>
              <w:t xml:space="preserve">📊 East</w:t>
            </w:r>
          </w:p>
        </w:tc>
        <w:tc>
          <w:tcPr>
            <w:tcW w:type="dxa" w:w="2340"/>
            <w:tcBorders>
              <w:top w:val="single" w:color="BDC3C7" w:sz="4"/>
              <w:left w:val="single" w:color="BDC3C7" w:sz="4"/>
              <w:bottom w:val="single" w:color="BDC3C7" w:sz="4"/>
              <w:right w:val="single" w:color="BDC3C7" w:sz="4"/>
            </w:tcBorders>
            <w:shd w:fill="F0F7FC"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مرتفعة</w:t>
            </w:r>
          </w:p>
        </w:tc>
        <w:tc>
          <w:tcPr>
            <w:tcW w:type="dxa" w:w="2340"/>
            <w:tcBorders>
              <w:top w:val="single" w:color="BDC3C7" w:sz="4"/>
              <w:left w:val="single" w:color="BDC3C7" w:sz="4"/>
              <w:bottom w:val="single" w:color="BDC3C7" w:sz="4"/>
              <w:right w:val="single" w:color="BDC3C7" w:sz="4"/>
            </w:tcBorders>
            <w:shd w:fill="F0F7FC" w:val="clear"/>
            <w:tcMar>
              <w:top w:type="dxa" w:w="80"/>
              <w:left w:type="dxa" w:w="120"/>
              <w:bottom w:type="dxa" w:w="80"/>
              <w:right w:type="dxa" w:w="120"/>
            </w:tcMar>
          </w:tcPr>
          <w:p>
            <w:pPr>
              <w:jc w:val="center"/>
            </w:pPr>
            <w:r>
              <w:rPr>
                <w:rFonts w:ascii="Arial" w:cs="Arial" w:eastAsia="Arial" w:hAnsi="Arial"/>
                <w:b w:val="false"/>
                <w:bCs w:val="false"/>
                <w:color w:val="17A589"/>
                <w:sz w:val="21"/>
                <w:szCs w:val="21"/>
              </w:rPr>
              <w:t xml:space="preserve">قوية</w:t>
            </w:r>
          </w:p>
        </w:tc>
        <w:tc>
          <w:tcPr>
            <w:tcW w:type="dxa" w:w="2340"/>
            <w:tcBorders>
              <w:top w:val="single" w:color="BDC3C7" w:sz="4"/>
              <w:left w:val="single" w:color="BDC3C7" w:sz="4"/>
              <w:bottom w:val="single" w:color="BDC3C7" w:sz="4"/>
              <w:right w:val="single" w:color="BDC3C7" w:sz="4"/>
            </w:tcBorders>
            <w:shd w:fill="F0F7FC"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تعزيز الاستثمار</w:t>
            </w:r>
          </w:p>
        </w:tc>
      </w:tr>
      <w:tr>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jc w:val="center"/>
            </w:pPr>
            <w:r>
              <w:rPr>
                <w:rFonts w:ascii="Arial" w:cs="Arial" w:eastAsia="Arial" w:hAnsi="Arial"/>
                <w:b/>
                <w:bCs/>
                <w:color w:val="2C3E50"/>
                <w:sz w:val="21"/>
                <w:szCs w:val="21"/>
              </w:rPr>
              <w:t xml:space="preserve">📈 Central</w:t>
            </w:r>
          </w:p>
        </w:tc>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متوسطة</w:t>
            </w:r>
          </w:p>
        </w:tc>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jc w:val="center"/>
            </w:pPr>
            <w:r>
              <w:rPr>
                <w:rFonts w:ascii="Arial" w:cs="Arial" w:eastAsia="Arial" w:hAnsi="Arial"/>
                <w:b w:val="false"/>
                <w:bCs w:val="false"/>
                <w:color w:val="F39C12"/>
                <w:sz w:val="21"/>
                <w:szCs w:val="21"/>
              </w:rPr>
              <w:t xml:space="preserve">متوسطة</w:t>
            </w:r>
          </w:p>
        </w:tc>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تطوير الاستراتيجية</w:t>
            </w:r>
          </w:p>
        </w:tc>
      </w:tr>
      <w:tr>
        <w:tc>
          <w:tcPr>
            <w:tcW w:type="dxa" w:w="2340"/>
            <w:tcBorders>
              <w:top w:val="single" w:color="BDC3C7" w:sz="4"/>
              <w:left w:val="single" w:color="BDC3C7" w:sz="4"/>
              <w:bottom w:val="single" w:color="BDC3C7" w:sz="4"/>
              <w:right w:val="single" w:color="BDC3C7" w:sz="4"/>
            </w:tcBorders>
            <w:shd w:fill="F0F7FC" w:val="clear"/>
            <w:tcMar>
              <w:top w:type="dxa" w:w="80"/>
              <w:left w:type="dxa" w:w="120"/>
              <w:bottom w:type="dxa" w:w="80"/>
              <w:right w:type="dxa" w:w="120"/>
            </w:tcMar>
          </w:tcPr>
          <w:p>
            <w:pPr>
              <w:jc w:val="center"/>
            </w:pPr>
            <w:r>
              <w:rPr>
                <w:rFonts w:ascii="Arial" w:cs="Arial" w:eastAsia="Arial" w:hAnsi="Arial"/>
                <w:b/>
                <w:bCs/>
                <w:color w:val="2C3E50"/>
                <w:sz w:val="21"/>
                <w:szCs w:val="21"/>
              </w:rPr>
              <w:t xml:space="preserve">⚠️ South</w:t>
            </w:r>
          </w:p>
        </w:tc>
        <w:tc>
          <w:tcPr>
            <w:tcW w:type="dxa" w:w="2340"/>
            <w:tcBorders>
              <w:top w:val="single" w:color="BDC3C7" w:sz="4"/>
              <w:left w:val="single" w:color="BDC3C7" w:sz="4"/>
              <w:bottom w:val="single" w:color="BDC3C7" w:sz="4"/>
              <w:right w:val="single" w:color="BDC3C7" w:sz="4"/>
            </w:tcBorders>
            <w:shd w:fill="F0F7FC"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الأدنى</w:t>
            </w:r>
          </w:p>
        </w:tc>
        <w:tc>
          <w:tcPr>
            <w:tcW w:type="dxa" w:w="2340"/>
            <w:tcBorders>
              <w:top w:val="single" w:color="BDC3C7" w:sz="4"/>
              <w:left w:val="single" w:color="BDC3C7" w:sz="4"/>
              <w:bottom w:val="single" w:color="BDC3C7" w:sz="4"/>
              <w:right w:val="single" w:color="BDC3C7" w:sz="4"/>
            </w:tcBorders>
            <w:shd w:fill="F0F7FC" w:val="clear"/>
            <w:tcMar>
              <w:top w:type="dxa" w:w="80"/>
              <w:left w:type="dxa" w:w="120"/>
              <w:bottom w:type="dxa" w:w="80"/>
              <w:right w:type="dxa" w:w="120"/>
            </w:tcMar>
          </w:tcPr>
          <w:p>
            <w:pPr>
              <w:jc w:val="center"/>
            </w:pPr>
            <w:r>
              <w:rPr>
                <w:rFonts w:ascii="Arial" w:cs="Arial" w:eastAsia="Arial" w:hAnsi="Arial"/>
                <w:b w:val="false"/>
                <w:bCs w:val="false"/>
                <w:color w:val="C0392B"/>
                <w:sz w:val="21"/>
                <w:szCs w:val="21"/>
              </w:rPr>
              <w:t xml:space="preserve">ضعيفة</w:t>
            </w:r>
          </w:p>
        </w:tc>
        <w:tc>
          <w:tcPr>
            <w:tcW w:type="dxa" w:w="2340"/>
            <w:tcBorders>
              <w:top w:val="single" w:color="BDC3C7" w:sz="4"/>
              <w:left w:val="single" w:color="BDC3C7" w:sz="4"/>
              <w:bottom w:val="single" w:color="BDC3C7" w:sz="4"/>
              <w:right w:val="single" w:color="BDC3C7" w:sz="4"/>
            </w:tcBorders>
            <w:shd w:fill="F0F7FC" w:val="clear"/>
            <w:tcMar>
              <w:top w:type="dxa" w:w="80"/>
              <w:left w:type="dxa" w:w="120"/>
              <w:bottom w:type="dxa" w:w="80"/>
              <w:right w:type="dxa" w:w="120"/>
            </w:tcMar>
          </w:tcPr>
          <w:p>
            <w:pPr>
              <w:jc w:val="center"/>
            </w:pPr>
            <w:r>
              <w:rPr>
                <w:rFonts w:ascii="Arial" w:cs="Arial" w:eastAsia="Arial" w:hAnsi="Arial"/>
                <w:b w:val="false"/>
                <w:bCs w:val="false"/>
                <w:color w:val="2C3E50"/>
                <w:sz w:val="21"/>
                <w:szCs w:val="21"/>
              </w:rPr>
              <w:t xml:space="preserve">خطة تحسين فورية</w:t>
            </w:r>
          </w:p>
        </w:tc>
      </w:tr>
    </w:tbl>
    <w:p>
      <w:pPr>
        <w:spacing w:after="60" w:before="60"/>
      </w:pPr>
    </w:p>
    <w:p>
      <w:pPr>
        <w:spacing w:after="80" w:before="80"/>
      </w:pPr>
      <w:r>
        <w:rPr>
          <w:rFonts w:ascii="Arial" w:cs="Arial" w:eastAsia="Arial" w:hAnsi="Arial"/>
          <w:b w:val="false"/>
          <w:bCs w:val="false"/>
          <w:color w:val="2C3E50"/>
          <w:sz w:val="22"/>
          <w:szCs w:val="22"/>
        </w:rPr>
        <w:t xml:space="preserve">The West region leads all territories in total sales volume, suggesting strong market penetration and effective distribution. The South region represents the most significant growth opportunity — targeted intervention is recommended (see Section 6).</w:t>
      </w:r>
    </w:p>
    <w:p>
      <w:pPr>
        <w:spacing w:after="60" w:before="80"/>
      </w:pPr>
    </w:p>
    <w:p>
      <w:pPr>
        <w:spacing w:after="80" w:before="100"/>
      </w:pPr>
      <w:r>
        <w:rPr>
          <w:rFonts w:ascii="Arial" w:cs="Arial" w:eastAsia="Arial" w:hAnsi="Arial"/>
          <w:b/>
          <w:bCs/>
          <w:color w:val="1A3C5E"/>
          <w:sz w:val="26"/>
          <w:szCs w:val="26"/>
        </w:rPr>
        <w:t xml:space="preserve">📅  Seasonal Trends</w:t>
      </w:r>
    </w:p>
    <w:p>
      <w:pPr>
        <w:pBdr>
          <w:bottom w:val="single" w:color="BDC3C7" w:sz="12" w:space="1"/>
        </w:pBdr>
        <w:spacing w:after="60" w:before="60"/>
      </w:pPr>
    </w:p>
    <w:p>
      <w:pPr>
        <w:spacing w:after="40" w:before="40"/>
      </w:pPr>
    </w:p>
    <w:p>
      <w:pPr>
        <w:pBdr>
          <w:left w:val="single" w:color="F39C12" w:sz="24" w:space="6"/>
        </w:pBdr>
        <w:shd w:fill="EAF4FB" w:val="clear"/>
        <w:spacing w:after="100" w:before="100"/>
        <w:ind w:left="200" w:right="200"/>
      </w:pPr>
      <w:r>
        <w:rPr>
          <w:rFonts w:ascii="Arial" w:cs="Arial" w:eastAsia="Arial" w:hAnsi="Arial"/>
          <w:b/>
          <w:bCs/>
          <w:color w:val="F39C12"/>
          <w:sz w:val="24"/>
          <w:szCs w:val="24"/>
        </w:rPr>
        <w:t xml:space="preserve">📈  </w:t>
      </w:r>
      <w:r>
        <w:rPr>
          <w:rFonts w:ascii="Arial" w:cs="Arial" w:eastAsia="Arial" w:hAnsi="Arial"/>
          <w:b/>
          <w:bCs/>
          <w:color w:val="2C3E50"/>
          <w:sz w:val="22"/>
          <w:szCs w:val="22"/>
        </w:rPr>
        <w:t xml:space="preserve">Peak Season: </w:t>
      </w:r>
      <w:r>
        <w:rPr>
          <w:rFonts w:ascii="Arial" w:cs="Arial" w:eastAsia="Arial" w:hAnsi="Arial"/>
          <w:color w:val="2C3E50"/>
          <w:sz w:val="22"/>
          <w:szCs w:val="22"/>
        </w:rPr>
        <w:t xml:space="preserve">November and December consistently produce the highest monthly sales — aligned with holiday purchasing cycles and year-end procurement budgets.</w:t>
      </w:r>
    </w:p>
    <w:p>
      <w:pPr>
        <w:spacing w:after="20" w:before="20"/>
      </w:pPr>
    </w:p>
    <w:p>
      <w:pPr>
        <w:pBdr>
          <w:left w:val="single" w:color="C0392B" w:sz="24" w:space="6"/>
        </w:pBdr>
        <w:shd w:fill="EAF4FB" w:val="clear"/>
        <w:spacing w:after="100" w:before="100"/>
        <w:ind w:left="200" w:right="200"/>
      </w:pPr>
      <w:r>
        <w:rPr>
          <w:rFonts w:ascii="Arial" w:cs="Arial" w:eastAsia="Arial" w:hAnsi="Arial"/>
          <w:b/>
          <w:bCs/>
          <w:color w:val="C0392B"/>
          <w:sz w:val="24"/>
          <w:szCs w:val="24"/>
        </w:rPr>
        <w:t xml:space="preserve">📉  </w:t>
      </w:r>
      <w:r>
        <w:rPr>
          <w:rFonts w:ascii="Arial" w:cs="Arial" w:eastAsia="Arial" w:hAnsi="Arial"/>
          <w:b/>
          <w:bCs/>
          <w:color w:val="2C3E50"/>
          <w:sz w:val="22"/>
          <w:szCs w:val="22"/>
        </w:rPr>
        <w:t xml:space="preserve">Off-Peak: </w:t>
      </w:r>
      <w:r>
        <w:rPr>
          <w:rFonts w:ascii="Arial" w:cs="Arial" w:eastAsia="Arial" w:hAnsi="Arial"/>
          <w:color w:val="2C3E50"/>
          <w:sz w:val="22"/>
          <w:szCs w:val="22"/>
        </w:rPr>
        <w:t xml:space="preserve">January through March see the weakest performance, likely due to post-holiday slowdowns and budget resets in corporate purchasing.</w:t>
      </w:r>
    </w:p>
    <w:p>
      <w:pPr>
        <w:spacing w:after="20" w:before="20"/>
      </w:pPr>
    </w:p>
    <w:p>
      <w:pPr>
        <w:pBdr>
          <w:left w:val="single" w:color="17A589" w:sz="24" w:space="6"/>
        </w:pBdr>
        <w:shd w:fill="E8F8F5" w:val="clear"/>
        <w:spacing w:after="100" w:before="100"/>
        <w:ind w:left="200" w:right="200"/>
      </w:pPr>
      <w:r>
        <w:rPr>
          <w:rFonts w:ascii="Arial" w:cs="Arial" w:eastAsia="Arial" w:hAnsi="Arial"/>
          <w:b/>
          <w:bCs/>
          <w:color w:val="17A589"/>
          <w:sz w:val="24"/>
          <w:szCs w:val="24"/>
        </w:rPr>
        <w:t xml:space="preserve">🔄  </w:t>
      </w:r>
      <w:r>
        <w:rPr>
          <w:rFonts w:ascii="Arial" w:cs="Arial" w:eastAsia="Arial" w:hAnsi="Arial"/>
          <w:b/>
          <w:bCs/>
          <w:color w:val="2C3E50"/>
          <w:sz w:val="22"/>
          <w:szCs w:val="22"/>
        </w:rPr>
        <w:t xml:space="preserve">Mid-Year Recovery: </w:t>
      </w:r>
      <w:r>
        <w:rPr>
          <w:rFonts w:ascii="Arial" w:cs="Arial" w:eastAsia="Arial" w:hAnsi="Arial"/>
          <w:color w:val="2C3E50"/>
          <w:sz w:val="22"/>
          <w:szCs w:val="22"/>
        </w:rPr>
        <w:t xml:space="preserve">A moderate uptick is observed in September–October, representing a secondary buying cycle.</w:t>
      </w:r>
    </w:p>
    <w:p>
      <w:pPr>
        <w:spacing w:after="60" w:before="80"/>
      </w:pPr>
    </w:p>
    <w:p>
      <w:pPr>
        <w:spacing w:after="80" w:before="100"/>
      </w:pPr>
      <w:r>
        <w:rPr>
          <w:rFonts w:ascii="Arial" w:cs="Arial" w:eastAsia="Arial" w:hAnsi="Arial"/>
          <w:b/>
          <w:bCs/>
          <w:color w:val="1A3C5E"/>
          <w:sz w:val="26"/>
          <w:szCs w:val="26"/>
        </w:rPr>
        <w:t xml:space="preserve">👥  Customer Segmentation</w:t>
      </w:r>
    </w:p>
    <w:p>
      <w:pPr>
        <w:pBdr>
          <w:bottom w:val="single" w:color="BDC3C7" w:sz="12" w:space="1"/>
        </w:pBdr>
        <w:spacing w:after="60" w:before="60"/>
      </w:pPr>
    </w:p>
    <w:p>
      <w:pPr>
        <w:spacing w:after="40" w:before="40"/>
      </w:pPr>
    </w:p>
    <w:p>
      <w:pPr>
        <w:spacing w:after="80" w:before="80"/>
      </w:pPr>
      <w:r>
        <w:rPr>
          <w:rFonts w:ascii="Arial" w:cs="Arial" w:eastAsia="Arial" w:hAnsi="Arial"/>
          <w:b w:val="false"/>
          <w:bCs w:val="false"/>
          <w:color w:val="2C3E50"/>
          <w:sz w:val="22"/>
          <w:szCs w:val="22"/>
        </w:rPr>
        <w:t xml:space="preserve">Customer analysis reveals a classic Pareto distribution — a small cohort of high-value customers generates a substantial portion of total revenue. Identifying and nurturing this segment is essential for sustainable business growth.</w:t>
      </w:r>
    </w:p>
    <w:p>
      <w:pPr>
        <w:spacing w:after="40" w:before="40"/>
      </w:pPr>
    </w:p>
    <w:p>
      <w:pPr>
        <w:pStyle w:val="ListParagraph"/>
        <w:numPr>
          <w:ilvl w:val="0"/>
          <w:numId w:val="2"/>
        </w:numPr>
        <w:spacing w:after="60" w:before="60"/>
      </w:pPr>
      <w:r>
        <w:rPr>
          <w:rFonts w:ascii="Arial" w:cs="Arial" w:eastAsia="Arial" w:hAnsi="Arial"/>
          <w:color w:val="2C3E50"/>
          <w:sz w:val="22"/>
          <w:szCs w:val="22"/>
        </w:rPr>
        <w:t xml:space="preserve">Top customers demonstrate significantly higher average order values</w:t>
      </w:r>
    </w:p>
    <w:p>
      <w:pPr>
        <w:pStyle w:val="ListParagraph"/>
        <w:numPr>
          <w:ilvl w:val="0"/>
          <w:numId w:val="2"/>
        </w:numPr>
        <w:spacing w:after="60" w:before="60"/>
      </w:pPr>
      <w:r>
        <w:rPr>
          <w:rFonts w:ascii="Arial" w:cs="Arial" w:eastAsia="Arial" w:hAnsi="Arial"/>
          <w:color w:val="2C3E50"/>
          <w:sz w:val="22"/>
          <w:szCs w:val="22"/>
        </w:rPr>
        <w:t xml:space="preserve">Repeat purchase rates are highest among customers in the Technology category</w:t>
      </w:r>
    </w:p>
    <w:p>
      <w:pPr>
        <w:pStyle w:val="ListParagraph"/>
        <w:numPr>
          <w:ilvl w:val="0"/>
          <w:numId w:val="2"/>
        </w:numPr>
        <w:spacing w:after="60" w:before="60"/>
      </w:pPr>
      <w:r>
        <w:rPr>
          <w:rFonts w:ascii="Arial" w:cs="Arial" w:eastAsia="Arial" w:hAnsi="Arial"/>
          <w:color w:val="2C3E50"/>
          <w:sz w:val="22"/>
          <w:szCs w:val="22"/>
        </w:rPr>
        <w:t xml:space="preserve">Geographic analysis shows top customers are concentrated in West and East regions</w:t>
      </w:r>
    </w:p>
    <w:p>
      <w:pPr>
        <w:spacing w:after="60" w:before="100"/>
      </w:pPr>
    </w:p>
    <w:p>
      <w:r>
        <w:br w:type="page"/>
      </w:r>
    </w:p>
    <w:p>
      <w:pPr>
        <w:pBdr>
          <w:left w:val="single" w:color="F39C12" w:sz="36" w:space="8"/>
        </w:pBdr>
        <w:shd w:fill="1A3C5E" w:val="clear"/>
        <w:spacing w:after="160" w:before="360"/>
        <w:ind w:left="0"/>
      </w:pPr>
      <w:r>
        <w:rPr>
          <w:rFonts w:ascii="Arial" w:cs="Arial" w:eastAsia="Arial" w:hAnsi="Arial"/>
          <w:b/>
          <w:bCs/>
          <w:color w:val="FFFFFF"/>
          <w:sz w:val="30"/>
          <w:szCs w:val="30"/>
        </w:rPr>
        <w:t xml:space="preserve">  04   Power BI Dashboard Overview</w:t>
      </w:r>
    </w:p>
    <w:p>
      <w:pPr>
        <w:spacing w:after="60" w:before="60"/>
      </w:pPr>
    </w:p>
    <w:p>
      <w:pPr>
        <w:spacing w:after="80" w:before="80"/>
      </w:pPr>
      <w:r>
        <w:rPr>
          <w:rFonts w:ascii="Arial" w:cs="Arial" w:eastAsia="Arial" w:hAnsi="Arial"/>
          <w:b w:val="false"/>
          <w:bCs w:val="false"/>
          <w:color w:val="2C3E50"/>
          <w:sz w:val="22"/>
          <w:szCs w:val="22"/>
        </w:rPr>
        <w:t xml:space="preserve">An interactive business intelligence dashboard was developed in Microsoft Power BI to enable stakeholders to explore findings visually and derive insights without technical expertise.</w:t>
      </w:r>
    </w:p>
    <w:p>
      <w:pPr>
        <w:spacing w:after="60" w:before="80"/>
      </w:pPr>
    </w:p>
    <w:p>
      <w:pPr>
        <w:spacing w:after="80" w:before="100"/>
      </w:pPr>
      <w:r>
        <w:rPr>
          <w:rFonts w:ascii="Arial" w:cs="Arial" w:eastAsia="Arial" w:hAnsi="Arial"/>
          <w:b/>
          <w:bCs/>
          <w:color w:val="2E86AB"/>
          <w:sz w:val="24"/>
          <w:szCs w:val="24"/>
        </w:rPr>
        <w:t xml:space="preserve">📊  Dashboard Components</w:t>
      </w:r>
    </w:p>
    <w:p>
      <w:pPr>
        <w:pBdr>
          <w:left w:val="single" w:color="2E86AB" w:sz="24" w:space="6"/>
        </w:pBdr>
        <w:shd w:fill="EAF4FB" w:val="clear"/>
        <w:spacing w:after="100" w:before="100"/>
        <w:ind w:left="200" w:right="200"/>
      </w:pPr>
      <w:r>
        <w:rPr>
          <w:rFonts w:ascii="Arial" w:cs="Arial" w:eastAsia="Arial" w:hAnsi="Arial"/>
          <w:b/>
          <w:bCs/>
          <w:color w:val="2E86AB"/>
          <w:sz w:val="24"/>
          <w:szCs w:val="24"/>
        </w:rPr>
        <w:t xml:space="preserve">📊  </w:t>
      </w:r>
      <w:r>
        <w:rPr>
          <w:rFonts w:ascii="Arial" w:cs="Arial" w:eastAsia="Arial" w:hAnsi="Arial"/>
          <w:b/>
          <w:bCs/>
          <w:color w:val="2C3E50"/>
          <w:sz w:val="22"/>
          <w:szCs w:val="22"/>
        </w:rPr>
        <w:t xml:space="preserve">Sales by Category: </w:t>
      </w:r>
      <w:r>
        <w:rPr>
          <w:rFonts w:ascii="Arial" w:cs="Arial" w:eastAsia="Arial" w:hAnsi="Arial"/>
          <w:color w:val="2C3E50"/>
          <w:sz w:val="22"/>
          <w:szCs w:val="22"/>
        </w:rPr>
        <w:t xml:space="preserve">Clustered bar/pie chart comparing revenue contribution across Office Supplies, Technology, and Furniture.</w:t>
      </w:r>
    </w:p>
    <w:p>
      <w:pPr>
        <w:spacing w:after="20" w:before="20"/>
      </w:pPr>
    </w:p>
    <w:p>
      <w:pPr>
        <w:pBdr>
          <w:left w:val="single" w:color="2E86AB" w:sz="24" w:space="6"/>
        </w:pBdr>
        <w:shd w:fill="EAF4FB" w:val="clear"/>
        <w:spacing w:after="100" w:before="100"/>
        <w:ind w:left="200" w:right="200"/>
      </w:pPr>
      <w:r>
        <w:rPr>
          <w:rFonts w:ascii="Arial" w:cs="Arial" w:eastAsia="Arial" w:hAnsi="Arial"/>
          <w:b/>
          <w:bCs/>
          <w:color w:val="2E86AB"/>
          <w:sz w:val="24"/>
          <w:szCs w:val="24"/>
        </w:rPr>
        <w:t xml:space="preserve">📅  </w:t>
      </w:r>
      <w:r>
        <w:rPr>
          <w:rFonts w:ascii="Arial" w:cs="Arial" w:eastAsia="Arial" w:hAnsi="Arial"/>
          <w:b/>
          <w:bCs/>
          <w:color w:val="2C3E50"/>
          <w:sz w:val="22"/>
          <w:szCs w:val="22"/>
        </w:rPr>
        <w:t xml:space="preserve">Monthly Sales Trend: </w:t>
      </w:r>
      <w:r>
        <w:rPr>
          <w:rFonts w:ascii="Arial" w:cs="Arial" w:eastAsia="Arial" w:hAnsi="Arial"/>
          <w:color w:val="2C3E50"/>
          <w:sz w:val="22"/>
          <w:szCs w:val="22"/>
        </w:rPr>
        <w:t xml:space="preserve">Line chart tracking month-over-month sales to identify seasonality and growth trajectory.</w:t>
      </w:r>
    </w:p>
    <w:p>
      <w:pPr>
        <w:spacing w:after="20" w:before="20"/>
      </w:pPr>
    </w:p>
    <w:p>
      <w:pPr>
        <w:pBdr>
          <w:left w:val="single" w:color="2E86AB" w:sz="24" w:space="6"/>
        </w:pBdr>
        <w:shd w:fill="EAF4FB" w:val="clear"/>
        <w:spacing w:after="100" w:before="100"/>
        <w:ind w:left="200" w:right="200"/>
      </w:pPr>
      <w:r>
        <w:rPr>
          <w:rFonts w:ascii="Arial" w:cs="Arial" w:eastAsia="Arial" w:hAnsi="Arial"/>
          <w:b/>
          <w:bCs/>
          <w:color w:val="2E86AB"/>
          <w:sz w:val="24"/>
          <w:szCs w:val="24"/>
        </w:rPr>
        <w:t xml:space="preserve">🏆  </w:t>
      </w:r>
      <w:r>
        <w:rPr>
          <w:rFonts w:ascii="Arial" w:cs="Arial" w:eastAsia="Arial" w:hAnsi="Arial"/>
          <w:b/>
          <w:bCs/>
          <w:color w:val="2C3E50"/>
          <w:sz w:val="22"/>
          <w:szCs w:val="22"/>
        </w:rPr>
        <w:t xml:space="preserve">Top Sub-Categories: </w:t>
      </w:r>
      <w:r>
        <w:rPr>
          <w:rFonts w:ascii="Arial" w:cs="Arial" w:eastAsia="Arial" w:hAnsi="Arial"/>
          <w:color w:val="2C3E50"/>
          <w:sz w:val="22"/>
          <w:szCs w:val="22"/>
        </w:rPr>
        <w:t xml:space="preserve">Ranked bar chart highlighting the 10 highest-revenue product sub-categories.</w:t>
      </w:r>
    </w:p>
    <w:p>
      <w:pPr>
        <w:spacing w:after="20" w:before="20"/>
      </w:pPr>
    </w:p>
    <w:p>
      <w:pPr>
        <w:pBdr>
          <w:left w:val="single" w:color="2E86AB" w:sz="24" w:space="6"/>
        </w:pBdr>
        <w:shd w:fill="EAF4FB" w:val="clear"/>
        <w:spacing w:after="100" w:before="100"/>
        <w:ind w:left="200" w:right="200"/>
      </w:pPr>
      <w:r>
        <w:rPr>
          <w:rFonts w:ascii="Arial" w:cs="Arial" w:eastAsia="Arial" w:hAnsi="Arial"/>
          <w:b/>
          <w:bCs/>
          <w:color w:val="2E86AB"/>
          <w:sz w:val="24"/>
          <w:szCs w:val="24"/>
        </w:rPr>
        <w:t xml:space="preserve">🗺️  </w:t>
      </w:r>
      <w:r>
        <w:rPr>
          <w:rFonts w:ascii="Arial" w:cs="Arial" w:eastAsia="Arial" w:hAnsi="Arial"/>
          <w:b/>
          <w:bCs/>
          <w:color w:val="2C3E50"/>
          <w:sz w:val="22"/>
          <w:szCs w:val="22"/>
        </w:rPr>
        <w:t xml:space="preserve">Sales by Region: </w:t>
      </w:r>
      <w:r>
        <w:rPr>
          <w:rFonts w:ascii="Arial" w:cs="Arial" w:eastAsia="Arial" w:hAnsi="Arial"/>
          <w:color w:val="2C3E50"/>
          <w:sz w:val="22"/>
          <w:szCs w:val="22"/>
        </w:rPr>
        <w:t xml:space="preserve">Geographic heat map or donut chart illustrating regional sales distribution across U.S. territories.</w:t>
      </w:r>
    </w:p>
    <w:p>
      <w:pPr>
        <w:spacing w:after="20" w:before="20"/>
      </w:pPr>
    </w:p>
    <w:p>
      <w:pPr>
        <w:pBdr>
          <w:left w:val="single" w:color="2E86AB" w:sz="24" w:space="6"/>
        </w:pBdr>
        <w:shd w:fill="EAF4FB" w:val="clear"/>
        <w:spacing w:after="100" w:before="100"/>
        <w:ind w:left="200" w:right="200"/>
      </w:pPr>
      <w:r>
        <w:rPr>
          <w:rFonts w:ascii="Arial" w:cs="Arial" w:eastAsia="Arial" w:hAnsi="Arial"/>
          <w:b/>
          <w:bCs/>
          <w:color w:val="2E86AB"/>
          <w:sz w:val="24"/>
          <w:szCs w:val="24"/>
        </w:rPr>
        <w:t xml:space="preserve">👤  </w:t>
      </w:r>
      <w:r>
        <w:rPr>
          <w:rFonts w:ascii="Arial" w:cs="Arial" w:eastAsia="Arial" w:hAnsi="Arial"/>
          <w:b/>
          <w:bCs/>
          <w:color w:val="2C3E50"/>
          <w:sz w:val="22"/>
          <w:szCs w:val="22"/>
        </w:rPr>
        <w:t xml:space="preserve">Top Customers: </w:t>
      </w:r>
      <w:r>
        <w:rPr>
          <w:rFonts w:ascii="Arial" w:cs="Arial" w:eastAsia="Arial" w:hAnsi="Arial"/>
          <w:color w:val="2C3E50"/>
          <w:sz w:val="22"/>
          <w:szCs w:val="22"/>
        </w:rPr>
        <w:t xml:space="preserve">Customer leaderboard identifying the highest-value clients by total purchase volume.</w:t>
      </w:r>
    </w:p>
    <w:p>
      <w:pPr>
        <w:spacing w:after="60" w:before="80"/>
      </w:pPr>
    </w:p>
    <w:p>
      <w:pPr>
        <w:pBdr>
          <w:left w:val="single" w:color="2E86AB" w:sz="20" w:space="8"/>
        </w:pBdr>
        <w:shd w:fill="EAF4FB" w:val="clear"/>
        <w:spacing w:after="80" w:before="80"/>
        <w:ind w:left="200"/>
      </w:pPr>
      <w:r>
        <w:rPr>
          <w:rFonts w:ascii="Arial" w:cs="Arial" w:eastAsia="Arial" w:hAnsi="Arial"/>
          <w:b/>
          <w:bCs/>
          <w:color w:val="1A3C5E"/>
          <w:sz w:val="22"/>
          <w:szCs w:val="22"/>
        </w:rPr>
        <w:t xml:space="preserve">  💡  Dashboard Capability: </w:t>
      </w:r>
      <w:r>
        <w:rPr>
          <w:rFonts w:ascii="Arial" w:cs="Arial" w:eastAsia="Arial" w:hAnsi="Arial"/>
          <w:color w:val="2C3E50"/>
          <w:sz w:val="22"/>
          <w:szCs w:val="22"/>
        </w:rPr>
        <w:t xml:space="preserve">All visuals are cross-filtered and interactive — clicking any data point dynamically updates all other charts for contextual analysis.</w:t>
      </w:r>
    </w:p>
    <w:p>
      <w:pPr>
        <w:spacing w:after="60" w:before="100"/>
      </w:pPr>
    </w:p>
    <w:p>
      <w:r>
        <w:br w:type="page"/>
      </w:r>
    </w:p>
    <w:p>
      <w:pPr>
        <w:pBdr>
          <w:left w:val="single" w:color="F39C12" w:sz="36" w:space="8"/>
        </w:pBdr>
        <w:shd w:fill="1A3C5E" w:val="clear"/>
        <w:spacing w:after="160" w:before="360"/>
        <w:ind w:left="0"/>
      </w:pPr>
      <w:r>
        <w:rPr>
          <w:rFonts w:ascii="Arial" w:cs="Arial" w:eastAsia="Arial" w:hAnsi="Arial"/>
          <w:b/>
          <w:bCs/>
          <w:color w:val="FFFFFF"/>
          <w:sz w:val="30"/>
          <w:szCs w:val="30"/>
        </w:rPr>
        <w:t xml:space="preserve">  05   Key Business Insights</w:t>
      </w:r>
    </w:p>
    <w:p>
      <w:pPr>
        <w:spacing w:after="60" w:before="60"/>
      </w:pPr>
    </w:p>
    <w:p>
      <w:pPr>
        <w:spacing w:after="80" w:before="80"/>
      </w:pPr>
      <w:r>
        <w:rPr>
          <w:rFonts w:ascii="Arial" w:cs="Arial" w:eastAsia="Arial" w:hAnsi="Arial"/>
          <w:b w:val="false"/>
          <w:bCs w:val="false"/>
          <w:color w:val="2C3E50"/>
          <w:sz w:val="22"/>
          <w:szCs w:val="22"/>
        </w:rPr>
        <w:t xml:space="preserve">The following insights emerged from the comprehensive analysis. Each represents a data-backed finding with direct strategic implications.</w:t>
      </w:r>
    </w:p>
    <w:p>
      <w:pPr>
        <w:spacing w:after="40" w:before="80"/>
      </w:pPr>
    </w:p>
    <w:p>
      <w:pPr>
        <w:pBdr>
          <w:left w:val="single" w:color="1A3C5E" w:sz="24" w:space="6"/>
        </w:pBdr>
        <w:shd w:fill="EAF4FB" w:val="clear"/>
        <w:spacing w:after="100" w:before="100"/>
        <w:ind w:left="200" w:right="200"/>
      </w:pPr>
      <w:r>
        <w:rPr>
          <w:rFonts w:ascii="Arial" w:cs="Arial" w:eastAsia="Arial" w:hAnsi="Arial"/>
          <w:b/>
          <w:bCs/>
          <w:color w:val="1A3C5E"/>
          <w:sz w:val="24"/>
          <w:szCs w:val="24"/>
        </w:rPr>
        <w:t xml:space="preserve">📦  </w:t>
      </w:r>
      <w:r>
        <w:rPr>
          <w:rFonts w:ascii="Arial" w:cs="Arial" w:eastAsia="Arial" w:hAnsi="Arial"/>
          <w:b/>
          <w:bCs/>
          <w:color w:val="2C3E50"/>
          <w:sz w:val="22"/>
          <w:szCs w:val="22"/>
        </w:rPr>
        <w:t xml:space="preserve">Insight 1 — Category Dominance: </w:t>
      </w:r>
      <w:r>
        <w:rPr>
          <w:rFonts w:ascii="Arial" w:cs="Arial" w:eastAsia="Arial" w:hAnsi="Arial"/>
          <w:color w:val="2C3E50"/>
          <w:sz w:val="22"/>
          <w:szCs w:val="22"/>
        </w:rPr>
        <w:t xml:space="preserve">Office Supplies leads in total sales volume, driven by high order frequency across all regions and customer segments.</w:t>
      </w:r>
    </w:p>
    <w:p>
      <w:pPr>
        <w:spacing w:after="30" w:before="30"/>
      </w:pPr>
    </w:p>
    <w:p>
      <w:pPr>
        <w:pBdr>
          <w:left w:val="single" w:color="2E86AB" w:sz="24" w:space="6"/>
        </w:pBdr>
        <w:shd w:fill="EAF4FB" w:val="clear"/>
        <w:spacing w:after="100" w:before="100"/>
        <w:ind w:left="200" w:right="200"/>
      </w:pPr>
      <w:r>
        <w:rPr>
          <w:rFonts w:ascii="Arial" w:cs="Arial" w:eastAsia="Arial" w:hAnsi="Arial"/>
          <w:b/>
          <w:bCs/>
          <w:color w:val="2E86AB"/>
          <w:sz w:val="24"/>
          <w:szCs w:val="24"/>
        </w:rPr>
        <w:t xml:space="preserve">📱  </w:t>
      </w:r>
      <w:r>
        <w:rPr>
          <w:rFonts w:ascii="Arial" w:cs="Arial" w:eastAsia="Arial" w:hAnsi="Arial"/>
          <w:b/>
          <w:bCs/>
          <w:color w:val="2C3E50"/>
          <w:sz w:val="22"/>
          <w:szCs w:val="22"/>
        </w:rPr>
        <w:t xml:space="preserve">Insight 2 — Technology as Value Driver: </w:t>
      </w:r>
      <w:r>
        <w:rPr>
          <w:rFonts w:ascii="Arial" w:cs="Arial" w:eastAsia="Arial" w:hAnsi="Arial"/>
          <w:color w:val="2C3E50"/>
          <w:sz w:val="22"/>
          <w:szCs w:val="22"/>
        </w:rPr>
        <w:t xml:space="preserve">Despite being second in volume, Technology products (Phones, Accessories) carry significantly higher unit prices, making them the primary profit driver.</w:t>
      </w:r>
    </w:p>
    <w:p>
      <w:pPr>
        <w:spacing w:after="30" w:before="30"/>
      </w:pPr>
    </w:p>
    <w:p>
      <w:pPr>
        <w:pBdr>
          <w:left w:val="single" w:color="17A589" w:sz="24" w:space="6"/>
        </w:pBdr>
        <w:shd w:fill="E8F8F5" w:val="clear"/>
        <w:spacing w:after="100" w:before="100"/>
        <w:ind w:left="200" w:right="200"/>
      </w:pPr>
      <w:r>
        <w:rPr>
          <w:rFonts w:ascii="Arial" w:cs="Arial" w:eastAsia="Arial" w:hAnsi="Arial"/>
          <w:b/>
          <w:bCs/>
          <w:color w:val="17A589"/>
          <w:sz w:val="24"/>
          <w:szCs w:val="24"/>
        </w:rPr>
        <w:t xml:space="preserve">🏆  </w:t>
      </w:r>
      <w:r>
        <w:rPr>
          <w:rFonts w:ascii="Arial" w:cs="Arial" w:eastAsia="Arial" w:hAnsi="Arial"/>
          <w:b/>
          <w:bCs/>
          <w:color w:val="2C3E50"/>
          <w:sz w:val="22"/>
          <w:szCs w:val="22"/>
        </w:rPr>
        <w:t xml:space="preserve">Insight 3 — Sub-Category Concentration: </w:t>
      </w:r>
      <w:r>
        <w:rPr>
          <w:rFonts w:ascii="Arial" w:cs="Arial" w:eastAsia="Arial" w:hAnsi="Arial"/>
          <w:color w:val="2C3E50"/>
          <w:sz w:val="22"/>
          <w:szCs w:val="22"/>
        </w:rPr>
        <w:t xml:space="preserve">Top 3 sub-categories (Phones, Storage, Chairs) account for a disproportionate share of revenue — a focused strategy here yields outsized returns.</w:t>
      </w:r>
    </w:p>
    <w:p>
      <w:pPr>
        <w:spacing w:after="30" w:before="30"/>
      </w:pPr>
    </w:p>
    <w:p>
      <w:pPr>
        <w:pBdr>
          <w:left w:val="single" w:color="F39C12" w:sz="24" w:space="6"/>
        </w:pBdr>
        <w:shd w:fill="EAF4FB" w:val="clear"/>
        <w:spacing w:after="100" w:before="100"/>
        <w:ind w:left="200" w:right="200"/>
      </w:pPr>
      <w:r>
        <w:rPr>
          <w:rFonts w:ascii="Arial" w:cs="Arial" w:eastAsia="Arial" w:hAnsi="Arial"/>
          <w:b/>
          <w:bCs/>
          <w:color w:val="F39C12"/>
          <w:sz w:val="24"/>
          <w:szCs w:val="24"/>
        </w:rPr>
        <w:t xml:space="preserve">🌍  </w:t>
      </w:r>
      <w:r>
        <w:rPr>
          <w:rFonts w:ascii="Arial" w:cs="Arial" w:eastAsia="Arial" w:hAnsi="Arial"/>
          <w:b/>
          <w:bCs/>
          <w:color w:val="2C3E50"/>
          <w:sz w:val="22"/>
          <w:szCs w:val="22"/>
        </w:rPr>
        <w:t xml:space="preserve">Insight 4 — Regional Disparity: </w:t>
      </w:r>
      <w:r>
        <w:rPr>
          <w:rFonts w:ascii="Arial" w:cs="Arial" w:eastAsia="Arial" w:hAnsi="Arial"/>
          <w:color w:val="2C3E50"/>
          <w:sz w:val="22"/>
          <w:szCs w:val="22"/>
        </w:rPr>
        <w:t xml:space="preserve">A significant performance gap exists between the West (highest) and South (lowest) regions — indicating untapped potential rather than market saturation.</w:t>
      </w:r>
    </w:p>
    <w:p>
      <w:pPr>
        <w:spacing w:after="30" w:before="30"/>
      </w:pPr>
    </w:p>
    <w:p>
      <w:pPr>
        <w:pBdr>
          <w:left w:val="single" w:color="2E86AB" w:sz="24" w:space="6"/>
        </w:pBdr>
        <w:shd w:fill="E8F8F5" w:val="clear"/>
        <w:spacing w:after="100" w:before="100"/>
        <w:ind w:left="200" w:right="200"/>
      </w:pPr>
      <w:r>
        <w:rPr>
          <w:rFonts w:ascii="Arial" w:cs="Arial" w:eastAsia="Arial" w:hAnsi="Arial"/>
          <w:b/>
          <w:bCs/>
          <w:color w:val="2E86AB"/>
          <w:sz w:val="24"/>
          <w:szCs w:val="24"/>
        </w:rPr>
        <w:t xml:space="preserve">📅  </w:t>
      </w:r>
      <w:r>
        <w:rPr>
          <w:rFonts w:ascii="Arial" w:cs="Arial" w:eastAsia="Arial" w:hAnsi="Arial"/>
          <w:b/>
          <w:bCs/>
          <w:color w:val="2C3E50"/>
          <w:sz w:val="22"/>
          <w:szCs w:val="22"/>
        </w:rPr>
        <w:t xml:space="preserve">Insight 5 — Q4 Seasonality: </w:t>
      </w:r>
      <w:r>
        <w:rPr>
          <w:rFonts w:ascii="Arial" w:cs="Arial" w:eastAsia="Arial" w:hAnsi="Arial"/>
          <w:color w:val="2C3E50"/>
          <w:sz w:val="22"/>
          <w:szCs w:val="22"/>
        </w:rPr>
        <w:t xml:space="preserve">Year-end sales spikes (November–December) create a predictable revenue opportunity that can be proactively planned and amplified.</w:t>
      </w:r>
    </w:p>
    <w:p>
      <w:pPr>
        <w:spacing w:after="30" w:before="30"/>
      </w:pPr>
    </w:p>
    <w:p>
      <w:pPr>
        <w:pBdr>
          <w:left w:val="single" w:color="C0392B" w:sz="24" w:space="6"/>
        </w:pBdr>
        <w:shd w:fill="EAF4FB" w:val="clear"/>
        <w:spacing w:after="100" w:before="100"/>
        <w:ind w:left="200" w:right="200"/>
      </w:pPr>
      <w:r>
        <w:rPr>
          <w:rFonts w:ascii="Arial" w:cs="Arial" w:eastAsia="Arial" w:hAnsi="Arial"/>
          <w:b/>
          <w:bCs/>
          <w:color w:val="C0392B"/>
          <w:sz w:val="24"/>
          <w:szCs w:val="24"/>
        </w:rPr>
        <w:t xml:space="preserve">👥  </w:t>
      </w:r>
      <w:r>
        <w:rPr>
          <w:rFonts w:ascii="Arial" w:cs="Arial" w:eastAsia="Arial" w:hAnsi="Arial"/>
          <w:b/>
          <w:bCs/>
          <w:color w:val="2C3E50"/>
          <w:sz w:val="22"/>
          <w:szCs w:val="22"/>
        </w:rPr>
        <w:t xml:space="preserve">Insight 6 — Customer Concentration Risk: </w:t>
      </w:r>
      <w:r>
        <w:rPr>
          <w:rFonts w:ascii="Arial" w:cs="Arial" w:eastAsia="Arial" w:hAnsi="Arial"/>
          <w:color w:val="2C3E50"/>
          <w:sz w:val="22"/>
          <w:szCs w:val="22"/>
        </w:rPr>
        <w:t xml:space="preserve">Revenue dependence on a small number of high-value customers represents both an opportunity (relationship deepening) and a risk (churn exposure).</w:t>
      </w:r>
    </w:p>
    <w:p>
      <w:pPr>
        <w:spacing w:after="60" w:before="100"/>
      </w:pPr>
    </w:p>
    <w:p>
      <w:r>
        <w:br w:type="page"/>
      </w:r>
    </w:p>
    <w:p>
      <w:pPr>
        <w:pBdr>
          <w:left w:val="single" w:color="F39C12" w:sz="36" w:space="8"/>
        </w:pBdr>
        <w:shd w:fill="1A3C5E" w:val="clear"/>
        <w:spacing w:after="160" w:before="360"/>
        <w:ind w:left="0"/>
      </w:pPr>
      <w:r>
        <w:rPr>
          <w:rFonts w:ascii="Arial" w:cs="Arial" w:eastAsia="Arial" w:hAnsi="Arial"/>
          <w:b/>
          <w:bCs/>
          <w:color w:val="FFFFFF"/>
          <w:sz w:val="30"/>
          <w:szCs w:val="30"/>
        </w:rPr>
        <w:t xml:space="preserve">  06   Strategic Recommendations</w:t>
      </w:r>
    </w:p>
    <w:p>
      <w:pPr>
        <w:spacing w:after="60" w:before="60"/>
      </w:pPr>
    </w:p>
    <w:p>
      <w:pPr>
        <w:spacing w:after="80" w:before="80"/>
      </w:pPr>
      <w:r>
        <w:rPr>
          <w:rFonts w:ascii="Arial" w:cs="Arial" w:eastAsia="Arial" w:hAnsi="Arial"/>
          <w:b w:val="false"/>
          <w:bCs w:val="false"/>
          <w:color w:val="2C3E50"/>
          <w:sz w:val="22"/>
          <w:szCs w:val="22"/>
        </w:rPr>
        <w:t xml:space="preserve">Based on the analytical findings, the following strategic recommendations are proposed. They are prioritized by expected business impact and implementation feasibility.</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rPr>
          <w:tblHeader/>
        </w:trPr>
        <w:tc>
          <w:tcPr>
            <w:tcW w:type="dxa" w:w="1440"/>
            <w:tcBorders>
              <w:top w:val="single" w:color="17A589" w:sz="4"/>
              <w:left w:val="single" w:color="17A589" w:sz="4"/>
              <w:bottom w:val="single" w:color="17A589" w:sz="4"/>
              <w:right w:val="single" w:color="17A589" w:sz="4"/>
            </w:tcBorders>
            <w:shd w:fill="17A58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t>
            </w:r>
          </w:p>
        </w:tc>
        <w:tc>
          <w:tcPr>
            <w:tcW w:type="dxa" w:w="5040"/>
            <w:tcBorders>
              <w:top w:val="single" w:color="17A589" w:sz="4"/>
              <w:left w:val="single" w:color="17A589" w:sz="4"/>
              <w:bottom w:val="single" w:color="17A589" w:sz="4"/>
              <w:right w:val="single" w:color="17A589" w:sz="4"/>
            </w:tcBorders>
            <w:shd w:fill="17A58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التوصية</w:t>
            </w:r>
          </w:p>
        </w:tc>
        <w:tc>
          <w:tcPr>
            <w:tcW w:type="dxa" w:w="2880"/>
            <w:tcBorders>
              <w:top w:val="single" w:color="17A589" w:sz="4"/>
              <w:left w:val="single" w:color="17A589" w:sz="4"/>
              <w:bottom w:val="single" w:color="17A589" w:sz="4"/>
              <w:right w:val="single" w:color="17A589" w:sz="4"/>
            </w:tcBorders>
            <w:shd w:fill="17A58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الأولوية</w:t>
            </w:r>
          </w:p>
        </w:tc>
      </w:tr>
      <w:tr>
        <w:tc>
          <w:tcPr>
            <w:tcW w:type="dxa" w:w="14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 01</w:t>
            </w:r>
          </w:p>
        </w:tc>
        <w:tc>
          <w:tcPr>
            <w:tcW w:type="dxa" w:w="50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تعزيز المنتجات عالية الأداء (Phones &amp; Accessories)</w:t>
            </w:r>
          </w:p>
        </w:tc>
        <w:tc>
          <w:tcPr>
            <w:tcW w:type="dxa" w:w="28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أولوية عالية</w:t>
            </w:r>
          </w:p>
        </w:tc>
      </w:tr>
      <w:tr>
        <w:tc>
          <w:tcPr>
            <w:tcW w:type="dxa" w:w="1440"/>
            <w:tcBorders>
              <w:top w:val="single" w:color="BDC3C7" w:sz="4"/>
              <w:left w:val="single" w:color="BDC3C7" w:sz="4"/>
              <w:bottom w:val="single" w:color="BDC3C7" w:sz="4"/>
              <w:right w:val="single" w:color="BDC3C7" w:sz="4"/>
            </w:tcBorders>
            <w:shd w:fill="E8F8F5"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 02</w:t>
            </w:r>
          </w:p>
        </w:tc>
        <w:tc>
          <w:tcPr>
            <w:tcW w:type="dxa" w:w="5040"/>
            <w:tcBorders>
              <w:top w:val="single" w:color="BDC3C7" w:sz="4"/>
              <w:left w:val="single" w:color="BDC3C7" w:sz="4"/>
              <w:bottom w:val="single" w:color="BDC3C7" w:sz="4"/>
              <w:right w:val="single" w:color="BDC3C7" w:sz="4"/>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تطوير استراتيجية المنطقة الجنوبية بخطة متكاملة</w:t>
            </w:r>
          </w:p>
        </w:tc>
        <w:tc>
          <w:tcPr>
            <w:tcW w:type="dxa" w:w="2880"/>
            <w:tcBorders>
              <w:top w:val="single" w:color="BDC3C7" w:sz="4"/>
              <w:left w:val="single" w:color="BDC3C7" w:sz="4"/>
              <w:bottom w:val="single" w:color="BDC3C7" w:sz="4"/>
              <w:right w:val="single" w:color="BDC3C7" w:sz="4"/>
            </w:tcBorders>
            <w:shd w:fill="E8F8F5"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أولوية عالية</w:t>
            </w:r>
          </w:p>
        </w:tc>
      </w:tr>
      <w:tr>
        <w:tc>
          <w:tcPr>
            <w:tcW w:type="dxa" w:w="14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 03</w:t>
            </w:r>
          </w:p>
        </w:tc>
        <w:tc>
          <w:tcPr>
            <w:tcW w:type="dxa" w:w="50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استغلال الموسمية بزيادة حملات التسويق (Q4)</w:t>
            </w:r>
          </w:p>
        </w:tc>
        <w:tc>
          <w:tcPr>
            <w:tcW w:type="dxa" w:w="28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أولوية متوسطة</w:t>
            </w:r>
          </w:p>
        </w:tc>
      </w:tr>
      <w:tr>
        <w:tc>
          <w:tcPr>
            <w:tcW w:type="dxa" w:w="1440"/>
            <w:tcBorders>
              <w:top w:val="single" w:color="BDC3C7" w:sz="4"/>
              <w:left w:val="single" w:color="BDC3C7" w:sz="4"/>
              <w:bottom w:val="single" w:color="BDC3C7" w:sz="4"/>
              <w:right w:val="single" w:color="BDC3C7" w:sz="4"/>
            </w:tcBorders>
            <w:shd w:fill="E8F8F5"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 04</w:t>
            </w:r>
          </w:p>
        </w:tc>
        <w:tc>
          <w:tcPr>
            <w:tcW w:type="dxa" w:w="5040"/>
            <w:tcBorders>
              <w:top w:val="single" w:color="BDC3C7" w:sz="4"/>
              <w:left w:val="single" w:color="BDC3C7" w:sz="4"/>
              <w:bottom w:val="single" w:color="BDC3C7" w:sz="4"/>
              <w:right w:val="single" w:color="BDC3C7" w:sz="4"/>
            </w:tcBorders>
            <w:shd w:fill="E8F8F5"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برامج ولاء للعملاء ذوي القيمة العالية</w:t>
            </w:r>
          </w:p>
        </w:tc>
        <w:tc>
          <w:tcPr>
            <w:tcW w:type="dxa" w:w="2880"/>
            <w:tcBorders>
              <w:top w:val="single" w:color="BDC3C7" w:sz="4"/>
              <w:left w:val="single" w:color="BDC3C7" w:sz="4"/>
              <w:bottom w:val="single" w:color="BDC3C7" w:sz="4"/>
              <w:right w:val="single" w:color="BDC3C7" w:sz="4"/>
            </w:tcBorders>
            <w:shd w:fill="E8F8F5"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أولوية متوسطة</w:t>
            </w:r>
          </w:p>
        </w:tc>
      </w:tr>
      <w:tr>
        <w:tc>
          <w:tcPr>
            <w:tcW w:type="dxa" w:w="14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 05</w:t>
            </w:r>
          </w:p>
        </w:tc>
        <w:tc>
          <w:tcPr>
            <w:tcW w:type="dxa" w:w="50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تحليل المنتجات الضعيفة وقرارات الإيقاف/التطوير</w:t>
            </w:r>
          </w:p>
        </w:tc>
        <w:tc>
          <w:tcPr>
            <w:tcW w:type="dxa" w:w="28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أولوية منخفضة</w:t>
            </w:r>
          </w:p>
        </w:tc>
      </w:tr>
    </w:tbl>
    <w:p>
      <w:pPr>
        <w:spacing w:after="60" w:before="80"/>
      </w:pPr>
    </w:p>
    <w:p>
      <w:pPr>
        <w:spacing w:after="80" w:before="100"/>
      </w:pPr>
      <w:r>
        <w:rPr>
          <w:rFonts w:ascii="Arial" w:cs="Arial" w:eastAsia="Arial" w:hAnsi="Arial"/>
          <w:b/>
          <w:bCs/>
          <w:color w:val="2E86AB"/>
          <w:sz w:val="24"/>
          <w:szCs w:val="24"/>
        </w:rPr>
        <w:t xml:space="preserve">📌  Implementation Roadmap</w:t>
      </w:r>
    </w:p>
    <w:p>
      <w:pPr>
        <w:pBdr>
          <w:bottom w:val="single" w:color="BDC3C7" w:sz="12" w:space="1"/>
        </w:pBdr>
        <w:spacing w:after="60" w:before="60"/>
      </w:pPr>
    </w:p>
    <w:p>
      <w:pPr>
        <w:spacing w:after="40" w:before="40"/>
      </w:pPr>
    </w:p>
    <w:p>
      <w:pPr>
        <w:pBdr>
          <w:left w:val="single" w:color="17A589" w:sz="24" w:space="6"/>
        </w:pBdr>
        <w:shd w:fill="E8F8F5" w:val="clear"/>
        <w:spacing w:after="100" w:before="100"/>
        <w:ind w:left="200" w:right="200"/>
      </w:pPr>
      <w:r>
        <w:rPr>
          <w:rFonts w:ascii="Arial" w:cs="Arial" w:eastAsia="Arial" w:hAnsi="Arial"/>
          <w:b/>
          <w:bCs/>
          <w:color w:val="17A589"/>
          <w:sz w:val="24"/>
          <w:szCs w:val="24"/>
        </w:rPr>
        <w:t xml:space="preserve">🏃  </w:t>
      </w:r>
      <w:r>
        <w:rPr>
          <w:rFonts w:ascii="Arial" w:cs="Arial" w:eastAsia="Arial" w:hAnsi="Arial"/>
          <w:b/>
          <w:bCs/>
          <w:color w:val="2C3E50"/>
          <w:sz w:val="22"/>
          <w:szCs w:val="22"/>
        </w:rPr>
        <w:t xml:space="preserve">Short-Term (0–3 months): </w:t>
      </w:r>
      <w:r>
        <w:rPr>
          <w:rFonts w:ascii="Arial" w:cs="Arial" w:eastAsia="Arial" w:hAnsi="Arial"/>
          <w:color w:val="2C3E50"/>
          <w:sz w:val="22"/>
          <w:szCs w:val="22"/>
        </w:rPr>
        <w:t xml:space="preserve">Launch loyalty program for top customers; initiate South region market research; prepare Q4 marketing plan.</w:t>
      </w:r>
    </w:p>
    <w:p>
      <w:pPr>
        <w:spacing w:after="20" w:before="20"/>
      </w:pPr>
    </w:p>
    <w:p>
      <w:pPr>
        <w:pBdr>
          <w:left w:val="single" w:color="2E86AB" w:sz="24" w:space="6"/>
        </w:pBdr>
        <w:shd w:fill="EAF4FB" w:val="clear"/>
        <w:spacing w:after="100" w:before="100"/>
        <w:ind w:left="200" w:right="200"/>
      </w:pPr>
      <w:r>
        <w:rPr>
          <w:rFonts w:ascii="Arial" w:cs="Arial" w:eastAsia="Arial" w:hAnsi="Arial"/>
          <w:b/>
          <w:bCs/>
          <w:color w:val="2E86AB"/>
          <w:sz w:val="24"/>
          <w:szCs w:val="24"/>
        </w:rPr>
        <w:t xml:space="preserve">📊  </w:t>
      </w:r>
      <w:r>
        <w:rPr>
          <w:rFonts w:ascii="Arial" w:cs="Arial" w:eastAsia="Arial" w:hAnsi="Arial"/>
          <w:b/>
          <w:bCs/>
          <w:color w:val="2C3E50"/>
          <w:sz w:val="22"/>
          <w:szCs w:val="22"/>
        </w:rPr>
        <w:t xml:space="preserve">Medium-Term (3–6 months): </w:t>
      </w:r>
      <w:r>
        <w:rPr>
          <w:rFonts w:ascii="Arial" w:cs="Arial" w:eastAsia="Arial" w:hAnsi="Arial"/>
          <w:color w:val="2C3E50"/>
          <w:sz w:val="22"/>
          <w:szCs w:val="22"/>
        </w:rPr>
        <w:t xml:space="preserve">Roll out targeted promotions for Phones &amp; Accessories; begin South region pilot campaigns; review low-performing SKUs.</w:t>
      </w:r>
    </w:p>
    <w:p>
      <w:pPr>
        <w:spacing w:after="20" w:before="20"/>
      </w:pPr>
    </w:p>
    <w:p>
      <w:pPr>
        <w:pBdr>
          <w:left w:val="single" w:color="1A3C5E" w:sz="24" w:space="6"/>
        </w:pBdr>
        <w:shd w:fill="EAF4FB" w:val="clear"/>
        <w:spacing w:after="100" w:before="100"/>
        <w:ind w:left="200" w:right="200"/>
      </w:pPr>
      <w:r>
        <w:rPr>
          <w:rFonts w:ascii="Arial" w:cs="Arial" w:eastAsia="Arial" w:hAnsi="Arial"/>
          <w:b/>
          <w:bCs/>
          <w:color w:val="1A3C5E"/>
          <w:sz w:val="24"/>
          <w:szCs w:val="24"/>
        </w:rPr>
        <w:t xml:space="preserve">🎯  </w:t>
      </w:r>
      <w:r>
        <w:rPr>
          <w:rFonts w:ascii="Arial" w:cs="Arial" w:eastAsia="Arial" w:hAnsi="Arial"/>
          <w:b/>
          <w:bCs/>
          <w:color w:val="2C3E50"/>
          <w:sz w:val="22"/>
          <w:szCs w:val="22"/>
        </w:rPr>
        <w:t xml:space="preserve">Long-Term (6–12 months): </w:t>
      </w:r>
      <w:r>
        <w:rPr>
          <w:rFonts w:ascii="Arial" w:cs="Arial" w:eastAsia="Arial" w:hAnsi="Arial"/>
          <w:color w:val="2C3E50"/>
          <w:sz w:val="22"/>
          <w:szCs w:val="22"/>
        </w:rPr>
        <w:t xml:space="preserve">Evaluate product portfolio restructuring; expand successful regional models; develop predictive analytics capabilities.</w:t>
      </w:r>
    </w:p>
    <w:p>
      <w:pPr>
        <w:spacing w:after="60" w:before="100"/>
      </w:pPr>
    </w:p>
    <w:p>
      <w:r>
        <w:br w:type="page"/>
      </w:r>
    </w:p>
    <w:p>
      <w:pPr>
        <w:pBdr>
          <w:left w:val="single" w:color="F39C12" w:sz="36" w:space="8"/>
        </w:pBdr>
        <w:shd w:fill="1A3C5E" w:val="clear"/>
        <w:spacing w:after="160" w:before="360"/>
        <w:ind w:left="0"/>
      </w:pPr>
      <w:r>
        <w:rPr>
          <w:rFonts w:ascii="Arial" w:cs="Arial" w:eastAsia="Arial" w:hAnsi="Arial"/>
          <w:b/>
          <w:bCs/>
          <w:color w:val="FFFFFF"/>
          <w:sz w:val="30"/>
          <w:szCs w:val="30"/>
        </w:rPr>
        <w:t xml:space="preserve">  07   Conclusion</w:t>
      </w:r>
    </w:p>
    <w:p>
      <w:pPr>
        <w:spacing w:after="60" w:before="60"/>
      </w:pPr>
    </w:p>
    <w:p>
      <w:pPr>
        <w:spacing w:after="80" w:before="80"/>
      </w:pPr>
      <w:r>
        <w:rPr>
          <w:rFonts w:ascii="Arial" w:cs="Arial" w:eastAsia="Arial" w:hAnsi="Arial"/>
          <w:b w:val="false"/>
          <w:bCs w:val="false"/>
          <w:color w:val="2C3E50"/>
          <w:sz w:val="22"/>
          <w:szCs w:val="22"/>
        </w:rPr>
        <w:t xml:space="preserve">This Sales Analysis Report demonstrates the transformative power of data analytics when applied rigorously to business operations. By systematically examining the Superstore dataset across multiple dimensions — products, regions, time, and customers — we have surfaced a clear picture of where value is created and where opportunities remain unrealized.</w:t>
      </w:r>
    </w:p>
    <w:p>
      <w:pPr>
        <w:spacing w:after="60" w:before="80"/>
      </w:pPr>
    </w:p>
    <w:p>
      <w:pPr>
        <w:spacing w:after="80" w:before="80"/>
      </w:pPr>
      <w:r>
        <w:rPr>
          <w:rFonts w:ascii="Arial" w:cs="Arial" w:eastAsia="Arial" w:hAnsi="Arial"/>
          <w:b w:val="false"/>
          <w:bCs w:val="false"/>
          <w:color w:val="2C3E50"/>
          <w:sz w:val="22"/>
          <w:szCs w:val="22"/>
        </w:rPr>
        <w:t xml:space="preserve">The analysis reveals a business with strong fundamentals: solid revenue across major categories, a loyal high-value customer base, and clear seasonal patterns that can be leveraged. At the same time, regional disparities and product concentration present actionable growth vectors.</w:t>
      </w:r>
    </w:p>
    <w:p>
      <w:pPr>
        <w:spacing w:after="60" w:before="80"/>
      </w:pPr>
    </w:p>
    <w:p>
      <w:pPr>
        <w:pBdr>
          <w:top w:val="single" w:color="F39C12" w:sz="8" w:space="8"/>
          <w:bottom w:val="single" w:color="F39C12" w:sz="8" w:space="8"/>
          <w:left w:val="single" w:color="F39C12" w:sz="8" w:space="8"/>
          <w:right w:val="single" w:color="F39C12" w:sz="8" w:space="8"/>
        </w:pBdr>
        <w:shd w:fill="1A3C5E" w:val="clear"/>
        <w:spacing w:after="120" w:before="120"/>
      </w:pPr>
      <w:r>
        <w:rPr>
          <w:rFonts w:ascii="Arial" w:cs="Arial" w:eastAsia="Arial" w:hAnsi="Arial"/>
          <w:i/>
          <w:iCs/>
          <w:color w:val="FFFFFF"/>
          <w:sz w:val="22"/>
          <w:szCs w:val="22"/>
        </w:rPr>
        <w:t xml:space="preserve">  ✨  The path from raw data to strategic intelligence is not just a technical exercise — it is a business imperative. Organizations that embrace data-driven culture consistently achieve superior performance, agility, and resilience in competitive markets.</w:t>
      </w:r>
    </w:p>
    <w:p>
      <w:pPr>
        <w:spacing w:after="60" w:before="80"/>
      </w:pPr>
    </w:p>
    <w:p>
      <w:pPr>
        <w:spacing w:after="80" w:before="80"/>
      </w:pPr>
      <w:r>
        <w:rPr>
          <w:rFonts w:ascii="Arial" w:cs="Arial" w:eastAsia="Arial" w:hAnsi="Arial"/>
          <w:b w:val="false"/>
          <w:bCs w:val="false"/>
          <w:color w:val="2C3E50"/>
          <w:sz w:val="22"/>
          <w:szCs w:val="22"/>
        </w:rPr>
        <w:t xml:space="preserve">The recommendations outlined in this report, when implemented systematically, are expected to yield measurable improvements in revenue growth, operational efficiency, and customer satisfaction. Continued investment in data analytics capabilities will enable more granular insights and real-time decision support.</w:t>
      </w:r>
    </w:p>
    <w:p>
      <w:pPr>
        <w:spacing w:after="60" w:before="120"/>
      </w:pPr>
    </w:p>
    <w:p>
      <w:pPr>
        <w:pBdr>
          <w:bottom w:val="single" w:color="2E86AB" w:sz="12" w:space="1"/>
        </w:pBdr>
        <w:spacing w:after="60" w:before="60"/>
      </w:pPr>
    </w:p>
    <w:p>
      <w:pPr>
        <w:spacing w:after="40" w:before="60"/>
      </w:pPr>
    </w:p>
    <w:p>
      <w:pPr>
        <w:spacing w:after="40" w:before="60"/>
        <w:jc w:val="center"/>
      </w:pPr>
      <w:r>
        <w:rPr>
          <w:rFonts w:ascii="Arial" w:cs="Arial" w:eastAsia="Arial" w:hAnsi="Arial"/>
          <w:color w:val="7F8C8D"/>
          <w:sz w:val="20"/>
          <w:szCs w:val="20"/>
        </w:rPr>
        <w:t xml:space="preserve">📊  Report prepared under the </w:t>
      </w:r>
      <w:r>
        <w:rPr>
          <w:rFonts w:ascii="Arial" w:cs="Arial" w:eastAsia="Arial" w:hAnsi="Arial"/>
          <w:b/>
          <w:bCs/>
          <w:color w:val="2E86AB"/>
          <w:sz w:val="20"/>
          <w:szCs w:val="20"/>
        </w:rPr>
        <w:t xml:space="preserve">Digital Egypt Pioneers Initiative (DEPI)</w:t>
      </w:r>
      <w:r>
        <w:rPr>
          <w:rFonts w:ascii="Arial" w:cs="Arial" w:eastAsia="Arial" w:hAnsi="Arial"/>
          <w:color w:val="7F8C8D"/>
          <w:sz w:val="20"/>
          <w:szCs w:val="20"/>
        </w:rPr>
        <w:t xml:space="preserve">  —  2026</w:t>
      </w:r>
    </w:p>
    <w:p>
      <w:pPr>
        <w:spacing w:after="60" w:before="20"/>
        <w:jc w:val="center"/>
      </w:pPr>
      <w:r>
        <w:rPr>
          <w:rFonts w:ascii="Arial" w:cs="Arial" w:eastAsia="Arial" w:hAnsi="Arial"/>
          <w:i/>
          <w:iCs/>
          <w:color w:val="7F8C8D"/>
          <w:sz w:val="18"/>
          <w:szCs w:val="18"/>
        </w:rPr>
        <w:t xml:space="preserve">This document is confidential and intended for authorized recipients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2E86AB" w:sz="12" w:space="1"/>
      </w:pBdr>
      <w:spacing w:after="60" w:before="60"/>
    </w:pPr>
  </w:p>
  <w:p>
    <w:pPr>
      <w:tabs>
        <w:tab w:val="right" w:pos="9026"/>
      </w:tabs>
      <w:spacing w:after="0" w:before="40"/>
    </w:pPr>
    <w:r>
      <w:rPr>
        <w:rFonts w:ascii="Arial" w:cs="Arial" w:eastAsia="Arial" w:hAnsi="Arial"/>
        <w:color w:val="7F8C8D"/>
        <w:sz w:val="16"/>
        <w:szCs w:val="16"/>
      </w:rPr>
      <w:t xml:space="preserve">  Digital Egypt Pioneers Initiative (DEPI) — Confidential</w:t>
    </w:r>
    <w:r>
      <w:rPr>
        <w:rFonts w:ascii="Arial" w:cs="Arial" w:eastAsia="Arial" w:hAnsi="Arial"/>
        <w:color w:val="7F8C8D"/>
        <w:sz w:val="16"/>
        <w:szCs w:val="16"/>
      </w:rPr>
      <w:t xml:space="preserve">	Page </w:t>
    </w:r>
    <w:r>
      <w:rPr>
        <w:rFonts w:ascii="Arial" w:cs="Arial" w:eastAsia="Arial" w:hAnsi="Arial"/>
        <w:b/>
        <w:bCs/>
        <w:color w:val="2E86AB"/>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3C5E" w:val="clear"/>
      <w:spacing w:after="80" w:before="0"/>
    </w:pPr>
    <w:r>
      <w:rPr>
        <w:rFonts w:ascii="Arial" w:cs="Arial" w:eastAsia="Arial" w:hAnsi="Arial"/>
        <w:b/>
        <w:bCs/>
        <w:color w:val="FFFFFF"/>
        <w:sz w:val="18"/>
        <w:szCs w:val="18"/>
      </w:rPr>
      <w:t xml:space="preserve">  📊  Sales Analysis Report  |  Superstore Dataset  |  DEPI 2026</w:t>
    </w:r>
  </w:p>
  <w:p>
    <w:pPr>
      <w:pBdr>
        <w:bottom w:val="single" w:color="F39C12" w:sz="12" w:space="1"/>
      </w:pBdr>
      <w:spacing w:after="60" w:before="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rPr>
        <w:color w:val="17A58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2026-04-19T21:52:44.183Z</dcterms:created>
  <dcterms:modified xsi:type="dcterms:W3CDTF">2026-04-19T21:52:44.184Z</dcterms:modified>
</cp:coreProperties>
</file>

<file path=docProps/custom.xml><?xml version="1.0" encoding="utf-8"?>
<Properties xmlns="http://schemas.openxmlformats.org/officeDocument/2006/custom-properties" xmlns:vt="http://schemas.openxmlformats.org/officeDocument/2006/docPropsVTypes"/>
</file>