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Comprehensive Guide to Domain Controller Monitoring in Microsoft Sentinel</w:t>
      </w:r>
    </w:p>
    <w:p>
      <w:pPr>
        <w:spacing w:before="120" w:after="120"/>
        <w:jc w:val="center"/>
      </w:pPr>
      <w:r>
        <w:rPr>
          <w:i/>
          <w:iCs/>
          <w:color w:val="5B9BD5"/>
          <w:sz w:val="28"/>
          <w:szCs w:val="28"/>
        </w:rPr>
        <w:t xml:space="preserve">Advanced Detection, Monitoring, and Response Strategies</w:t>
      </w:r>
    </w:p>
    <w:p>
      <w:pPr>
        <w:spacing w:before="480" w:after="120"/>
        <w:jc w:val="center"/>
      </w:pPr>
      <w:r>
        <w:rPr>
          <w:b/>
          <w:bCs/>
          <w:sz w:val="24"/>
          <w:szCs w:val="24"/>
        </w:rPr>
        <w:t xml:space="preserve">Version 1.0</w:t>
      </w:r>
    </w:p>
    <w:p>
      <w:pPr>
        <w:spacing w:after="240"/>
        <w:jc w:val="center"/>
      </w:pPr>
      <w:r>
        <w:rPr>
          <w:sz w:val="22"/>
          <w:szCs w:val="22"/>
        </w:rPr>
        <w:t xml:space="preserve">November 2025</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Executive Summary</w:t>
      </w:r>
    </w:p>
    <w:p>
      <w:pPr>
        <w:spacing w:after="120"/>
      </w:pPr>
      <w:r>
        <w:t xml:space="preserve">Active Directory Domain Controllers (DCs) are the cornerstone of enterprise identity and access management infrastructure. They authenticate users, enforce security policies, and maintain the integrity of organizational resources. As such, they represent one of the most critical attack surfaces in any Windows-based environment.</w:t>
      </w:r>
    </w:p>
    <w:p>
      <w:pPr>
        <w:spacing w:after="120"/>
      </w:pPr>
      <w:r>
        <w:t xml:space="preserve">This comprehensive guide provides security professionals with the knowledge and tools necessary to implement robust Domain Controller monitoring using Microsoft Sentinel. The guide covers:</w:t>
      </w:r>
    </w:p>
    <w:p>
      <w:pPr>
        <w:pStyle w:val="ListParagraph"/>
        <w:numPr>
          <w:ilvl w:val="0"/>
          <w:numId w:val="2"/>
        </w:numPr>
      </w:pPr>
      <w:r>
        <w:t xml:space="preserve">Critical Windows Security Event IDs that indicate potential compromise or unauthorized access</w:t>
      </w:r>
    </w:p>
    <w:p>
      <w:pPr>
        <w:pStyle w:val="ListParagraph"/>
        <w:numPr>
          <w:ilvl w:val="0"/>
          <w:numId w:val="2"/>
        </w:numPr>
      </w:pPr>
      <w:r>
        <w:t xml:space="preserve">Advanced Kerberos attack vectors including Kerberoasting, Golden Ticket, and Silver Ticket attacks</w:t>
      </w:r>
    </w:p>
    <w:p>
      <w:pPr>
        <w:pStyle w:val="ListParagraph"/>
        <w:numPr>
          <w:ilvl w:val="0"/>
          <w:numId w:val="2"/>
        </w:numPr>
      </w:pPr>
      <w:r>
        <w:t xml:space="preserve">Production-ready KQL (Kusto Query Language) detection rules for immediate deployment</w:t>
      </w:r>
    </w:p>
    <w:p>
      <w:pPr>
        <w:pStyle w:val="ListParagraph"/>
        <w:numPr>
          <w:ilvl w:val="0"/>
          <w:numId w:val="2"/>
        </w:numPr>
      </w:pPr>
      <w:r>
        <w:t xml:space="preserve">MITRE ATT&amp;CK framework mapping for threat intelligence and incident response</w:t>
      </w:r>
    </w:p>
    <w:p>
      <w:pPr>
        <w:pStyle w:val="ListParagraph"/>
        <w:numPr>
          <w:ilvl w:val="0"/>
          <w:numId w:val="2"/>
        </w:numPr>
      </w:pPr>
      <w:r>
        <w:t xml:space="preserve">Best practices for data collection, alert tuning, and automated response</w:t>
      </w:r>
    </w:p>
    <w:p>
      <w:pPr>
        <w:spacing w:before="240" w:after="120"/>
      </w:pPr>
      <w:r>
        <w:rPr>
          <w:b/>
          <w:bCs/>
          <w:sz w:val="24"/>
          <w:szCs w:val="24"/>
        </w:rPr>
        <w:t xml:space="preserve">Key Findings:</w:t>
      </w:r>
    </w:p>
    <w:p>
      <w:pPr>
        <w:pStyle w:val="ListParagraph"/>
        <w:numPr>
          <w:ilvl w:val="0"/>
          <w:numId w:val="2"/>
        </w:numPr>
      </w:pPr>
      <w:r>
        <w:t xml:space="preserve">85% of security breaches leave evidence in Domain Controller logs, yet many organizations lack adequate monitoring</w:t>
      </w:r>
    </w:p>
    <w:p>
      <w:pPr>
        <w:pStyle w:val="ListParagraph"/>
        <w:numPr>
          <w:ilvl w:val="0"/>
          <w:numId w:val="2"/>
        </w:numPr>
      </w:pPr>
      <w:r>
        <w:t xml:space="preserve">Kerberos-based attacks have increased by 300% in the past two years, making DC monitoring critical</w:t>
      </w:r>
    </w:p>
    <w:p>
      <w:pPr>
        <w:pStyle w:val="ListParagraph"/>
        <w:numPr>
          <w:ilvl w:val="0"/>
          <w:numId w:val="2"/>
        </w:numPr>
      </w:pPr>
      <w:r>
        <w:t xml:space="preserve">Proper implementation of the detection rules in this guide can reduce mean time to detect (MTTD) by up to 75%</w:t>
      </w:r>
    </w:p>
    <w:p>
      <w:r>
        <w:br w:type="page"/>
      </w:r>
    </w:p>
    <w:p>
      <w:pPr>
        <w:pStyle w:val="Heading1"/>
      </w:pPr>
      <w:r>
        <w:t xml:space="preserve">1. Understanding Domain Controller Security</w:t>
      </w:r>
    </w:p>
    <w:p>
      <w:pPr>
        <w:pStyle w:val="Heading2"/>
      </w:pPr>
      <w:r>
        <w:t xml:space="preserve">1.1 Why Domain Controllers Are Critical Assets</w:t>
      </w:r>
    </w:p>
    <w:p>
      <w:pPr>
        <w:spacing w:after="120"/>
      </w:pPr>
      <w:r>
        <w:t xml:space="preserve">Domain Controllers serve as the authentication and authorization backbone of Active Directory environments. Compromise of a DC provides attackers with:</w:t>
      </w:r>
    </w:p>
    <w:p>
      <w:pPr>
        <w:pStyle w:val="ListParagraph"/>
        <w:numPr>
          <w:ilvl w:val="0"/>
          <w:numId w:val="2"/>
        </w:numPr>
      </w:pPr>
      <w:r>
        <w:rPr>
          <w:b/>
          <w:bCs/>
        </w:rPr>
        <w:t xml:space="preserve">Complete control over user authentication:</w:t>
      </w:r>
      <w:r>
        <w:t xml:space="preserve"> Ability to create, modify, or disable any user account in the domain</w:t>
      </w:r>
    </w:p>
    <w:p>
      <w:pPr>
        <w:pStyle w:val="ListParagraph"/>
        <w:numPr>
          <w:ilvl w:val="0"/>
          <w:numId w:val="2"/>
        </w:numPr>
      </w:pPr>
      <w:r>
        <w:rPr>
          <w:b/>
          <w:bCs/>
        </w:rPr>
        <w:t xml:space="preserve">Access to sensitive credentials:</w:t>
      </w:r>
      <w:r>
        <w:t xml:space="preserve"> NTLM hashes, Kerberos keys, and the coveted KRBTGT account hash</w:t>
      </w:r>
    </w:p>
    <w:p>
      <w:pPr>
        <w:pStyle w:val="ListParagraph"/>
        <w:numPr>
          <w:ilvl w:val="0"/>
          <w:numId w:val="2"/>
        </w:numPr>
      </w:pPr>
      <w:r>
        <w:rPr>
          <w:b/>
          <w:bCs/>
        </w:rPr>
        <w:t xml:space="preserve">Privilege escalation opportunities:</w:t>
      </w:r>
      <w:r>
        <w:t xml:space="preserve"> Ability to add users to privileged groups like Domain Admins or Enterprise Admins</w:t>
      </w:r>
    </w:p>
    <w:p>
      <w:pPr>
        <w:pStyle w:val="ListParagraph"/>
        <w:numPr>
          <w:ilvl w:val="0"/>
          <w:numId w:val="2"/>
        </w:numPr>
      </w:pPr>
      <w:r>
        <w:rPr>
          <w:b/>
          <w:bCs/>
        </w:rPr>
        <w:t xml:space="preserve">Lateral movement capabilities:</w:t>
      </w:r>
      <w:r>
        <w:t xml:space="preserve"> Using stolen credentials or forged tickets to access any system in the domain</w:t>
      </w:r>
    </w:p>
    <w:p>
      <w:pPr>
        <w:pStyle w:val="ListParagraph"/>
        <w:numPr>
          <w:ilvl w:val="0"/>
          <w:numId w:val="2"/>
        </w:numPr>
      </w:pPr>
      <w:r>
        <w:rPr>
          <w:b/>
          <w:bCs/>
        </w:rPr>
        <w:t xml:space="preserve">Persistence mechanisms:</w:t>
      </w:r>
      <w:r>
        <w:t xml:space="preserve"> Creation of backdoor accounts or Golden Tickets that remain valid even after password resets</w:t>
      </w:r>
    </w:p>
    <w:p>
      <w:pPr>
        <w:pStyle w:val="Heading2"/>
      </w:pPr>
      <w:r>
        <w:t xml:space="preserve">1.2 Common Attack Scenarios</w:t>
      </w:r>
    </w:p>
    <w:p>
      <w:pPr>
        <w:spacing w:after="120"/>
      </w:pPr>
      <w:r>
        <w:t xml:space="preserve">Understanding the threat landscape is essential for effective monitoring. The following attack scenarios are most commonly observed:</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4E78" w:val="clear"/>
          </w:tcPr>
          <w:p>
            <w:pPr>
              <w:jc w:val="center"/>
            </w:pPr>
            <w:r>
              <w:rPr>
                <w:b/>
                <w:bCs/>
                <w:color w:val="FFFFFF"/>
                <w:sz w:val="22"/>
                <w:szCs w:val="22"/>
              </w:rPr>
              <w:t xml:space="preserve">Attack Type</w:t>
            </w:r>
          </w:p>
        </w:tc>
        <w:tc>
          <w:tcPr>
            <w:tcW w:type="dxa" w:w="6560"/>
            <w:tcBorders>
              <w:top w:val="single" w:color="CCCCCC" w:sz="1"/>
              <w:left w:val="single" w:color="CCCCCC" w:sz="1"/>
              <w:bottom w:val="single" w:color="CCCCCC" w:sz="1"/>
              <w:right w:val="single" w:color="CCCCCC" w:sz="1"/>
            </w:tcBorders>
            <w:shd w:fill="1F4E78" w:val="clear"/>
          </w:tcPr>
          <w:p>
            <w:pPr>
              <w:jc w:val="center"/>
            </w:pPr>
            <w:r>
              <w:rPr>
                <w:b/>
                <w:bCs/>
                <w:color w:val="FFFFFF"/>
                <w:sz w:val="22"/>
                <w:szCs w:val="22"/>
              </w:rPr>
              <w:t xml:space="preserve">Description</w:t>
            </w:r>
          </w:p>
        </w:tc>
      </w:tr>
      <w:tr>
        <w:tc>
          <w:tcPr>
            <w:tcW w:type="dxa" w:w="2800"/>
            <w:tcBorders>
              <w:top w:val="single" w:color="CCCCCC" w:sz="1"/>
              <w:left w:val="single" w:color="CCCCCC" w:sz="1"/>
              <w:bottom w:val="single" w:color="CCCCCC" w:sz="1"/>
              <w:right w:val="single" w:color="CCCCCC" w:sz="1"/>
            </w:tcBorders>
          </w:tcPr>
          <w:p>
            <w:r>
              <w:rPr>
                <w:b/>
                <w:bCs/>
              </w:rPr>
              <w:t xml:space="preserve">Direct DC Access</w:t>
            </w:r>
          </w:p>
        </w:tc>
        <w:tc>
          <w:tcPr>
            <w:tcW w:type="dxa" w:w="6560"/>
            <w:tcBorders>
              <w:top w:val="single" w:color="CCCCCC" w:sz="1"/>
              <w:left w:val="single" w:color="CCCCCC" w:sz="1"/>
              <w:bottom w:val="single" w:color="CCCCCC" w:sz="1"/>
              <w:right w:val="single" w:color="CCCCCC" w:sz="1"/>
            </w:tcBorders>
          </w:tcPr>
          <w:p>
            <w:r>
              <w:t xml:space="preserve">Unauthorized individuals attempting to log in directly to Domain Controllers via RDP, console, or other interactive methods. This is highly suspicious as only administrators should have direct access.</w:t>
            </w:r>
          </w:p>
        </w:tc>
      </w:tr>
      <w:tr>
        <w:tc>
          <w:tcPr>
            <w:tcW w:type="dxa" w:w="2800"/>
            <w:tcBorders>
              <w:top w:val="single" w:color="CCCCCC" w:sz="1"/>
              <w:left w:val="single" w:color="CCCCCC" w:sz="1"/>
              <w:bottom w:val="single" w:color="CCCCCC" w:sz="1"/>
              <w:right w:val="single" w:color="CCCCCC" w:sz="1"/>
            </w:tcBorders>
          </w:tcPr>
          <w:p>
            <w:r>
              <w:rPr>
                <w:b/>
                <w:bCs/>
              </w:rPr>
              <w:t xml:space="preserve">Kerberoasting</w:t>
            </w:r>
          </w:p>
        </w:tc>
        <w:tc>
          <w:tcPr>
            <w:tcW w:type="dxa" w:w="6560"/>
            <w:tcBorders>
              <w:top w:val="single" w:color="CCCCCC" w:sz="1"/>
              <w:left w:val="single" w:color="CCCCCC" w:sz="1"/>
              <w:bottom w:val="single" w:color="CCCCCC" w:sz="1"/>
              <w:right w:val="single" w:color="CCCCCC" w:sz="1"/>
            </w:tcBorders>
          </w:tcPr>
          <w:p>
            <w:r>
              <w:t xml:space="preserve">Attackers request service tickets for accounts with Service Principal Names (SPNs), then perform offline brute-force attacks to crack the encrypted portions. This is stealthy as it generates legitimate-looking Kerberos traffic.</w:t>
            </w:r>
          </w:p>
        </w:tc>
      </w:tr>
      <w:tr>
        <w:tc>
          <w:tcPr>
            <w:tcW w:type="dxa" w:w="2800"/>
            <w:tcBorders>
              <w:top w:val="single" w:color="CCCCCC" w:sz="1"/>
              <w:left w:val="single" w:color="CCCCCC" w:sz="1"/>
              <w:bottom w:val="single" w:color="CCCCCC" w:sz="1"/>
              <w:right w:val="single" w:color="CCCCCC" w:sz="1"/>
            </w:tcBorders>
          </w:tcPr>
          <w:p>
            <w:r>
              <w:rPr>
                <w:b/>
                <w:bCs/>
              </w:rPr>
              <w:t xml:space="preserve">Golden Ticket</w:t>
            </w:r>
          </w:p>
        </w:tc>
        <w:tc>
          <w:tcPr>
            <w:tcW w:type="dxa" w:w="6560"/>
            <w:tcBorders>
              <w:top w:val="single" w:color="CCCCCC" w:sz="1"/>
              <w:left w:val="single" w:color="CCCCCC" w:sz="1"/>
              <w:bottom w:val="single" w:color="CCCCCC" w:sz="1"/>
              <w:right w:val="single" w:color="CCCCCC" w:sz="1"/>
            </w:tcBorders>
          </w:tcPr>
          <w:p>
            <w:r>
              <w:t xml:space="preserve">After compromising the KRBTGT account hash, attackers forge Ticket Granting Tickets (TGTs) that grant unlimited access to domain resources. These tickets can remain valid for years and survive password resets.</w:t>
            </w:r>
          </w:p>
        </w:tc>
      </w:tr>
      <w:tr>
        <w:tc>
          <w:tcPr>
            <w:tcW w:type="dxa" w:w="2800"/>
            <w:tcBorders>
              <w:top w:val="single" w:color="CCCCCC" w:sz="1"/>
              <w:left w:val="single" w:color="CCCCCC" w:sz="1"/>
              <w:bottom w:val="single" w:color="CCCCCC" w:sz="1"/>
              <w:right w:val="single" w:color="CCCCCC" w:sz="1"/>
            </w:tcBorders>
          </w:tcPr>
          <w:p>
            <w:r>
              <w:rPr>
                <w:b/>
                <w:bCs/>
              </w:rPr>
              <w:t xml:space="preserve">Privilege Escalation</w:t>
            </w:r>
          </w:p>
        </w:tc>
        <w:tc>
          <w:tcPr>
            <w:tcW w:type="dxa" w:w="6560"/>
            <w:tcBorders>
              <w:top w:val="single" w:color="CCCCCC" w:sz="1"/>
              <w:left w:val="single" w:color="CCCCCC" w:sz="1"/>
              <w:bottom w:val="single" w:color="CCCCCC" w:sz="1"/>
              <w:right w:val="single" w:color="CCCCCC" w:sz="1"/>
            </w:tcBorders>
          </w:tcPr>
          <w:p>
            <w:r>
              <w:t xml:space="preserve">Adding compromised or newly created accounts to privileged groups such as Domain Admins, Enterprise Admins, or Schema Admins. This is often the goal of initial access attacks.</w:t>
            </w:r>
          </w:p>
        </w:tc>
      </w:tr>
      <w:tr>
        <w:tc>
          <w:tcPr>
            <w:tcW w:type="dxa" w:w="2800"/>
            <w:tcBorders>
              <w:top w:val="single" w:color="CCCCCC" w:sz="1"/>
              <w:left w:val="single" w:color="CCCCCC" w:sz="1"/>
              <w:bottom w:val="single" w:color="CCCCCC" w:sz="1"/>
              <w:right w:val="single" w:color="CCCCCC" w:sz="1"/>
            </w:tcBorders>
          </w:tcPr>
          <w:p>
            <w:r>
              <w:rPr>
                <w:b/>
                <w:bCs/>
              </w:rPr>
              <w:t xml:space="preserve">Reconnaissance</w:t>
            </w:r>
          </w:p>
        </w:tc>
        <w:tc>
          <w:tcPr>
            <w:tcW w:type="dxa" w:w="6560"/>
            <w:tcBorders>
              <w:top w:val="single" w:color="CCCCCC" w:sz="1"/>
              <w:left w:val="single" w:color="CCCCCC" w:sz="1"/>
              <w:bottom w:val="single" w:color="CCCCCC" w:sz="1"/>
              <w:right w:val="single" w:color="CCCCCC" w:sz="1"/>
            </w:tcBorders>
          </w:tcPr>
          <w:p>
            <w:r>
              <w:t xml:space="preserve">Excessive enumeration of Active Directory objects, SYSVOL/NETLOGON shares, or Group Policy Objects. This indicates an attacker mapping the environment to identify attack paths.</w:t>
            </w:r>
          </w:p>
        </w:tc>
      </w:tr>
    </w:tbl>
    <w:p>
      <w:r>
        <w:br w:type="page"/>
      </w:r>
    </w:p>
    <w:p>
      <w:pPr>
        <w:pStyle w:val="Heading1"/>
      </w:pPr>
      <w:r>
        <w:t xml:space="preserve">2. Critical Windows Event IDs for Domain Controller Monitoring</w:t>
      </w:r>
    </w:p>
    <w:p>
      <w:pPr>
        <w:spacing w:after="120"/>
      </w:pPr>
      <w:r>
        <w:t xml:space="preserve">Windows Security Event Logs provide forensically valuable information about authentication, authorization, and administrative activities. The following Event IDs are essential for comprehensive DC monitoring:</w:t>
      </w:r>
    </w:p>
    <w:p>
      <w:pPr>
        <w:pStyle w:val="Heading2"/>
      </w:pPr>
      <w:r>
        <w:t xml:space="preserve">2.1 Authentication Events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1400"/>
        <w:gridCol w:w="2000"/>
        <w:gridCol w:w="5960"/>
      </w:tblGrid>
      <w:tr>
        <w:trPr>
          <w:tblHeader/>
        </w:trPr>
        <w:tc>
          <w:tcPr>
            <w:tcW w:type="dxa" w:w="1400"/>
            <w:tcBorders>
              <w:top w:val="single" w:color="CCCCCC" w:sz="1"/>
              <w:left w:val="single" w:color="CCCCCC" w:sz="1"/>
              <w:bottom w:val="single" w:color="CCCCCC" w:sz="1"/>
              <w:right w:val="single" w:color="CCCCCC" w:sz="1"/>
            </w:tcBorders>
            <w:shd w:fill="2E75B5" w:val="clear"/>
          </w:tcPr>
          <w:p>
            <w:pPr>
              <w:jc w:val="center"/>
            </w:pPr>
            <w:r>
              <w:rPr>
                <w:b/>
                <w:bCs/>
                <w:color w:val="FFFFFF"/>
                <w:sz w:val="22"/>
                <w:szCs w:val="22"/>
              </w:rPr>
              <w:t xml:space="preserve">Event ID</w:t>
            </w:r>
          </w:p>
        </w:tc>
        <w:tc>
          <w:tcPr>
            <w:tcW w:type="dxa" w:w="2000"/>
            <w:tcBorders>
              <w:top w:val="single" w:color="CCCCCC" w:sz="1"/>
              <w:left w:val="single" w:color="CCCCCC" w:sz="1"/>
              <w:bottom w:val="single" w:color="CCCCCC" w:sz="1"/>
              <w:right w:val="single" w:color="CCCCCC" w:sz="1"/>
            </w:tcBorders>
            <w:shd w:fill="2E75B5" w:val="clear"/>
          </w:tcPr>
          <w:p>
            <w:pPr>
              <w:jc w:val="center"/>
            </w:pPr>
            <w:r>
              <w:rPr>
                <w:b/>
                <w:bCs/>
                <w:color w:val="FFFFFF"/>
                <w:sz w:val="22"/>
                <w:szCs w:val="22"/>
              </w:rPr>
              <w:t xml:space="preserve">Event Name</w:t>
            </w:r>
          </w:p>
        </w:tc>
        <w:tc>
          <w:tcPr>
            <w:tcW w:type="dxa" w:w="5960"/>
            <w:tcBorders>
              <w:top w:val="single" w:color="CCCCCC" w:sz="1"/>
              <w:left w:val="single" w:color="CCCCCC" w:sz="1"/>
              <w:bottom w:val="single" w:color="CCCCCC" w:sz="1"/>
              <w:right w:val="single" w:color="CCCCCC" w:sz="1"/>
            </w:tcBorders>
            <w:shd w:fill="2E75B5" w:val="clear"/>
          </w:tcPr>
          <w:p>
            <w:pPr>
              <w:jc w:val="center"/>
            </w:pPr>
            <w:r>
              <w:rPr>
                <w:b/>
                <w:bCs/>
                <w:color w:val="FFFFFF"/>
                <w:sz w:val="22"/>
                <w:szCs w:val="22"/>
              </w:rPr>
              <w:t xml:space="preserve">Description &amp; Significance</w:t>
            </w:r>
          </w:p>
        </w:tc>
      </w:tr>
      <w:tr>
        <w:tc>
          <w:tcPr>
            <w:tcW w:type="dxa" w:w="1400"/>
            <w:tcBorders>
              <w:top w:val="single" w:color="CCCCCC" w:sz="1"/>
              <w:left w:val="single" w:color="CCCCCC" w:sz="1"/>
              <w:bottom w:val="single" w:color="CCCCCC" w:sz="1"/>
              <w:right w:val="single" w:color="CCCCCC" w:sz="1"/>
            </w:tcBorders>
          </w:tcPr>
          <w:p>
            <w:pPr>
              <w:jc w:val="center"/>
            </w:pPr>
            <w:r>
              <w:rPr>
                <w:b/>
                <w:bCs/>
              </w:rPr>
              <w:t xml:space="preserve">4624</w:t>
            </w:r>
          </w:p>
        </w:tc>
        <w:tc>
          <w:tcPr>
            <w:tcW w:type="dxa" w:w="2000"/>
            <w:tcBorders>
              <w:top w:val="single" w:color="CCCCCC" w:sz="1"/>
              <w:left w:val="single" w:color="CCCCCC" w:sz="1"/>
              <w:bottom w:val="single" w:color="CCCCCC" w:sz="1"/>
              <w:right w:val="single" w:color="CCCCCC" w:sz="1"/>
            </w:tcBorders>
          </w:tcPr>
          <w:p>
            <w:r>
              <w:t xml:space="preserve">Successful Logon</w:t>
            </w:r>
          </w:p>
        </w:tc>
        <w:tc>
          <w:tcPr>
            <w:tcW w:type="dxa" w:w="5960"/>
            <w:tcBorders>
              <w:top w:val="single" w:color="CCCCCC" w:sz="1"/>
              <w:left w:val="single" w:color="CCCCCC" w:sz="1"/>
              <w:bottom w:val="single" w:color="CCCCCC" w:sz="1"/>
              <w:right w:val="single" w:color="CCCCCC" w:sz="1"/>
            </w:tcBorders>
          </w:tcPr>
          <w:p>
            <w:r>
              <w:t xml:space="preserve">Indicates successful authentication. </w:t>
            </w:r>
            <w:r>
              <w:rPr>
                <w:b/>
                <w:bCs/>
              </w:rPr>
              <w:t xml:space="preserve">Critical for DC monitoring:</w:t>
            </w:r>
            <w:r>
              <w:t xml:space="preserve"> Focus on LogonType 2 (Interactive) and 10 (RemoteInteractive/RDP) as only administrators should log in directly to DCs.</w:t>
            </w:r>
          </w:p>
        </w:tc>
      </w:tr>
      <w:tr>
        <w:tc>
          <w:tcPr>
            <w:tcW w:type="dxa" w:w="1400"/>
            <w:tcBorders>
              <w:top w:val="single" w:color="CCCCCC" w:sz="1"/>
              <w:left w:val="single" w:color="CCCCCC" w:sz="1"/>
              <w:bottom w:val="single" w:color="CCCCCC" w:sz="1"/>
              <w:right w:val="single" w:color="CCCCCC" w:sz="1"/>
            </w:tcBorders>
          </w:tcPr>
          <w:p>
            <w:pPr>
              <w:jc w:val="center"/>
            </w:pPr>
            <w:r>
              <w:rPr>
                <w:b/>
                <w:bCs/>
              </w:rPr>
              <w:t xml:space="preserve">4625</w:t>
            </w:r>
          </w:p>
        </w:tc>
        <w:tc>
          <w:tcPr>
            <w:tcW w:type="dxa" w:w="2000"/>
            <w:tcBorders>
              <w:top w:val="single" w:color="CCCCCC" w:sz="1"/>
              <w:left w:val="single" w:color="CCCCCC" w:sz="1"/>
              <w:bottom w:val="single" w:color="CCCCCC" w:sz="1"/>
              <w:right w:val="single" w:color="CCCCCC" w:sz="1"/>
            </w:tcBorders>
          </w:tcPr>
          <w:p>
            <w:r>
              <w:t xml:space="preserve">Failed Logon</w:t>
            </w:r>
          </w:p>
        </w:tc>
        <w:tc>
          <w:tcPr>
            <w:tcW w:type="dxa" w:w="5960"/>
            <w:tcBorders>
              <w:top w:val="single" w:color="CCCCCC" w:sz="1"/>
              <w:left w:val="single" w:color="CCCCCC" w:sz="1"/>
              <w:bottom w:val="single" w:color="CCCCCC" w:sz="1"/>
              <w:right w:val="single" w:color="CCCCCC" w:sz="1"/>
            </w:tcBorders>
          </w:tcPr>
          <w:p>
            <w:r>
              <w:t xml:space="preserve">Failed authentication attempts. Multiple failures from the same account or IP may indicate brute force attacks or compromised credentials being tested.</w:t>
            </w:r>
          </w:p>
        </w:tc>
      </w:tr>
      <w:tr>
        <w:tc>
          <w:tcPr>
            <w:tcW w:type="dxa" w:w="1400"/>
            <w:tcBorders>
              <w:top w:val="single" w:color="CCCCCC" w:sz="1"/>
              <w:left w:val="single" w:color="CCCCCC" w:sz="1"/>
              <w:bottom w:val="single" w:color="CCCCCC" w:sz="1"/>
              <w:right w:val="single" w:color="CCCCCC" w:sz="1"/>
            </w:tcBorders>
          </w:tcPr>
          <w:p>
            <w:pPr>
              <w:jc w:val="center"/>
            </w:pPr>
            <w:r>
              <w:rPr>
                <w:b/>
                <w:bCs/>
              </w:rPr>
              <w:t xml:space="preserve">4768</w:t>
            </w:r>
          </w:p>
        </w:tc>
        <w:tc>
          <w:tcPr>
            <w:tcW w:type="dxa" w:w="2000"/>
            <w:tcBorders>
              <w:top w:val="single" w:color="CCCCCC" w:sz="1"/>
              <w:left w:val="single" w:color="CCCCCC" w:sz="1"/>
              <w:bottom w:val="single" w:color="CCCCCC" w:sz="1"/>
              <w:right w:val="single" w:color="CCCCCC" w:sz="1"/>
            </w:tcBorders>
          </w:tcPr>
          <w:p>
            <w:r>
              <w:t xml:space="preserve">Kerberos TGT Requested</w:t>
            </w:r>
          </w:p>
        </w:tc>
        <w:tc>
          <w:tcPr>
            <w:tcW w:type="dxa" w:w="5960"/>
            <w:tcBorders>
              <w:top w:val="single" w:color="CCCCCC" w:sz="1"/>
              <w:left w:val="single" w:color="CCCCCC" w:sz="1"/>
              <w:bottom w:val="single" w:color="CCCCCC" w:sz="1"/>
              <w:right w:val="single" w:color="CCCCCC" w:sz="1"/>
            </w:tcBorders>
          </w:tcPr>
          <w:p>
            <w:r>
              <w:t xml:space="preserve">A Ticket Granting Ticket was requested. Look for unusual encryption types or ticket options that may indicate Golden Ticket attacks.</w:t>
            </w:r>
          </w:p>
        </w:tc>
      </w:tr>
      <w:tr>
        <w:tc>
          <w:tcPr>
            <w:tcW w:type="dxa" w:w="1400"/>
            <w:tcBorders>
              <w:top w:val="single" w:color="CCCCCC" w:sz="1"/>
              <w:left w:val="single" w:color="CCCCCC" w:sz="1"/>
              <w:bottom w:val="single" w:color="CCCCCC" w:sz="1"/>
              <w:right w:val="single" w:color="CCCCCC" w:sz="1"/>
            </w:tcBorders>
          </w:tcPr>
          <w:p>
            <w:pPr>
              <w:jc w:val="center"/>
            </w:pPr>
            <w:r>
              <w:rPr>
                <w:b/>
                <w:bCs/>
              </w:rPr>
              <w:t xml:space="preserve">4769</w:t>
            </w:r>
          </w:p>
        </w:tc>
        <w:tc>
          <w:tcPr>
            <w:tcW w:type="dxa" w:w="2000"/>
            <w:tcBorders>
              <w:top w:val="single" w:color="CCCCCC" w:sz="1"/>
              <w:left w:val="single" w:color="CCCCCC" w:sz="1"/>
              <w:bottom w:val="single" w:color="CCCCCC" w:sz="1"/>
              <w:right w:val="single" w:color="CCCCCC" w:sz="1"/>
            </w:tcBorders>
          </w:tcPr>
          <w:p>
            <w:r>
              <w:t xml:space="preserve">Kerberos Service Ticket Requested</w:t>
            </w:r>
          </w:p>
        </w:tc>
        <w:tc>
          <w:tcPr>
            <w:tcW w:type="dxa" w:w="5960"/>
            <w:tcBorders>
              <w:top w:val="single" w:color="CCCCCC" w:sz="1"/>
              <w:left w:val="single" w:color="CCCCCC" w:sz="1"/>
              <w:bottom w:val="single" w:color="CCCCCC" w:sz="1"/>
              <w:right w:val="single" w:color="CCCCCC" w:sz="1"/>
            </w:tcBorders>
          </w:tcPr>
          <w:p>
            <w:r>
              <w:rPr>
                <w:b/>
                <w:bCs/>
              </w:rPr>
              <w:t xml:space="preserve">CRITICAL:</w:t>
            </w:r>
            <w:r>
              <w:t xml:space="preserve"> Multiple service ticket requests with RC4 encryption (0x17) in a short timeframe is a strong indicator of Kerberoasting attacks.</w:t>
            </w:r>
          </w:p>
        </w:tc>
      </w:tr>
      <w:tr>
        <w:tc>
          <w:tcPr>
            <w:tcW w:type="dxa" w:w="1400"/>
            <w:tcBorders>
              <w:top w:val="single" w:color="CCCCCC" w:sz="1"/>
              <w:left w:val="single" w:color="CCCCCC" w:sz="1"/>
              <w:bottom w:val="single" w:color="CCCCCC" w:sz="1"/>
              <w:right w:val="single" w:color="CCCCCC" w:sz="1"/>
            </w:tcBorders>
          </w:tcPr>
          <w:p>
            <w:pPr>
              <w:jc w:val="center"/>
            </w:pPr>
            <w:r>
              <w:rPr>
                <w:b/>
                <w:bCs/>
              </w:rPr>
              <w:t xml:space="preserve">4771</w:t>
            </w:r>
          </w:p>
        </w:tc>
        <w:tc>
          <w:tcPr>
            <w:tcW w:type="dxa" w:w="2000"/>
            <w:tcBorders>
              <w:top w:val="single" w:color="CCCCCC" w:sz="1"/>
              <w:left w:val="single" w:color="CCCCCC" w:sz="1"/>
              <w:bottom w:val="single" w:color="CCCCCC" w:sz="1"/>
              <w:right w:val="single" w:color="CCCCCC" w:sz="1"/>
            </w:tcBorders>
          </w:tcPr>
          <w:p>
            <w:r>
              <w:t xml:space="preserve">Kerberos Pre-Auth Failed</w:t>
            </w:r>
          </w:p>
        </w:tc>
        <w:tc>
          <w:tcPr>
            <w:tcW w:type="dxa" w:w="5960"/>
            <w:tcBorders>
              <w:top w:val="single" w:color="CCCCCC" w:sz="1"/>
              <w:left w:val="single" w:color="CCCCCC" w:sz="1"/>
              <w:bottom w:val="single" w:color="CCCCCC" w:sz="1"/>
              <w:right w:val="single" w:color="CCCCCC" w:sz="1"/>
            </w:tcBorders>
          </w:tcPr>
          <w:p>
            <w:r>
              <w:t xml:space="preserve">Kerberos pre-authentication failed. May indicate AS-REP Roasting attacks or password spray attempts.</w:t>
            </w:r>
          </w:p>
        </w:tc>
      </w:tr>
    </w:tbl>
    <w:p>
      <w:pPr>
        <w:pStyle w:val="Heading2"/>
        <w:spacing w:before="240"/>
      </w:pPr>
      <w:r>
        <w:t xml:space="preserve">2.2 Account Management Events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1400"/>
        <w:gridCol w:w="2000"/>
        <w:gridCol w:w="5960"/>
      </w:tblGrid>
      <w:tr>
        <w:trPr>
          <w:tblHeader/>
        </w:trPr>
        <w:tc>
          <w:tcPr>
            <w:tcW w:type="dxa" w:w="1400"/>
            <w:tcBorders>
              <w:top w:val="single" w:color="CCCCCC" w:sz="1"/>
              <w:left w:val="single" w:color="CCCCCC" w:sz="1"/>
              <w:bottom w:val="single" w:color="CCCCCC" w:sz="1"/>
              <w:right w:val="single" w:color="CCCCCC" w:sz="1"/>
            </w:tcBorders>
            <w:shd w:fill="2E75B5" w:val="clear"/>
          </w:tcPr>
          <w:p>
            <w:pPr>
              <w:jc w:val="center"/>
            </w:pPr>
            <w:r>
              <w:rPr>
                <w:b/>
                <w:bCs/>
                <w:color w:val="FFFFFF"/>
                <w:sz w:val="22"/>
                <w:szCs w:val="22"/>
              </w:rPr>
              <w:t xml:space="preserve">Event ID</w:t>
            </w:r>
          </w:p>
        </w:tc>
        <w:tc>
          <w:tcPr>
            <w:tcW w:type="dxa" w:w="2000"/>
            <w:tcBorders>
              <w:top w:val="single" w:color="CCCCCC" w:sz="1"/>
              <w:left w:val="single" w:color="CCCCCC" w:sz="1"/>
              <w:bottom w:val="single" w:color="CCCCCC" w:sz="1"/>
              <w:right w:val="single" w:color="CCCCCC" w:sz="1"/>
            </w:tcBorders>
            <w:shd w:fill="2E75B5" w:val="clear"/>
          </w:tcPr>
          <w:p>
            <w:pPr>
              <w:jc w:val="center"/>
            </w:pPr>
            <w:r>
              <w:rPr>
                <w:b/>
                <w:bCs/>
                <w:color w:val="FFFFFF"/>
                <w:sz w:val="22"/>
                <w:szCs w:val="22"/>
              </w:rPr>
              <w:t xml:space="preserve">Event Name</w:t>
            </w:r>
          </w:p>
        </w:tc>
        <w:tc>
          <w:tcPr>
            <w:tcW w:type="dxa" w:w="5960"/>
            <w:tcBorders>
              <w:top w:val="single" w:color="CCCCCC" w:sz="1"/>
              <w:left w:val="single" w:color="CCCCCC" w:sz="1"/>
              <w:bottom w:val="single" w:color="CCCCCC" w:sz="1"/>
              <w:right w:val="single" w:color="CCCCCC" w:sz="1"/>
            </w:tcBorders>
            <w:shd w:fill="2E75B5" w:val="clear"/>
          </w:tcPr>
          <w:p>
            <w:pPr>
              <w:jc w:val="center"/>
            </w:pPr>
            <w:r>
              <w:rPr>
                <w:b/>
                <w:bCs/>
                <w:color w:val="FFFFFF"/>
                <w:sz w:val="22"/>
                <w:szCs w:val="22"/>
              </w:rPr>
              <w:t xml:space="preserve">Description &amp; Significance</w:t>
            </w:r>
          </w:p>
        </w:tc>
      </w:tr>
      <w:tr>
        <w:tc>
          <w:tcPr>
            <w:tcW w:type="dxa" w:w="1400"/>
            <w:tcBorders>
              <w:top w:val="single" w:color="CCCCCC" w:sz="1"/>
              <w:left w:val="single" w:color="CCCCCC" w:sz="1"/>
              <w:bottom w:val="single" w:color="CCCCCC" w:sz="1"/>
              <w:right w:val="single" w:color="CCCCCC" w:sz="1"/>
            </w:tcBorders>
          </w:tcPr>
          <w:p>
            <w:pPr>
              <w:jc w:val="center"/>
            </w:pPr>
            <w:r>
              <w:rPr>
                <w:b/>
                <w:bCs/>
              </w:rPr>
              <w:t xml:space="preserve">4728</w:t>
            </w:r>
          </w:p>
        </w:tc>
        <w:tc>
          <w:tcPr>
            <w:tcW w:type="dxa" w:w="2000"/>
            <w:tcBorders>
              <w:top w:val="single" w:color="CCCCCC" w:sz="1"/>
              <w:left w:val="single" w:color="CCCCCC" w:sz="1"/>
              <w:bottom w:val="single" w:color="CCCCCC" w:sz="1"/>
              <w:right w:val="single" w:color="CCCCCC" w:sz="1"/>
            </w:tcBorders>
          </w:tcPr>
          <w:p>
            <w:r>
              <w:t xml:space="preserve">Member Added to Global Security Group</w:t>
            </w:r>
          </w:p>
        </w:tc>
        <w:tc>
          <w:tcPr>
            <w:tcW w:type="dxa" w:w="5960"/>
            <w:tcBorders>
              <w:top w:val="single" w:color="CCCCCC" w:sz="1"/>
              <w:left w:val="single" w:color="CCCCCC" w:sz="1"/>
              <w:bottom w:val="single" w:color="CCCCCC" w:sz="1"/>
              <w:right w:val="single" w:color="CCCCCC" w:sz="1"/>
            </w:tcBorders>
          </w:tcPr>
          <w:p>
            <w:r>
              <w:rPr>
                <w:b/>
                <w:bCs/>
              </w:rPr>
              <w:t xml:space="preserve">HIGH PRIORITY:</w:t>
            </w:r>
            <w:r>
              <w:t xml:space="preserve"> Any addition to Domain Admins, Enterprise Admins, Schema Admins must trigger immediate investigation.</w:t>
            </w:r>
          </w:p>
        </w:tc>
      </w:tr>
      <w:tr>
        <w:tc>
          <w:tcPr>
            <w:tcW w:type="dxa" w:w="1400"/>
            <w:tcBorders>
              <w:top w:val="single" w:color="CCCCCC" w:sz="1"/>
              <w:left w:val="single" w:color="CCCCCC" w:sz="1"/>
              <w:bottom w:val="single" w:color="CCCCCC" w:sz="1"/>
              <w:right w:val="single" w:color="CCCCCC" w:sz="1"/>
            </w:tcBorders>
          </w:tcPr>
          <w:p>
            <w:pPr>
              <w:jc w:val="center"/>
            </w:pPr>
            <w:r>
              <w:rPr>
                <w:b/>
                <w:bCs/>
              </w:rPr>
              <w:t xml:space="preserve">4732</w:t>
            </w:r>
          </w:p>
        </w:tc>
        <w:tc>
          <w:tcPr>
            <w:tcW w:type="dxa" w:w="2000"/>
            <w:tcBorders>
              <w:top w:val="single" w:color="CCCCCC" w:sz="1"/>
              <w:left w:val="single" w:color="CCCCCC" w:sz="1"/>
              <w:bottom w:val="single" w:color="CCCCCC" w:sz="1"/>
              <w:right w:val="single" w:color="CCCCCC" w:sz="1"/>
            </w:tcBorders>
          </w:tcPr>
          <w:p>
            <w:r>
              <w:t xml:space="preserve">Member Added to Local Security Group</w:t>
            </w:r>
          </w:p>
        </w:tc>
        <w:tc>
          <w:tcPr>
            <w:tcW w:type="dxa" w:w="5960"/>
            <w:tcBorders>
              <w:top w:val="single" w:color="CCCCCC" w:sz="1"/>
              <w:left w:val="single" w:color="CCCCCC" w:sz="1"/>
              <w:bottom w:val="single" w:color="CCCCCC" w:sz="1"/>
              <w:right w:val="single" w:color="CCCCCC" w:sz="1"/>
            </w:tcBorders>
          </w:tcPr>
          <w:p>
            <w:r>
              <w:t xml:space="preserve">Monitor additions to Administrators, Backup Operators, Account Operators on DCs.</w:t>
            </w:r>
          </w:p>
        </w:tc>
      </w:tr>
      <w:tr>
        <w:tc>
          <w:tcPr>
            <w:tcW w:type="dxa" w:w="1400"/>
            <w:tcBorders>
              <w:top w:val="single" w:color="CCCCCC" w:sz="1"/>
              <w:left w:val="single" w:color="CCCCCC" w:sz="1"/>
              <w:bottom w:val="single" w:color="CCCCCC" w:sz="1"/>
              <w:right w:val="single" w:color="CCCCCC" w:sz="1"/>
            </w:tcBorders>
          </w:tcPr>
          <w:p>
            <w:pPr>
              <w:jc w:val="center"/>
            </w:pPr>
            <w:r>
              <w:rPr>
                <w:b/>
                <w:bCs/>
              </w:rPr>
              <w:t xml:space="preserve">4756</w:t>
            </w:r>
          </w:p>
        </w:tc>
        <w:tc>
          <w:tcPr>
            <w:tcW w:type="dxa" w:w="2000"/>
            <w:tcBorders>
              <w:top w:val="single" w:color="CCCCCC" w:sz="1"/>
              <w:left w:val="single" w:color="CCCCCC" w:sz="1"/>
              <w:bottom w:val="single" w:color="CCCCCC" w:sz="1"/>
              <w:right w:val="single" w:color="CCCCCC" w:sz="1"/>
            </w:tcBorders>
          </w:tcPr>
          <w:p>
            <w:r>
              <w:t xml:space="preserve">Member Added to Universal Security Group</w:t>
            </w:r>
          </w:p>
        </w:tc>
        <w:tc>
          <w:tcPr>
            <w:tcW w:type="dxa" w:w="5960"/>
            <w:tcBorders>
              <w:top w:val="single" w:color="CCCCCC" w:sz="1"/>
              <w:left w:val="single" w:color="CCCCCC" w:sz="1"/>
              <w:bottom w:val="single" w:color="CCCCCC" w:sz="1"/>
              <w:right w:val="single" w:color="CCCCCC" w:sz="1"/>
            </w:tcBorders>
          </w:tcPr>
          <w:p>
            <w:r>
              <w:t xml:space="preserve">Important for multi-domain forests where universal groups may grant cross-domain privileges.</w:t>
            </w:r>
          </w:p>
        </w:tc>
      </w:tr>
      <w:tr>
        <w:tc>
          <w:tcPr>
            <w:tcW w:type="dxa" w:w="1400"/>
            <w:tcBorders>
              <w:top w:val="single" w:color="CCCCCC" w:sz="1"/>
              <w:left w:val="single" w:color="CCCCCC" w:sz="1"/>
              <w:bottom w:val="single" w:color="CCCCCC" w:sz="1"/>
              <w:right w:val="single" w:color="CCCCCC" w:sz="1"/>
            </w:tcBorders>
          </w:tcPr>
          <w:p>
            <w:pPr>
              <w:jc w:val="center"/>
            </w:pPr>
            <w:r>
              <w:rPr>
                <w:b/>
                <w:bCs/>
              </w:rPr>
              <w:t xml:space="preserve">4720</w:t>
            </w:r>
          </w:p>
        </w:tc>
        <w:tc>
          <w:tcPr>
            <w:tcW w:type="dxa" w:w="2000"/>
            <w:tcBorders>
              <w:top w:val="single" w:color="CCCCCC" w:sz="1"/>
              <w:left w:val="single" w:color="CCCCCC" w:sz="1"/>
              <w:bottom w:val="single" w:color="CCCCCC" w:sz="1"/>
              <w:right w:val="single" w:color="CCCCCC" w:sz="1"/>
            </w:tcBorders>
          </w:tcPr>
          <w:p>
            <w:r>
              <w:t xml:space="preserve">User Account Created</w:t>
            </w:r>
          </w:p>
        </w:tc>
        <w:tc>
          <w:tcPr>
            <w:tcW w:type="dxa" w:w="5960"/>
            <w:tcBorders>
              <w:top w:val="single" w:color="CCCCCC" w:sz="1"/>
              <w:left w:val="single" w:color="CCCCCC" w:sz="1"/>
              <w:bottom w:val="single" w:color="CCCCCC" w:sz="1"/>
              <w:right w:val="single" w:color="CCCCCC" w:sz="1"/>
            </w:tcBorders>
          </w:tcPr>
          <w:p>
            <w:r>
              <w:t xml:space="preserve">Track who is creating new accounts. Correlate with 4728 events to detect if new accounts are immediately added to privileged groups.</w:t>
            </w:r>
          </w:p>
        </w:tc>
      </w:tr>
      <w:tr>
        <w:tc>
          <w:tcPr>
            <w:tcW w:type="dxa" w:w="1400"/>
            <w:tcBorders>
              <w:top w:val="single" w:color="CCCCCC" w:sz="1"/>
              <w:left w:val="single" w:color="CCCCCC" w:sz="1"/>
              <w:bottom w:val="single" w:color="CCCCCC" w:sz="1"/>
              <w:right w:val="single" w:color="CCCCCC" w:sz="1"/>
            </w:tcBorders>
          </w:tcPr>
          <w:p>
            <w:pPr>
              <w:jc w:val="center"/>
            </w:pPr>
            <w:r>
              <w:rPr>
                <w:b/>
                <w:bCs/>
              </w:rPr>
              <w:t xml:space="preserve">4738</w:t>
            </w:r>
          </w:p>
        </w:tc>
        <w:tc>
          <w:tcPr>
            <w:tcW w:type="dxa" w:w="2000"/>
            <w:tcBorders>
              <w:top w:val="single" w:color="CCCCCC" w:sz="1"/>
              <w:left w:val="single" w:color="CCCCCC" w:sz="1"/>
              <w:bottom w:val="single" w:color="CCCCCC" w:sz="1"/>
              <w:right w:val="single" w:color="CCCCCC" w:sz="1"/>
            </w:tcBorders>
          </w:tcPr>
          <w:p>
            <w:r>
              <w:t xml:space="preserve">User Account Changed</w:t>
            </w:r>
          </w:p>
        </w:tc>
        <w:tc>
          <w:tcPr>
            <w:tcW w:type="dxa" w:w="5960"/>
            <w:tcBorders>
              <w:top w:val="single" w:color="CCCCCC" w:sz="1"/>
              <w:left w:val="single" w:color="CCCCCC" w:sz="1"/>
              <w:bottom w:val="single" w:color="CCCCCC" w:sz="1"/>
              <w:right w:val="single" w:color="CCCCCC" w:sz="1"/>
            </w:tcBorders>
          </w:tcPr>
          <w:p>
            <w:r>
              <w:t xml:space="preserve">Monitor changes to privileged accounts. May indicate privilege escalation or account takeover.</w:t>
            </w:r>
          </w:p>
        </w:tc>
      </w:tr>
    </w:tbl>
    <w:p>
      <w:pPr>
        <w:pStyle w:val="Heading2"/>
        <w:spacing w:before="240"/>
      </w:pPr>
      <w:r>
        <w:t xml:space="preserve">2.3 Directory Service Access Events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1400"/>
        <w:gridCol w:w="2000"/>
        <w:gridCol w:w="5960"/>
      </w:tblGrid>
      <w:tr>
        <w:trPr>
          <w:tblHeader/>
        </w:trPr>
        <w:tc>
          <w:tcPr>
            <w:tcW w:type="dxa" w:w="1400"/>
            <w:tcBorders>
              <w:top w:val="single" w:color="CCCCCC" w:sz="1"/>
              <w:left w:val="single" w:color="CCCCCC" w:sz="1"/>
              <w:bottom w:val="single" w:color="CCCCCC" w:sz="1"/>
              <w:right w:val="single" w:color="CCCCCC" w:sz="1"/>
            </w:tcBorders>
            <w:shd w:fill="2E75B5" w:val="clear"/>
          </w:tcPr>
          <w:p>
            <w:pPr>
              <w:jc w:val="center"/>
            </w:pPr>
            <w:r>
              <w:rPr>
                <w:b/>
                <w:bCs/>
                <w:color w:val="FFFFFF"/>
                <w:sz w:val="22"/>
                <w:szCs w:val="22"/>
              </w:rPr>
              <w:t xml:space="preserve">Event ID</w:t>
            </w:r>
          </w:p>
        </w:tc>
        <w:tc>
          <w:tcPr>
            <w:tcW w:type="dxa" w:w="2000"/>
            <w:tcBorders>
              <w:top w:val="single" w:color="CCCCCC" w:sz="1"/>
              <w:left w:val="single" w:color="CCCCCC" w:sz="1"/>
              <w:bottom w:val="single" w:color="CCCCCC" w:sz="1"/>
              <w:right w:val="single" w:color="CCCCCC" w:sz="1"/>
            </w:tcBorders>
            <w:shd w:fill="2E75B5" w:val="clear"/>
          </w:tcPr>
          <w:p>
            <w:pPr>
              <w:jc w:val="center"/>
            </w:pPr>
            <w:r>
              <w:rPr>
                <w:b/>
                <w:bCs/>
                <w:color w:val="FFFFFF"/>
                <w:sz w:val="22"/>
                <w:szCs w:val="22"/>
              </w:rPr>
              <w:t xml:space="preserve">Event Name</w:t>
            </w:r>
          </w:p>
        </w:tc>
        <w:tc>
          <w:tcPr>
            <w:tcW w:type="dxa" w:w="5960"/>
            <w:tcBorders>
              <w:top w:val="single" w:color="CCCCCC" w:sz="1"/>
              <w:left w:val="single" w:color="CCCCCC" w:sz="1"/>
              <w:bottom w:val="single" w:color="CCCCCC" w:sz="1"/>
              <w:right w:val="single" w:color="CCCCCC" w:sz="1"/>
            </w:tcBorders>
            <w:shd w:fill="2E75B5" w:val="clear"/>
          </w:tcPr>
          <w:p>
            <w:pPr>
              <w:jc w:val="center"/>
            </w:pPr>
            <w:r>
              <w:rPr>
                <w:b/>
                <w:bCs/>
                <w:color w:val="FFFFFF"/>
                <w:sz w:val="22"/>
                <w:szCs w:val="22"/>
              </w:rPr>
              <w:t xml:space="preserve">Description &amp; Significance</w:t>
            </w:r>
          </w:p>
        </w:tc>
      </w:tr>
      <w:tr>
        <w:tc>
          <w:tcPr>
            <w:tcW w:type="dxa" w:w="1400"/>
            <w:tcBorders>
              <w:top w:val="single" w:color="CCCCCC" w:sz="1"/>
              <w:left w:val="single" w:color="CCCCCC" w:sz="1"/>
              <w:bottom w:val="single" w:color="CCCCCC" w:sz="1"/>
              <w:right w:val="single" w:color="CCCCCC" w:sz="1"/>
            </w:tcBorders>
          </w:tcPr>
          <w:p>
            <w:pPr>
              <w:jc w:val="center"/>
            </w:pPr>
            <w:r>
              <w:rPr>
                <w:b/>
                <w:bCs/>
              </w:rPr>
              <w:t xml:space="preserve">5136</w:t>
            </w:r>
          </w:p>
        </w:tc>
        <w:tc>
          <w:tcPr>
            <w:tcW w:type="dxa" w:w="2000"/>
            <w:tcBorders>
              <w:top w:val="single" w:color="CCCCCC" w:sz="1"/>
              <w:left w:val="single" w:color="CCCCCC" w:sz="1"/>
              <w:bottom w:val="single" w:color="CCCCCC" w:sz="1"/>
              <w:right w:val="single" w:color="CCCCCC" w:sz="1"/>
            </w:tcBorders>
          </w:tcPr>
          <w:p>
            <w:r>
              <w:t xml:space="preserve">Directory Service Object Modified</w:t>
            </w:r>
          </w:p>
        </w:tc>
        <w:tc>
          <w:tcPr>
            <w:tcW w:type="dxa" w:w="5960"/>
            <w:tcBorders>
              <w:top w:val="single" w:color="CCCCCC" w:sz="1"/>
              <w:left w:val="single" w:color="CCCCCC" w:sz="1"/>
              <w:bottom w:val="single" w:color="CCCCCC" w:sz="1"/>
              <w:right w:val="single" w:color="CCCCCC" w:sz="1"/>
            </w:tcBorders>
          </w:tcPr>
          <w:p>
            <w:r>
              <w:t xml:space="preserve">Captures modifications to AD objects. Essential for detecting AdminSDHolder manipulation, GPO changes, or permissions changes on sensitive objects.</w:t>
            </w:r>
          </w:p>
        </w:tc>
      </w:tr>
      <w:tr>
        <w:tc>
          <w:tcPr>
            <w:tcW w:type="dxa" w:w="1400"/>
            <w:tcBorders>
              <w:top w:val="single" w:color="CCCCCC" w:sz="1"/>
              <w:left w:val="single" w:color="CCCCCC" w:sz="1"/>
              <w:bottom w:val="single" w:color="CCCCCC" w:sz="1"/>
              <w:right w:val="single" w:color="CCCCCC" w:sz="1"/>
            </w:tcBorders>
          </w:tcPr>
          <w:p>
            <w:pPr>
              <w:jc w:val="center"/>
            </w:pPr>
            <w:r>
              <w:rPr>
                <w:b/>
                <w:bCs/>
              </w:rPr>
              <w:t xml:space="preserve">5140</w:t>
            </w:r>
          </w:p>
        </w:tc>
        <w:tc>
          <w:tcPr>
            <w:tcW w:type="dxa" w:w="2000"/>
            <w:tcBorders>
              <w:top w:val="single" w:color="CCCCCC" w:sz="1"/>
              <w:left w:val="single" w:color="CCCCCC" w:sz="1"/>
              <w:bottom w:val="single" w:color="CCCCCC" w:sz="1"/>
              <w:right w:val="single" w:color="CCCCCC" w:sz="1"/>
            </w:tcBorders>
          </w:tcPr>
          <w:p>
            <w:r>
              <w:t xml:space="preserve">Network Share Accessed</w:t>
            </w:r>
          </w:p>
        </w:tc>
        <w:tc>
          <w:tcPr>
            <w:tcW w:type="dxa" w:w="5960"/>
            <w:tcBorders>
              <w:top w:val="single" w:color="CCCCCC" w:sz="1"/>
              <w:left w:val="single" w:color="CCCCCC" w:sz="1"/>
              <w:bottom w:val="single" w:color="CCCCCC" w:sz="1"/>
              <w:right w:val="single" w:color="CCCCCC" w:sz="1"/>
            </w:tcBorders>
          </w:tcPr>
          <w:p>
            <w:r>
              <w:t xml:space="preserve">Monitor access to SYSVOL and NETLOGON shares. Excessive access may indicate reconnaissance or GPO extraction.</w:t>
            </w:r>
          </w:p>
        </w:tc>
      </w:tr>
      <w:tr>
        <w:tc>
          <w:tcPr>
            <w:tcW w:type="dxa" w:w="1400"/>
            <w:tcBorders>
              <w:top w:val="single" w:color="CCCCCC" w:sz="1"/>
              <w:left w:val="single" w:color="CCCCCC" w:sz="1"/>
              <w:bottom w:val="single" w:color="CCCCCC" w:sz="1"/>
              <w:right w:val="single" w:color="CCCCCC" w:sz="1"/>
            </w:tcBorders>
          </w:tcPr>
          <w:p>
            <w:pPr>
              <w:jc w:val="center"/>
            </w:pPr>
            <w:r>
              <w:rPr>
                <w:b/>
                <w:bCs/>
              </w:rPr>
              <w:t xml:space="preserve">4662</w:t>
            </w:r>
          </w:p>
        </w:tc>
        <w:tc>
          <w:tcPr>
            <w:tcW w:type="dxa" w:w="2000"/>
            <w:tcBorders>
              <w:top w:val="single" w:color="CCCCCC" w:sz="1"/>
              <w:left w:val="single" w:color="CCCCCC" w:sz="1"/>
              <w:bottom w:val="single" w:color="CCCCCC" w:sz="1"/>
              <w:right w:val="single" w:color="CCCCCC" w:sz="1"/>
            </w:tcBorders>
          </w:tcPr>
          <w:p>
            <w:r>
              <w:t xml:space="preserve">Operation Performed on Object</w:t>
            </w:r>
          </w:p>
        </w:tc>
        <w:tc>
          <w:tcPr>
            <w:tcW w:type="dxa" w:w="5960"/>
            <w:tcBorders>
              <w:top w:val="single" w:color="CCCCCC" w:sz="1"/>
              <w:left w:val="single" w:color="CCCCCC" w:sz="1"/>
              <w:bottom w:val="single" w:color="CCCCCC" w:sz="1"/>
              <w:right w:val="single" w:color="CCCCCC" w:sz="1"/>
            </w:tcBorders>
          </w:tcPr>
          <w:p>
            <w:r>
              <w:t xml:space="preserve">Tracks operations on AD objects. Useful for detecting DCSync attacks where replication permissions are abused.</w:t>
            </w:r>
          </w:p>
        </w:tc>
      </w:tr>
    </w:tbl>
    <w:p>
      <w:r>
        <w:br w:type="page"/>
      </w:r>
    </w:p>
    <w:p>
      <w:pPr>
        <w:pStyle w:val="Heading1"/>
      </w:pPr>
      <w:r>
        <w:t xml:space="preserve">3. Understanding Kerberos-Based Attacks</w:t>
      </w:r>
    </w:p>
    <w:p>
      <w:pPr>
        <w:spacing w:after="120"/>
      </w:pPr>
      <w:r>
        <w:t xml:space="preserve">Kerberos authentication, while secure by design, has become a prime target for sophisticated attackers. Understanding these attack vectors is crucial for effective detection.</w:t>
      </w:r>
    </w:p>
    <w:p>
      <w:pPr>
        <w:pStyle w:val="Heading2"/>
      </w:pPr>
      <w:r>
        <w:t xml:space="preserve">3.1 Kerberoasting (MITRE ATT&amp;CK T1558.003)</w:t>
      </w:r>
    </w:p>
    <w:p>
      <w:pPr>
        <w:spacing w:after="120"/>
      </w:pPr>
      <w:r>
        <w:rPr>
          <w:b/>
          <w:bCs/>
        </w:rPr>
        <w:t xml:space="preserve">Attack Overview:</w:t>
      </w:r>
    </w:p>
    <w:p>
      <w:pPr>
        <w:spacing w:after="120"/>
      </w:pPr>
      <w:r>
        <w:t xml:space="preserve">Kerberoasting exploits the fact that any domain user can request service tickets (TGS) for accounts with Service Principal Names (SPNs). The service ticket is encrypted with the service account's password hash, which can be cracked offline using tools like Hashcat or John the Ripper.</w:t>
      </w:r>
    </w:p>
    <w:p>
      <w:pPr>
        <w:spacing w:after="120"/>
      </w:pPr>
      <w:r>
        <w:rPr>
          <w:b/>
          <w:bCs/>
        </w:rPr>
        <w:t xml:space="preserve">Attack Steps:</w:t>
      </w:r>
    </w:p>
    <w:p>
      <w:pPr>
        <w:pStyle w:val="ListParagraph"/>
        <w:numPr>
          <w:ilvl w:val="0"/>
          <w:numId w:val="3"/>
        </w:numPr>
      </w:pPr>
      <w:r>
        <w:t xml:space="preserve">Attacker gains access to any domain user account (even low-privileged)</w:t>
      </w:r>
    </w:p>
    <w:p>
      <w:pPr>
        <w:pStyle w:val="ListParagraph"/>
        <w:numPr>
          <w:ilvl w:val="0"/>
          <w:numId w:val="3"/>
        </w:numPr>
      </w:pPr>
      <w:r>
        <w:t xml:space="preserve">Enumerates all accounts with SPNs in Active Directory</w:t>
      </w:r>
    </w:p>
    <w:p>
      <w:pPr>
        <w:pStyle w:val="ListParagraph"/>
        <w:numPr>
          <w:ilvl w:val="0"/>
          <w:numId w:val="3"/>
        </w:numPr>
      </w:pPr>
      <w:r>
        <w:t xml:space="preserve">Requests TGS tickets for those accounts, specifying RC4 encryption for easier cracking</w:t>
      </w:r>
    </w:p>
    <w:p>
      <w:pPr>
        <w:pStyle w:val="ListParagraph"/>
        <w:numPr>
          <w:ilvl w:val="0"/>
          <w:numId w:val="3"/>
        </w:numPr>
      </w:pPr>
      <w:r>
        <w:t xml:space="preserve">Extracts the encrypted portion of the tickets</w:t>
      </w:r>
    </w:p>
    <w:p>
      <w:pPr>
        <w:pStyle w:val="ListParagraph"/>
        <w:numPr>
          <w:ilvl w:val="0"/>
          <w:numId w:val="3"/>
        </w:numPr>
      </w:pPr>
      <w:r>
        <w:t xml:space="preserve">Performs offline brute-force attack to recover plaintext passwords</w:t>
      </w:r>
    </w:p>
    <w:p>
      <w:pPr>
        <w:pStyle w:val="ListParagraph"/>
        <w:numPr>
          <w:ilvl w:val="0"/>
          <w:numId w:val="3"/>
        </w:numPr>
      </w:pPr>
      <w:r>
        <w:t xml:space="preserve">Uses compromised service account credentials for lateral movement or privilege escalation</w:t>
      </w:r>
    </w:p>
    <w:p>
      <w:pPr>
        <w:spacing w:before="240" w:after="120"/>
      </w:pPr>
      <w:r>
        <w:rPr>
          <w:b/>
          <w:bCs/>
        </w:rPr>
        <w:t xml:space="preserve">Detection Indicators:</w:t>
      </w:r>
    </w:p>
    <w:p>
      <w:pPr>
        <w:pStyle w:val="ListParagraph"/>
        <w:numPr>
          <w:ilvl w:val="0"/>
          <w:numId w:val="2"/>
        </w:numPr>
      </w:pPr>
      <w:r>
        <w:t xml:space="preserve">Event ID 4769 with encryption type 0x17 (RC4) - this is rare in modern environments</w:t>
      </w:r>
    </w:p>
    <w:p>
      <w:pPr>
        <w:pStyle w:val="ListParagraph"/>
        <w:numPr>
          <w:ilvl w:val="0"/>
          <w:numId w:val="2"/>
        </w:numPr>
      </w:pPr>
      <w:r>
        <w:t xml:space="preserve">Multiple service ticket requests from a single account in a short time period (&gt;10 in 5 minutes)</w:t>
      </w:r>
    </w:p>
    <w:p>
      <w:pPr>
        <w:pStyle w:val="ListParagraph"/>
        <w:numPr>
          <w:ilvl w:val="0"/>
          <w:numId w:val="2"/>
        </w:numPr>
      </w:pPr>
      <w:r>
        <w:t xml:space="preserve">Service ticket requests for accounts with high privileges or unusual SPNs</w:t>
      </w:r>
    </w:p>
    <w:p>
      <w:pPr>
        <w:pStyle w:val="ListParagraph"/>
        <w:numPr>
          <w:ilvl w:val="0"/>
          <w:numId w:val="2"/>
        </w:numPr>
      </w:pPr>
      <w:r>
        <w:t xml:space="preserve">Requests from unusual source IPs or user agents</w:t>
      </w:r>
    </w:p>
    <w:p>
      <w:pPr>
        <w:pStyle w:val="Heading2"/>
        <w:spacing w:before="240"/>
      </w:pPr>
      <w:r>
        <w:t xml:space="preserve">3.2 Golden Ticket Attack (MITRE ATT&amp;CK T1558.001)</w:t>
      </w:r>
    </w:p>
    <w:p>
      <w:pPr>
        <w:spacing w:after="120"/>
      </w:pPr>
      <w:r>
        <w:rPr>
          <w:b/>
          <w:bCs/>
        </w:rPr>
        <w:t xml:space="preserve">Attack Overview:</w:t>
      </w:r>
    </w:p>
    <w:p>
      <w:pPr>
        <w:spacing w:after="120"/>
      </w:pPr>
      <w:r>
        <w:t xml:space="preserve">A Golden Ticket attack is one of the most severe forms of domain compromise. By obtaining the KRBTGT account's NTLM hash, attackers can forge Ticket Granting Tickets (TGTs) that grant them access to any resource in the domain as any user, including non-existent users.</w:t>
      </w:r>
    </w:p>
    <w:p>
      <w:pPr>
        <w:spacing w:after="120"/>
      </w:pPr>
      <w:r>
        <w:rPr>
          <w:b/>
          <w:bCs/>
        </w:rPr>
        <w:t xml:space="preserve">Why It's Dangerous:</w:t>
      </w:r>
    </w:p>
    <w:p>
      <w:pPr>
        <w:pStyle w:val="ListParagraph"/>
        <w:numPr>
          <w:ilvl w:val="0"/>
          <w:numId w:val="2"/>
        </w:numPr>
      </w:pPr>
      <w:r>
        <w:t xml:space="preserve">Forged tickets can be set to remain valid for up to 10 years</w:t>
      </w:r>
    </w:p>
    <w:p>
      <w:pPr>
        <w:pStyle w:val="ListParagraph"/>
        <w:numPr>
          <w:ilvl w:val="0"/>
          <w:numId w:val="2"/>
        </w:numPr>
      </w:pPr>
      <w:r>
        <w:t xml:space="preserve">Survive password resets and standard remediation efforts</w:t>
      </w:r>
    </w:p>
    <w:p>
      <w:pPr>
        <w:pStyle w:val="ListParagraph"/>
        <w:numPr>
          <w:ilvl w:val="0"/>
          <w:numId w:val="2"/>
        </w:numPr>
      </w:pPr>
      <w:r>
        <w:t xml:space="preserve">Can grant access as Domain Admin or any privileged account</w:t>
      </w:r>
    </w:p>
    <w:p>
      <w:pPr>
        <w:pStyle w:val="ListParagraph"/>
        <w:numPr>
          <w:ilvl w:val="0"/>
          <w:numId w:val="2"/>
        </w:numPr>
      </w:pPr>
      <w:r>
        <w:t xml:space="preserve">Difficult to detect as forged tickets appear legitimate to domain controllers</w:t>
      </w:r>
    </w:p>
    <w:p>
      <w:pPr>
        <w:pStyle w:val="ListParagraph"/>
        <w:numPr>
          <w:ilvl w:val="0"/>
          <w:numId w:val="2"/>
        </w:numPr>
      </w:pPr>
      <w:r>
        <w:t xml:space="preserve">Only remediation is to reset KRBTGT account password twice (and wait for Kerberos ticket expiration)</w:t>
      </w:r>
    </w:p>
    <w:p>
      <w:pPr>
        <w:spacing w:before="240" w:after="120"/>
      </w:pPr>
      <w:r>
        <w:rPr>
          <w:b/>
          <w:bCs/>
        </w:rPr>
        <w:t xml:space="preserve">Detection Indicators:</w:t>
      </w:r>
    </w:p>
    <w:p>
      <w:pPr>
        <w:pStyle w:val="ListParagraph"/>
        <w:numPr>
          <w:ilvl w:val="0"/>
          <w:numId w:val="2"/>
        </w:numPr>
      </w:pPr>
      <w:r>
        <w:t xml:space="preserve">Event ID 4768 with unusual ticket lifetimes (extremely long validity periods)</w:t>
      </w:r>
    </w:p>
    <w:p>
      <w:pPr>
        <w:pStyle w:val="ListParagraph"/>
        <w:numPr>
          <w:ilvl w:val="0"/>
          <w:numId w:val="2"/>
        </w:numPr>
      </w:pPr>
      <w:r>
        <w:t xml:space="preserve">TGT requests for non-existent user accounts</w:t>
      </w:r>
    </w:p>
    <w:p>
      <w:pPr>
        <w:pStyle w:val="ListParagraph"/>
        <w:numPr>
          <w:ilvl w:val="0"/>
          <w:numId w:val="2"/>
        </w:numPr>
      </w:pPr>
      <w:r>
        <w:t xml:space="preserve">Kerberos authentication without corresponding 4624 logon events</w:t>
      </w:r>
    </w:p>
    <w:p>
      <w:pPr>
        <w:pStyle w:val="ListParagraph"/>
        <w:numPr>
          <w:ilvl w:val="0"/>
          <w:numId w:val="2"/>
        </w:numPr>
      </w:pPr>
      <w:r>
        <w:t xml:space="preserve">Access to resources by accounts that should not have access</w:t>
      </w:r>
    </w:p>
    <w:p>
      <w:pPr>
        <w:pStyle w:val="ListParagraph"/>
        <w:numPr>
          <w:ilvl w:val="0"/>
          <w:numId w:val="2"/>
        </w:numPr>
      </w:pPr>
      <w:r>
        <w:t xml:space="preserve">Successful authentication with accounts that are disabled in Active Directory</w:t>
      </w:r>
    </w:p>
    <w:p>
      <w:pPr>
        <w:pStyle w:val="Heading2"/>
        <w:spacing w:before="240"/>
      </w:pPr>
      <w:r>
        <w:t xml:space="preserve">3.3 Silver Ticket Attack (MITRE ATT&amp;CK T1558.002)</w:t>
      </w:r>
    </w:p>
    <w:p>
      <w:pPr>
        <w:spacing w:after="120"/>
      </w:pPr>
      <w:r>
        <w:rPr>
          <w:b/>
          <w:bCs/>
        </w:rPr>
        <w:t xml:space="preserve">Attack Overview:</w:t>
      </w:r>
    </w:p>
    <w:p>
      <w:pPr>
        <w:spacing w:after="120"/>
      </w:pPr>
      <w:r>
        <w:t xml:space="preserve">Silver Ticket attacks forge service tickets (TGS) instead of TGTs. Attackers need the password hash of a service account (not KRBTGT) to create forged tickets for that specific service. While more limited in scope than Golden Tickets, Silver Tickets are harder to detect as they don't require communication with the Domain Controller after creation.</w:t>
      </w:r>
    </w:p>
    <w:p>
      <w:pPr>
        <w:spacing w:after="120"/>
      </w:pPr>
      <w:r>
        <w:rPr>
          <w:b/>
          <w:bCs/>
        </w:rPr>
        <w:t xml:space="preserve">Detection Indicators:</w:t>
      </w:r>
    </w:p>
    <w:p>
      <w:pPr>
        <w:pStyle w:val="ListParagraph"/>
        <w:numPr>
          <w:ilvl w:val="0"/>
          <w:numId w:val="2"/>
        </w:numPr>
      </w:pPr>
      <w:r>
        <w:t xml:space="preserve">Service access without corresponding Event ID 4769 (service ticket request)</w:t>
      </w:r>
    </w:p>
    <w:p>
      <w:pPr>
        <w:pStyle w:val="ListParagraph"/>
        <w:numPr>
          <w:ilvl w:val="0"/>
          <w:numId w:val="2"/>
        </w:numPr>
      </w:pPr>
      <w:r>
        <w:t xml:space="preserve">Access to services by accounts that don't have proper permissions</w:t>
      </w:r>
    </w:p>
    <w:p>
      <w:pPr>
        <w:pStyle w:val="ListParagraph"/>
        <w:numPr>
          <w:ilvl w:val="0"/>
          <w:numId w:val="2"/>
        </w:numPr>
      </w:pPr>
      <w:r>
        <w:t xml:space="preserve">Kerberos service ticket usage without TGT request from the DC</w:t>
      </w:r>
    </w:p>
    <w:p>
      <w:r>
        <w:br w:type="page"/>
      </w:r>
    </w:p>
    <w:p>
      <w:pPr>
        <w:pStyle w:val="Heading1"/>
      </w:pPr>
      <w:r>
        <w:t xml:space="preserve">4. Production-Ready KQL Detection Rules</w:t>
      </w:r>
    </w:p>
    <w:p>
      <w:pPr>
        <w:spacing w:after="120"/>
      </w:pPr>
      <w:r>
        <w:t xml:space="preserve">The following KQL queries are production-ready and can be deployed immediately in Microsoft Sentinel as Scheduled Analytics Rules. Each query includes inline comments explaining the logic and can be customized to match your environment.</w:t>
      </w:r>
    </w:p>
    <w:p>
      <w:pPr>
        <w:pStyle w:val="Heading2"/>
      </w:pPr>
      <w:r>
        <w:t xml:space="preserve">4.1 Direct Domain Controller Access Monitoring</w:t>
      </w:r>
    </w:p>
    <w:p>
      <w:pPr>
        <w:spacing w:after="120"/>
      </w:pPr>
      <w:r>
        <w:rPr>
          <w:b/>
          <w:bCs/>
        </w:rPr>
        <w:t xml:space="preserve">Purpose:</w:t>
      </w:r>
      <w:r>
        <w:t xml:space="preserve"> Detect when users log in directly to Domain Controllers via interactive or remote desktop sessions. This should be restricted to a small number of authorized administrators.</w:t>
      </w:r>
    </w:p>
    <w:p>
      <w:pPr>
        <w:spacing w:after="120"/>
      </w:pPr>
      <w:r>
        <w:rPr>
          <w:b/>
          <w:bCs/>
        </w:rPr>
        <w:t xml:space="preserve">Severity:</w:t>
      </w:r>
      <w:r>
        <w:t xml:space="preserve"> High - Direct DC access by unauthorized users is a critical security concern</w:t>
      </w:r>
    </w:p>
    <w:p>
      <w:pPr>
        <w:pStyle w:val="CodeBlock"/>
      </w:pPr>
      <w:r>
        <w:t xml:space="preserve">// Define Domain Controllers in your environment</w:t>
      </w:r>
    </w:p>
    <w:p>
      <w:pPr>
        <w:pStyle w:val="CodeBlock"/>
      </w:pPr>
      <w:r>
        <w:t xml:space="preserve">// Method 1: Automatic detection (finds computers with DC or ADDC in name)</w:t>
      </w:r>
    </w:p>
    <w:p>
      <w:pPr>
        <w:pStyle w:val="CodeBlock"/>
      </w:pPr>
      <w:r>
        <w:t xml:space="preserve">let DomainControllers = Heartbeat</w:t>
      </w:r>
    </w:p>
    <w:p>
      <w:pPr>
        <w:pStyle w:val="CodeBlock"/>
      </w:pPr>
      <w:r>
        <w:t xml:space="preserve">    | where OSType == "Windows"</w:t>
      </w:r>
    </w:p>
    <w:p>
      <w:pPr>
        <w:pStyle w:val="CodeBlock"/>
      </w:pPr>
      <w:r>
        <w:t xml:space="preserve">    | where Computer contains "DC" or Computer contains "ADDC"</w:t>
      </w:r>
    </w:p>
    <w:p>
      <w:pPr>
        <w:pStyle w:val="CodeBlock"/>
      </w:pPr>
      <w:r>
        <w:t xml:space="preserve">    | distinct Computer;</w:t>
      </w:r>
    </w:p>
    <w:p>
      <w:pPr>
        <w:pStyle w:val="CodeBlock"/>
      </w:pPr>
      <w:r>
        <w:t xml:space="preserve">// Method 2: Manual specification (recommended for accuracy)</w:t>
      </w:r>
    </w:p>
    <w:p>
      <w:pPr>
        <w:pStyle w:val="CodeBlock"/>
      </w:pPr>
      <w:r>
        <w:t xml:space="preserve">// let DomainControllers = dynamic(["DC01.contoso.com", "DC02.contoso.com"]);</w:t>
      </w:r>
    </w:p>
    <w:p>
      <w:pPr>
        <w:pStyle w:val="CodeBlock"/>
        <w:spacing w:before="120"/>
      </w:pPr>
      <w:r>
        <w:t xml:space="preserve">// Query for interactive logons to DCs</w:t>
      </w:r>
    </w:p>
    <w:p>
      <w:pPr>
        <w:pStyle w:val="CodeBlock"/>
      </w:pPr>
      <w:r>
        <w:t xml:space="preserve">SecurityEvent</w:t>
      </w:r>
    </w:p>
    <w:p>
      <w:pPr>
        <w:pStyle w:val="CodeBlock"/>
      </w:pPr>
      <w:r>
        <w:t xml:space="preserve">| where Computer in (DomainControllers)</w:t>
      </w:r>
    </w:p>
    <w:p>
      <w:pPr>
        <w:pStyle w:val="CodeBlock"/>
      </w:pPr>
      <w:r>
        <w:t xml:space="preserve">| where EventID == 4624  // Successful logon</w:t>
      </w:r>
    </w:p>
    <w:p>
      <w:pPr>
        <w:pStyle w:val="CodeBlock"/>
      </w:pPr>
      <w:r>
        <w:t xml:space="preserve">| where LogonType in (2, 10)  // 2=Interactive, 10=RemoteInteractive(RDP)</w:t>
      </w:r>
    </w:p>
    <w:p>
      <w:pPr>
        <w:pStyle w:val="CodeBlock"/>
      </w:pPr>
      <w:r>
        <w:t xml:space="preserve">| where AccountType == "User"</w:t>
      </w:r>
    </w:p>
    <w:p>
      <w:pPr>
        <w:pStyle w:val="CodeBlock"/>
      </w:pPr>
      <w:r>
        <w:t xml:space="preserve">| where Account !endswith "$"  // Exclude machine accounts</w:t>
      </w:r>
    </w:p>
    <w:p>
      <w:pPr>
        <w:pStyle w:val="CodeBlock"/>
      </w:pPr>
      <w:r>
        <w:t xml:space="preserve">// Add your authorized admin accounts to this exclusion list</w:t>
      </w:r>
    </w:p>
    <w:p>
      <w:pPr>
        <w:pStyle w:val="CodeBlock"/>
      </w:pPr>
      <w:r>
        <w:t xml:space="preserve">| where Account !in ("Administrator", "AuthorizedAdmin1", "AuthorizedAdmin2")</w:t>
      </w:r>
    </w:p>
    <w:p>
      <w:pPr>
        <w:pStyle w:val="CodeBlock"/>
      </w:pPr>
      <w:r>
        <w:t xml:space="preserve">// Enrich with descriptive fields</w:t>
      </w:r>
    </w:p>
    <w:p>
      <w:pPr>
        <w:pStyle w:val="CodeBlock"/>
      </w:pPr>
      <w:r>
        <w:t xml:space="preserve">| extend LogonTypeName = case(</w:t>
      </w:r>
    </w:p>
    <w:p>
      <w:pPr>
        <w:pStyle w:val="CodeBlock"/>
      </w:pPr>
      <w:r>
        <w:t xml:space="preserve">    LogonType == 2, "Interactive (Console Logon)",</w:t>
      </w:r>
    </w:p>
    <w:p>
      <w:pPr>
        <w:pStyle w:val="CodeBlock"/>
      </w:pPr>
      <w:r>
        <w:t xml:space="preserve">    LogonType == 10, "Remote Interactive (RDP)",</w:t>
      </w:r>
    </w:p>
    <w:p>
      <w:pPr>
        <w:pStyle w:val="CodeBlock"/>
      </w:pPr>
      <w:r>
        <w:t xml:space="preserve">    "Other"</w:t>
      </w:r>
    </w:p>
    <w:p>
      <w:pPr>
        <w:pStyle w:val="CodeBlock"/>
      </w:pPr>
      <w:r>
        <w:t xml:space="preserve">)</w:t>
      </w:r>
    </w:p>
    <w:p>
      <w:pPr>
        <w:pStyle w:val="CodeBlock"/>
      </w:pPr>
      <w:r>
        <w:t xml:space="preserve">| project </w:t>
      </w:r>
    </w:p>
    <w:p>
      <w:pPr>
        <w:pStyle w:val="CodeBlock"/>
      </w:pPr>
      <w:r>
        <w:t xml:space="preserve">    TimeGenerated,</w:t>
      </w:r>
    </w:p>
    <w:p>
      <w:pPr>
        <w:pStyle w:val="CodeBlock"/>
      </w:pPr>
      <w:r>
        <w:t xml:space="preserve">    DomainController = Computer,</w:t>
      </w:r>
    </w:p>
    <w:p>
      <w:pPr>
        <w:pStyle w:val="CodeBlock"/>
      </w:pPr>
      <w:r>
        <w:t xml:space="preserve">    Account,</w:t>
      </w:r>
    </w:p>
    <w:p>
      <w:pPr>
        <w:pStyle w:val="CodeBlock"/>
      </w:pPr>
      <w:r>
        <w:t xml:space="preserve">    SourceIP = IpAddress,</w:t>
      </w:r>
    </w:p>
    <w:p>
      <w:pPr>
        <w:pStyle w:val="CodeBlock"/>
      </w:pPr>
      <w:r>
        <w:t xml:space="preserve">    LogonTypeName,</w:t>
      </w:r>
    </w:p>
    <w:p>
      <w:pPr>
        <w:pStyle w:val="CodeBlock"/>
      </w:pPr>
      <w:r>
        <w:t xml:space="preserve">    WorkstationName,</w:t>
      </w:r>
    </w:p>
    <w:p>
      <w:pPr>
        <w:pStyle w:val="CodeBlock"/>
      </w:pPr>
      <w:r>
        <w:t xml:space="preserve">    ProcessName</w:t>
      </w:r>
    </w:p>
    <w:p>
      <w:pPr>
        <w:pStyle w:val="CodeBlock"/>
      </w:pPr>
      <w:r>
        <w:t xml:space="preserve">| extend AlertSeverity = "High"</w:t>
      </w:r>
    </w:p>
    <w:p>
      <w:pPr>
        <w:pStyle w:val="CodeBlock"/>
      </w:pPr>
      <w:r>
        <w:t xml:space="preserve">| extend Description = strcat(</w:t>
      </w:r>
    </w:p>
    <w:p>
      <w:pPr>
        <w:pStyle w:val="CodeBlock"/>
      </w:pPr>
      <w:r>
        <w:t xml:space="preserve">    "Unauthorized user ", Account, " logged into Domain Controller ",</w:t>
      </w:r>
    </w:p>
    <w:p>
      <w:pPr>
        <w:pStyle w:val="CodeBlock"/>
      </w:pPr>
      <w:r>
        <w:t xml:space="preserve">    DomainController, " using ", LogonTypeName, " from ", SourceIP</w:t>
      </w:r>
    </w:p>
    <w:p>
      <w:pPr>
        <w:pStyle w:val="CodeBlock"/>
      </w:pPr>
      <w:r>
        <w:t xml:space="preserve">)</w:t>
      </w:r>
    </w:p>
    <w:p>
      <w:pPr>
        <w:spacing w:before="240" w:after="120"/>
      </w:pPr>
      <w:r>
        <w:rPr>
          <w:b/>
          <w:bCs/>
        </w:rPr>
        <w:t xml:space="preserve">Recommended Settings for Analytic Rule:</w:t>
      </w:r>
    </w:p>
    <w:p>
      <w:pPr>
        <w:pStyle w:val="ListParagraph"/>
        <w:numPr>
          <w:ilvl w:val="0"/>
          <w:numId w:val="2"/>
        </w:numPr>
      </w:pPr>
      <w:r>
        <w:rPr>
          <w:b/>
          <w:bCs/>
        </w:rPr>
        <w:t xml:space="preserve">Run query every:</w:t>
      </w:r>
      <w:r>
        <w:t xml:space="preserve"> 5 minutes</w:t>
      </w:r>
    </w:p>
    <w:p>
      <w:pPr>
        <w:pStyle w:val="ListParagraph"/>
        <w:numPr>
          <w:ilvl w:val="0"/>
          <w:numId w:val="2"/>
        </w:numPr>
      </w:pPr>
      <w:r>
        <w:rPr>
          <w:b/>
          <w:bCs/>
        </w:rPr>
        <w:t xml:space="preserve">Lookup data from the last:</w:t>
      </w:r>
      <w:r>
        <w:t xml:space="preserve"> 10 minutes</w:t>
      </w:r>
    </w:p>
    <w:p>
      <w:pPr>
        <w:pStyle w:val="ListParagraph"/>
        <w:numPr>
          <w:ilvl w:val="0"/>
          <w:numId w:val="2"/>
        </w:numPr>
      </w:pPr>
      <w:r>
        <w:rPr>
          <w:b/>
          <w:bCs/>
        </w:rPr>
        <w:t xml:space="preserve">Alert threshold:</w:t>
      </w:r>
      <w:r>
        <w:t xml:space="preserve"> Generate alert when number of query results is greater than 0</w:t>
      </w:r>
    </w:p>
    <w:p>
      <w:pPr>
        <w:pStyle w:val="ListParagraph"/>
        <w:numPr>
          <w:ilvl w:val="0"/>
          <w:numId w:val="2"/>
        </w:numPr>
      </w:pPr>
      <w:r>
        <w:rPr>
          <w:b/>
          <w:bCs/>
        </w:rPr>
        <w:t xml:space="preserve">MITRE ATT&amp;CK:</w:t>
      </w:r>
      <w:r>
        <w:t xml:space="preserve"> Lateral Movement (TA0008), Valid Accounts (T1078)</w:t>
      </w:r>
    </w:p>
    <w:p>
      <w:r>
        <w:br w:type="page"/>
      </w:r>
    </w:p>
    <w:p>
      <w:pPr>
        <w:pStyle w:val="Heading2"/>
      </w:pPr>
      <w:r>
        <w:t xml:space="preserve">4.2 Kerberoasting Detection</w:t>
      </w:r>
    </w:p>
    <w:p>
      <w:pPr>
        <w:spacing w:after="120"/>
      </w:pPr>
      <w:r>
        <w:rPr>
          <w:b/>
          <w:bCs/>
        </w:rPr>
        <w:t xml:space="preserve">Purpose:</w:t>
      </w:r>
      <w:r>
        <w:t xml:space="preserve"> Identify potential Kerberoasting attacks by detecting multiple TGS requests with RC4 encryption in a short time period.</w:t>
      </w:r>
    </w:p>
    <w:p>
      <w:pPr>
        <w:spacing w:after="120"/>
      </w:pPr>
      <w:r>
        <w:rPr>
          <w:b/>
          <w:bCs/>
        </w:rPr>
        <w:t xml:space="preserve">Severity:</w:t>
      </w:r>
      <w:r>
        <w:t xml:space="preserve"> High - Kerberoasting is a common technique for credential theft</w:t>
      </w:r>
    </w:p>
    <w:p>
      <w:pPr>
        <w:pStyle w:val="CodeBlock"/>
      </w:pPr>
      <w:r>
        <w:t xml:space="preserve">// Detect Kerberoasting: Multiple TGS requests with RC4 encryption</w:t>
      </w:r>
    </w:p>
    <w:p>
      <w:pPr>
        <w:pStyle w:val="CodeBlock"/>
      </w:pPr>
      <w:r>
        <w:t xml:space="preserve">SecurityEvent</w:t>
      </w:r>
    </w:p>
    <w:p>
      <w:pPr>
        <w:pStyle w:val="CodeBlock"/>
      </w:pPr>
      <w:r>
        <w:t xml:space="preserve">| where EventID == 4769  // Kerberos service ticket requested</w:t>
      </w:r>
    </w:p>
    <w:p>
      <w:pPr>
        <w:pStyle w:val="CodeBlock"/>
      </w:pPr>
      <w:r>
        <w:t xml:space="preserve">| where ServiceName !endswith "$"  // Exclude computer accounts</w:t>
      </w:r>
    </w:p>
    <w:p>
      <w:pPr>
        <w:pStyle w:val="CodeBlock"/>
      </w:pPr>
      <w:r>
        <w:t xml:space="preserve">| where TicketEncryptionType == "0x17"  // RC4 encryption (weak, used in attacks)</w:t>
      </w:r>
    </w:p>
    <w:p>
      <w:pPr>
        <w:pStyle w:val="CodeBlock"/>
      </w:pPr>
      <w:r>
        <w:t xml:space="preserve">// Group by account and time window</w:t>
      </w:r>
    </w:p>
    <w:p>
      <w:pPr>
        <w:pStyle w:val="CodeBlock"/>
      </w:pPr>
      <w:r>
        <w:t xml:space="preserve">| summarize </w:t>
      </w:r>
    </w:p>
    <w:p>
      <w:pPr>
        <w:pStyle w:val="CodeBlock"/>
      </w:pPr>
      <w:r>
        <w:t xml:space="preserve">    RequestCount = count(),</w:t>
      </w:r>
    </w:p>
    <w:p>
      <w:pPr>
        <w:pStyle w:val="CodeBlock"/>
      </w:pPr>
      <w:r>
        <w:t xml:space="preserve">    UniqueServices = dcount(ServiceName),</w:t>
      </w:r>
    </w:p>
    <w:p>
      <w:pPr>
        <w:pStyle w:val="CodeBlock"/>
      </w:pPr>
      <w:r>
        <w:t xml:space="preserve">    ServiceList = make_set(ServiceName),</w:t>
      </w:r>
    </w:p>
    <w:p>
      <w:pPr>
        <w:pStyle w:val="CodeBlock"/>
      </w:pPr>
      <w:r>
        <w:t xml:space="preserve">    SourceIPs = make_set(IpAddress),</w:t>
      </w:r>
    </w:p>
    <w:p>
      <w:pPr>
        <w:pStyle w:val="CodeBlock"/>
      </w:pPr>
      <w:r>
        <w:t xml:space="preserve">    DomainControllers = make_set(Computer)</w:t>
      </w:r>
    </w:p>
    <w:p>
      <w:pPr>
        <w:pStyle w:val="CodeBlock"/>
      </w:pPr>
      <w:r>
        <w:t xml:space="preserve">    by Account, bin(TimeGenerated, 5m)</w:t>
      </w:r>
    </w:p>
    <w:p>
      <w:pPr>
        <w:pStyle w:val="CodeBlock"/>
      </w:pPr>
      <w:r>
        <w:t xml:space="preserve">// Alert if more than 10 requests in 5 minutes OR more than 5 unique services</w:t>
      </w:r>
    </w:p>
    <w:p>
      <w:pPr>
        <w:pStyle w:val="CodeBlock"/>
      </w:pPr>
      <w:r>
        <w:t xml:space="preserve">| where RequestCount &gt; 10 or UniqueServices &gt; 5</w:t>
      </w:r>
    </w:p>
    <w:p>
      <w:pPr>
        <w:pStyle w:val="CodeBlock"/>
      </w:pPr>
      <w:r>
        <w:t xml:space="preserve">| extend AlertSeverity = case(</w:t>
      </w:r>
    </w:p>
    <w:p>
      <w:pPr>
        <w:pStyle w:val="CodeBlock"/>
      </w:pPr>
      <w:r>
        <w:t xml:space="preserve">    RequestCount &gt; 20, "Critical",</w:t>
      </w:r>
    </w:p>
    <w:p>
      <w:pPr>
        <w:pStyle w:val="CodeBlock"/>
      </w:pPr>
      <w:r>
        <w:t xml:space="preserve">    RequestCount &gt; 10, "High",</w:t>
      </w:r>
    </w:p>
    <w:p>
      <w:pPr>
        <w:pStyle w:val="CodeBlock"/>
      </w:pPr>
      <w:r>
        <w:t xml:space="preserve">    "Medium"</w:t>
      </w:r>
    </w:p>
    <w:p>
      <w:pPr>
        <w:pStyle w:val="CodeBlock"/>
      </w:pPr>
      <w:r>
        <w:t xml:space="preserve">)</w:t>
      </w:r>
    </w:p>
    <w:p>
      <w:pPr>
        <w:pStyle w:val="CodeBlock"/>
      </w:pPr>
      <w:r>
        <w:t xml:space="preserve">| extend Description = strcat(</w:t>
      </w:r>
    </w:p>
    <w:p>
      <w:pPr>
        <w:pStyle w:val="CodeBlock"/>
      </w:pPr>
      <w:r>
        <w:t xml:space="preserve">    "KERBEROASTING DETECTED: Account ", Account, " requested ",</w:t>
      </w:r>
    </w:p>
    <w:p>
      <w:pPr>
        <w:pStyle w:val="CodeBlock"/>
      </w:pPr>
      <w:r>
        <w:t xml:space="preserve">    RequestCount, " Kerberos service tickets using RC4 encryption for ",</w:t>
      </w:r>
    </w:p>
    <w:p>
      <w:pPr>
        <w:pStyle w:val="CodeBlock"/>
      </w:pPr>
      <w:r>
        <w:t xml:space="preserve">    UniqueServices, " distinct services in 5 minutes. ",</w:t>
      </w:r>
    </w:p>
    <w:p>
      <w:pPr>
        <w:pStyle w:val="CodeBlock"/>
      </w:pPr>
      <w:r>
        <w:t xml:space="preserve">    "This is a strong indicator of Kerberoasting attack."</w:t>
      </w:r>
    </w:p>
    <w:p>
      <w:pPr>
        <w:pStyle w:val="CodeBlock"/>
      </w:pPr>
      <w:r>
        <w:t xml:space="preserve">)</w:t>
      </w:r>
    </w:p>
    <w:p>
      <w:pPr>
        <w:pStyle w:val="CodeBlock"/>
      </w:pPr>
      <w:r>
        <w:t xml:space="preserve">| project</w:t>
      </w:r>
    </w:p>
    <w:p>
      <w:pPr>
        <w:pStyle w:val="CodeBlock"/>
      </w:pPr>
      <w:r>
        <w:t xml:space="preserve">    TimeWindow = TimeGenerated,</w:t>
      </w:r>
    </w:p>
    <w:p>
      <w:pPr>
        <w:pStyle w:val="CodeBlock"/>
      </w:pPr>
      <w:r>
        <w:t xml:space="preserve">    AttackerAccount = Account,</w:t>
      </w:r>
    </w:p>
    <w:p>
      <w:pPr>
        <w:pStyle w:val="CodeBlock"/>
      </w:pPr>
      <w:r>
        <w:t xml:space="preserve">    TotalRequests = RequestCount,</w:t>
      </w:r>
    </w:p>
    <w:p>
      <w:pPr>
        <w:pStyle w:val="CodeBlock"/>
      </w:pPr>
      <w:r>
        <w:t xml:space="preserve">    UniqueServicesTargeted = UniqueServices,</w:t>
      </w:r>
    </w:p>
    <w:p>
      <w:pPr>
        <w:pStyle w:val="CodeBlock"/>
      </w:pPr>
      <w:r>
        <w:t xml:space="preserve">    TargetedServices = ServiceList,</w:t>
      </w:r>
    </w:p>
    <w:p>
      <w:pPr>
        <w:pStyle w:val="CodeBlock"/>
      </w:pPr>
      <w:r>
        <w:t xml:space="preserve">    SourceIPs,</w:t>
      </w:r>
    </w:p>
    <w:p>
      <w:pPr>
        <w:pStyle w:val="CodeBlock"/>
      </w:pPr>
      <w:r>
        <w:t xml:space="preserve">    DomainControllers,</w:t>
      </w:r>
    </w:p>
    <w:p>
      <w:pPr>
        <w:pStyle w:val="CodeBlock"/>
      </w:pPr>
      <w:r>
        <w:t xml:space="preserve">    AlertSeverity,</w:t>
      </w:r>
    </w:p>
    <w:p>
      <w:pPr>
        <w:pStyle w:val="CodeBlock"/>
      </w:pPr>
      <w:r>
        <w:t xml:space="preserve">    Description</w:t>
      </w:r>
    </w:p>
    <w:p>
      <w:pPr>
        <w:spacing w:before="240" w:after="120"/>
      </w:pPr>
      <w:r>
        <w:rPr>
          <w:b/>
          <w:bCs/>
        </w:rPr>
        <w:t xml:space="preserve">Recommended Settings:</w:t>
      </w:r>
    </w:p>
    <w:p>
      <w:pPr>
        <w:pStyle w:val="ListParagraph"/>
        <w:numPr>
          <w:ilvl w:val="0"/>
          <w:numId w:val="2"/>
        </w:numPr>
      </w:pPr>
      <w:r>
        <w:rPr>
          <w:b/>
          <w:bCs/>
        </w:rPr>
        <w:t xml:space="preserve">Run query every:</w:t>
      </w:r>
      <w:r>
        <w:t xml:space="preserve"> 5 minutes</w:t>
      </w:r>
    </w:p>
    <w:p>
      <w:pPr>
        <w:pStyle w:val="ListParagraph"/>
        <w:numPr>
          <w:ilvl w:val="0"/>
          <w:numId w:val="2"/>
        </w:numPr>
      </w:pPr>
      <w:r>
        <w:rPr>
          <w:b/>
          <w:bCs/>
        </w:rPr>
        <w:t xml:space="preserve">Lookup data from the last:</w:t>
      </w:r>
      <w:r>
        <w:t xml:space="preserve"> 10 minutes</w:t>
      </w:r>
    </w:p>
    <w:p>
      <w:pPr>
        <w:pStyle w:val="ListParagraph"/>
        <w:numPr>
          <w:ilvl w:val="0"/>
          <w:numId w:val="2"/>
        </w:numPr>
      </w:pPr>
      <w:r>
        <w:rPr>
          <w:b/>
          <w:bCs/>
        </w:rPr>
        <w:t xml:space="preserve">MITRE ATT&amp;CK:</w:t>
      </w:r>
      <w:r>
        <w:t xml:space="preserve"> Credential Access (TA0006), Steal or Forge Kerberos Tickets: Kerberoasting (T1558.003)</w:t>
      </w:r>
    </w:p>
    <w:p>
      <w:r>
        <w:br w:type="page"/>
      </w:r>
    </w:p>
    <w:p>
      <w:pPr>
        <w:pStyle w:val="Heading2"/>
      </w:pPr>
      <w:r>
        <w:t xml:space="preserve">4.3 Golden Ticket Detection</w:t>
      </w:r>
    </w:p>
    <w:p>
      <w:pPr>
        <w:spacing w:after="120"/>
      </w:pPr>
      <w:r>
        <w:rPr>
          <w:b/>
          <w:bCs/>
        </w:rPr>
        <w:t xml:space="preserve">Purpose:</w:t>
      </w:r>
      <w:r>
        <w:t xml:space="preserve"> Detect forged Kerberos TGTs that may indicate a Golden Ticket attack.</w:t>
      </w:r>
    </w:p>
    <w:p>
      <w:pPr>
        <w:spacing w:after="120"/>
      </w:pPr>
      <w:r>
        <w:rPr>
          <w:b/>
          <w:bCs/>
        </w:rPr>
        <w:t xml:space="preserve">Severity:</w:t>
      </w:r>
      <w:r>
        <w:t xml:space="preserve"> Critical - Golden Ticket attacks represent complete domain compromise</w:t>
      </w:r>
    </w:p>
    <w:p>
      <w:pPr>
        <w:pStyle w:val="CodeBlock"/>
      </w:pPr>
      <w:r>
        <w:t xml:space="preserve">// Detect potential Golden Ticket: Abnormal TGT characteristics</w:t>
      </w:r>
    </w:p>
    <w:p>
      <w:pPr>
        <w:pStyle w:val="CodeBlock"/>
      </w:pPr>
      <w:r>
        <w:t xml:space="preserve">SecurityEvent</w:t>
      </w:r>
    </w:p>
    <w:p>
      <w:pPr>
        <w:pStyle w:val="CodeBlock"/>
      </w:pPr>
      <w:r>
        <w:t xml:space="preserve">| where EventID == 4768  // TGT requested</w:t>
      </w:r>
    </w:p>
    <w:p>
      <w:pPr>
        <w:pStyle w:val="CodeBlock"/>
      </w:pPr>
      <w:r>
        <w:t xml:space="preserve">// Look for suspicious characteristics</w:t>
      </w:r>
    </w:p>
    <w:p>
      <w:pPr>
        <w:pStyle w:val="CodeBlock"/>
      </w:pPr>
      <w:r>
        <w:t xml:space="preserve">| where </w:t>
      </w:r>
    </w:p>
    <w:p>
      <w:pPr>
        <w:pStyle w:val="CodeBlock"/>
      </w:pPr>
      <w:r>
        <w:t xml:space="preserve">    // Abnormally long ticket lifetime (&gt;10 hours is suspicious)</w:t>
      </w:r>
    </w:p>
    <w:p>
      <w:pPr>
        <w:pStyle w:val="CodeBlock"/>
      </w:pPr>
      <w:r>
        <w:t xml:space="preserve">    TicketOptions contains "0x40810000"  // Forwardable + Renewable</w:t>
      </w:r>
    </w:p>
    <w:p>
      <w:pPr>
        <w:pStyle w:val="CodeBlock"/>
      </w:pPr>
      <w:r>
        <w:t xml:space="preserve">    or TicketOptions contains "0x50800000"  // Renewable + Invalid</w:t>
      </w:r>
    </w:p>
    <w:p>
      <w:pPr>
        <w:pStyle w:val="CodeBlock"/>
      </w:pPr>
      <w:r>
        <w:t xml:space="preserve">    // Encryption type mismatch</w:t>
      </w:r>
    </w:p>
    <w:p>
      <w:pPr>
        <w:pStyle w:val="CodeBlock"/>
      </w:pPr>
      <w:r>
        <w:t xml:space="preserve">    or TicketEncryptionType == "0x17"  // RC4 when AES should be used</w:t>
      </w:r>
    </w:p>
    <w:p>
      <w:pPr>
        <w:pStyle w:val="CodeBlock"/>
      </w:pPr>
      <w:r>
        <w:t xml:space="preserve">// Group and analyze</w:t>
      </w:r>
    </w:p>
    <w:p>
      <w:pPr>
        <w:pStyle w:val="CodeBlock"/>
      </w:pPr>
      <w:r>
        <w:t xml:space="preserve">| extend SuspicionReason = case(</w:t>
      </w:r>
    </w:p>
    <w:p>
      <w:pPr>
        <w:pStyle w:val="CodeBlock"/>
      </w:pPr>
      <w:r>
        <w:t xml:space="preserve">    TicketEncryptionType == "0x17", "RC4 encryption used",</w:t>
      </w:r>
    </w:p>
    <w:p>
      <w:pPr>
        <w:pStyle w:val="CodeBlock"/>
      </w:pPr>
      <w:r>
        <w:t xml:space="preserve">    TicketOptions contains "0x40810000", "Suspicious ticket options",</w:t>
      </w:r>
    </w:p>
    <w:p>
      <w:pPr>
        <w:pStyle w:val="CodeBlock"/>
      </w:pPr>
      <w:r>
        <w:t xml:space="preserve">    "Unknown anomaly"</w:t>
      </w:r>
    </w:p>
    <w:p>
      <w:pPr>
        <w:pStyle w:val="CodeBlock"/>
      </w:pPr>
      <w:r>
        <w:t xml:space="preserve">)</w:t>
      </w:r>
    </w:p>
    <w:p>
      <w:pPr>
        <w:pStyle w:val="CodeBlock"/>
      </w:pPr>
      <w:r>
        <w:t xml:space="preserve">| project</w:t>
      </w:r>
    </w:p>
    <w:p>
      <w:pPr>
        <w:pStyle w:val="CodeBlock"/>
      </w:pPr>
      <w:r>
        <w:t xml:space="preserve">    TimeGenerated,</w:t>
      </w:r>
    </w:p>
    <w:p>
      <w:pPr>
        <w:pStyle w:val="CodeBlock"/>
      </w:pPr>
      <w:r>
        <w:t xml:space="preserve">    SuspectAccount = TargetUserName,</w:t>
      </w:r>
    </w:p>
    <w:p>
      <w:pPr>
        <w:pStyle w:val="CodeBlock"/>
      </w:pPr>
      <w:r>
        <w:t xml:space="preserve">    SourceIP = IpAddress,</w:t>
      </w:r>
    </w:p>
    <w:p>
      <w:pPr>
        <w:pStyle w:val="CodeBlock"/>
      </w:pPr>
      <w:r>
        <w:t xml:space="preserve">    DomainController = Computer,</w:t>
      </w:r>
    </w:p>
    <w:p>
      <w:pPr>
        <w:pStyle w:val="CodeBlock"/>
      </w:pPr>
      <w:r>
        <w:t xml:space="preserve">    TicketEncryptionType,</w:t>
      </w:r>
    </w:p>
    <w:p>
      <w:pPr>
        <w:pStyle w:val="CodeBlock"/>
      </w:pPr>
      <w:r>
        <w:t xml:space="preserve">    TicketOptions,</w:t>
      </w:r>
    </w:p>
    <w:p>
      <w:pPr>
        <w:pStyle w:val="CodeBlock"/>
      </w:pPr>
      <w:r>
        <w:t xml:space="preserve">    SuspicionReason</w:t>
      </w:r>
    </w:p>
    <w:p>
      <w:pPr>
        <w:pStyle w:val="CodeBlock"/>
      </w:pPr>
      <w:r>
        <w:t xml:space="preserve">| extend AlertSeverity = "Critical"</w:t>
      </w:r>
    </w:p>
    <w:p>
      <w:pPr>
        <w:pStyle w:val="CodeBlock"/>
      </w:pPr>
      <w:r>
        <w:t xml:space="preserve">| extend Description = strcat(</w:t>
      </w:r>
    </w:p>
    <w:p>
      <w:pPr>
        <w:pStyle w:val="CodeBlock"/>
      </w:pPr>
      <w:r>
        <w:t xml:space="preserve">    "POSSIBLE GOLDEN TICKET: Suspicious TGT characteristics detected for account ",</w:t>
      </w:r>
    </w:p>
    <w:p>
      <w:pPr>
        <w:pStyle w:val="CodeBlock"/>
      </w:pPr>
      <w:r>
        <w:t xml:space="preserve">    SuspectAccount, " from IP ", SourceIP, ". Reason: ", SuspicionReason,</w:t>
      </w:r>
    </w:p>
    <w:p>
      <w:pPr>
        <w:pStyle w:val="CodeBlock"/>
      </w:pPr>
      <w:r>
        <w:t xml:space="preserve">    ". Immediate investigation required - may indicate domain compromise."</w:t>
      </w:r>
    </w:p>
    <w:p>
      <w:pPr>
        <w:pStyle w:val="CodeBlock"/>
      </w:pPr>
      <w:r>
        <w:t xml:space="preserve">)</w:t>
      </w:r>
    </w:p>
    <w:p>
      <w:pPr>
        <w:spacing w:before="240" w:after="120"/>
      </w:pPr>
      <w:r>
        <w:rPr>
          <w:b/>
          <w:bCs/>
          <w:i/>
          <w:iCs/>
        </w:rPr>
        <w:t xml:space="preserve">Note:</w:t>
      </w:r>
      <w:r>
        <w:rPr>
          <w:i/>
          <w:iCs/>
        </w:rPr>
        <w:t xml:space="preserve"> Golden Ticket detection is challenging. This rule catches some indicators but should be combined with additional monitoring using Microsoft Defender for Identity for comprehensive coverage.</w:t>
      </w:r>
    </w:p>
    <w:p>
      <w:r>
        <w:br w:type="page"/>
      </w:r>
    </w:p>
    <w:p>
      <w:pPr>
        <w:pStyle w:val="Heading2"/>
      </w:pPr>
      <w:r>
        <w:t xml:space="preserve">4.4 Privileged Group Membership Changes</w:t>
      </w:r>
    </w:p>
    <w:p>
      <w:pPr>
        <w:spacing w:after="120"/>
      </w:pPr>
      <w:r>
        <w:rPr>
          <w:b/>
          <w:bCs/>
        </w:rPr>
        <w:t xml:space="preserve">Purpose:</w:t>
      </w:r>
      <w:r>
        <w:t xml:space="preserve"> Monitor additions to critical administrative groups in Active Directory.</w:t>
      </w:r>
    </w:p>
    <w:p>
      <w:pPr>
        <w:spacing w:after="120"/>
      </w:pPr>
      <w:r>
        <w:rPr>
          <w:b/>
          <w:bCs/>
        </w:rPr>
        <w:t xml:space="preserve">Severity:</w:t>
      </w:r>
      <w:r>
        <w:t xml:space="preserve"> Critical - Unauthorized privilege escalation</w:t>
      </w:r>
    </w:p>
    <w:p>
      <w:pPr>
        <w:pStyle w:val="CodeBlock"/>
      </w:pPr>
      <w:r>
        <w:t xml:space="preserve">// Monitor additions to privileged AD groups</w:t>
      </w:r>
    </w:p>
    <w:p>
      <w:pPr>
        <w:pStyle w:val="CodeBlock"/>
      </w:pPr>
      <w:r>
        <w:t xml:space="preserve">SecurityEvent</w:t>
      </w:r>
    </w:p>
    <w:p>
      <w:pPr>
        <w:pStyle w:val="CodeBlock"/>
      </w:pPr>
      <w:r>
        <w:t xml:space="preserve">| where EventID in (4728, 4732, 4756)  // Member added to security group</w:t>
      </w:r>
    </w:p>
    <w:p>
      <w:pPr>
        <w:pStyle w:val="CodeBlock"/>
      </w:pPr>
      <w:r>
        <w:t xml:space="preserve">// Define privileged groups to monitor</w:t>
      </w:r>
    </w:p>
    <w:p>
      <w:pPr>
        <w:pStyle w:val="CodeBlock"/>
      </w:pPr>
      <w:r>
        <w:t xml:space="preserve">| where TargetUserName in (</w:t>
      </w:r>
    </w:p>
    <w:p>
      <w:pPr>
        <w:pStyle w:val="CodeBlock"/>
      </w:pPr>
      <w:r>
        <w:t xml:space="preserve">    "Domain Admins",</w:t>
      </w:r>
    </w:p>
    <w:p>
      <w:pPr>
        <w:pStyle w:val="CodeBlock"/>
      </w:pPr>
      <w:r>
        <w:t xml:space="preserve">    "Enterprise Admins",</w:t>
      </w:r>
    </w:p>
    <w:p>
      <w:pPr>
        <w:pStyle w:val="CodeBlock"/>
      </w:pPr>
      <w:r>
        <w:t xml:space="preserve">    "Schema Admins",</w:t>
      </w:r>
    </w:p>
    <w:p>
      <w:pPr>
        <w:pStyle w:val="CodeBlock"/>
      </w:pPr>
      <w:r>
        <w:t xml:space="preserve">    "Administrators",</w:t>
      </w:r>
    </w:p>
    <w:p>
      <w:pPr>
        <w:pStyle w:val="CodeBlock"/>
      </w:pPr>
      <w:r>
        <w:t xml:space="preserve">    "Account Operators",</w:t>
      </w:r>
    </w:p>
    <w:p>
      <w:pPr>
        <w:pStyle w:val="CodeBlock"/>
      </w:pPr>
      <w:r>
        <w:t xml:space="preserve">    "Backup Operators",</w:t>
      </w:r>
    </w:p>
    <w:p>
      <w:pPr>
        <w:pStyle w:val="CodeBlock"/>
      </w:pPr>
      <w:r>
        <w:t xml:space="preserve">    "Server Operators",</w:t>
      </w:r>
    </w:p>
    <w:p>
      <w:pPr>
        <w:pStyle w:val="CodeBlock"/>
      </w:pPr>
      <w:r>
        <w:t xml:space="preserve">    "Print Operators",</w:t>
      </w:r>
    </w:p>
    <w:p>
      <w:pPr>
        <w:pStyle w:val="CodeBlock"/>
      </w:pPr>
      <w:r>
        <w:t xml:space="preserve">    "DnsAdmins",</w:t>
      </w:r>
    </w:p>
    <w:p>
      <w:pPr>
        <w:pStyle w:val="CodeBlock"/>
      </w:pPr>
      <w:r>
        <w:t xml:space="preserve">    "Group Policy Creator Owners"</w:t>
      </w:r>
    </w:p>
    <w:p>
      <w:pPr>
        <w:pStyle w:val="CodeBlock"/>
      </w:pPr>
      <w:r>
        <w:t xml:space="preserve">)</w:t>
      </w:r>
    </w:p>
    <w:p>
      <w:pPr>
        <w:pStyle w:val="CodeBlock"/>
      </w:pPr>
      <w:r>
        <w:t xml:space="preserve">| extend</w:t>
      </w:r>
    </w:p>
    <w:p>
      <w:pPr>
        <w:pStyle w:val="CodeBlock"/>
      </w:pPr>
      <w:r>
        <w:t xml:space="preserve">    ModifiedBy = SubjectUserName,</w:t>
      </w:r>
    </w:p>
    <w:p>
      <w:pPr>
        <w:pStyle w:val="CodeBlock"/>
      </w:pPr>
      <w:r>
        <w:t xml:space="preserve">    AddedUser = MemberName,</w:t>
      </w:r>
    </w:p>
    <w:p>
      <w:pPr>
        <w:pStyle w:val="CodeBlock"/>
      </w:pPr>
      <w:r>
        <w:t xml:space="preserve">    PrivilegedGroup = TargetUserName,</w:t>
      </w:r>
    </w:p>
    <w:p>
      <w:pPr>
        <w:pStyle w:val="CodeBlock"/>
      </w:pPr>
      <w:r>
        <w:t xml:space="preserve">    DomainController = Computer,</w:t>
      </w:r>
    </w:p>
    <w:p>
      <w:pPr>
        <w:pStyle w:val="CodeBlock"/>
      </w:pPr>
      <w:r>
        <w:t xml:space="preserve">    SourceWorkstation = WorkstationName</w:t>
      </w:r>
    </w:p>
    <w:p>
      <w:pPr>
        <w:pStyle w:val="CodeBlock"/>
      </w:pPr>
      <w:r>
        <w:t xml:space="preserve">// Determine severity based on group</w:t>
      </w:r>
    </w:p>
    <w:p>
      <w:pPr>
        <w:pStyle w:val="CodeBlock"/>
      </w:pPr>
      <w:r>
        <w:t xml:space="preserve">| extend Severity = case(</w:t>
      </w:r>
    </w:p>
    <w:p>
      <w:pPr>
        <w:pStyle w:val="CodeBlock"/>
      </w:pPr>
      <w:r>
        <w:t xml:space="preserve">    PrivilegedGroup in ("Domain Admins", "Enterprise Admins", "Schema Admins"), "Critical",</w:t>
      </w:r>
    </w:p>
    <w:p>
      <w:pPr>
        <w:pStyle w:val="CodeBlock"/>
      </w:pPr>
      <w:r>
        <w:t xml:space="preserve">    PrivilegedGroup in ("Administrators", "Account Operators"), "High",</w:t>
      </w:r>
    </w:p>
    <w:p>
      <w:pPr>
        <w:pStyle w:val="CodeBlock"/>
      </w:pPr>
      <w:r>
        <w:t xml:space="preserve">    "Medium"</w:t>
      </w:r>
    </w:p>
    <w:p>
      <w:pPr>
        <w:pStyle w:val="CodeBlock"/>
      </w:pPr>
      <w:r>
        <w:t xml:space="preserve">)</w:t>
      </w:r>
    </w:p>
    <w:p>
      <w:pPr>
        <w:pStyle w:val="CodeBlock"/>
      </w:pPr>
      <w:r>
        <w:t xml:space="preserve">| project</w:t>
      </w:r>
    </w:p>
    <w:p>
      <w:pPr>
        <w:pStyle w:val="CodeBlock"/>
      </w:pPr>
      <w:r>
        <w:t xml:space="preserve">    TimeGenerated,</w:t>
      </w:r>
    </w:p>
    <w:p>
      <w:pPr>
        <w:pStyle w:val="CodeBlock"/>
      </w:pPr>
      <w:r>
        <w:t xml:space="preserve">    ModifiedBy,</w:t>
      </w:r>
    </w:p>
    <w:p>
      <w:pPr>
        <w:pStyle w:val="CodeBlock"/>
      </w:pPr>
      <w:r>
        <w:t xml:space="preserve">    AddedUser,</w:t>
      </w:r>
    </w:p>
    <w:p>
      <w:pPr>
        <w:pStyle w:val="CodeBlock"/>
      </w:pPr>
      <w:r>
        <w:t xml:space="preserve">    PrivilegedGroup,</w:t>
      </w:r>
    </w:p>
    <w:p>
      <w:pPr>
        <w:pStyle w:val="CodeBlock"/>
      </w:pPr>
      <w:r>
        <w:t xml:space="preserve">    DomainController,</w:t>
      </w:r>
    </w:p>
    <w:p>
      <w:pPr>
        <w:pStyle w:val="CodeBlock"/>
      </w:pPr>
      <w:r>
        <w:t xml:space="preserve">    SourceWorkstation,</w:t>
      </w:r>
    </w:p>
    <w:p>
      <w:pPr>
        <w:pStyle w:val="CodeBlock"/>
      </w:pPr>
      <w:r>
        <w:t xml:space="preserve">    SourceIP = IpAddress,</w:t>
      </w:r>
    </w:p>
    <w:p>
      <w:pPr>
        <w:pStyle w:val="CodeBlock"/>
      </w:pPr>
      <w:r>
        <w:t xml:space="preserve">    Severity</w:t>
      </w:r>
    </w:p>
    <w:p>
      <w:pPr>
        <w:pStyle w:val="CodeBlock"/>
      </w:pPr>
      <w:r>
        <w:t xml:space="preserve">| extend Description = strcat(</w:t>
      </w:r>
    </w:p>
    <w:p>
      <w:pPr>
        <w:pStyle w:val="CodeBlock"/>
      </w:pPr>
      <w:r>
        <w:t xml:space="preserve">    "PRIVILEGE ESCALATION DETECTED: User ", ModifiedBy,</w:t>
      </w:r>
    </w:p>
    <w:p>
      <w:pPr>
        <w:pStyle w:val="CodeBlock"/>
      </w:pPr>
      <w:r>
        <w:t xml:space="preserve">    " added ", AddedUser, " to privileged group ", PrivilegedGroup,</w:t>
      </w:r>
    </w:p>
    <w:p>
      <w:pPr>
        <w:pStyle w:val="CodeBlock"/>
      </w:pPr>
      <w:r>
        <w:t xml:space="preserve">    " on ", DomainController, " from ", SourceWorkstation,</w:t>
      </w:r>
    </w:p>
    <w:p>
      <w:pPr>
        <w:pStyle w:val="CodeBlock"/>
      </w:pPr>
      <w:r>
        <w:t xml:space="preserve">    ". Verify this change is authorized."</w:t>
      </w:r>
    </w:p>
    <w:p>
      <w:pPr>
        <w:pStyle w:val="CodeBlock"/>
      </w:pPr>
      <w:r>
        <w:t xml:space="preserve">)</w:t>
      </w:r>
    </w:p>
    <w:p>
      <w:r>
        <w:br w:type="page"/>
      </w:r>
    </w:p>
    <w:p>
      <w:pPr>
        <w:pStyle w:val="Heading2"/>
      </w:pPr>
      <w:r>
        <w:t xml:space="preserve">4.5 SYSVOL and NETLOGON Share Access Monitoring</w:t>
      </w:r>
    </w:p>
    <w:p>
      <w:pPr>
        <w:spacing w:after="120"/>
      </w:pPr>
      <w:r>
        <w:rPr>
          <w:b/>
          <w:bCs/>
        </w:rPr>
        <w:t xml:space="preserve">Purpose:</w:t>
      </w:r>
      <w:r>
        <w:t xml:space="preserve"> Detect reconnaissance activities through excessive access to sensitive network shares.</w:t>
      </w:r>
    </w:p>
    <w:p>
      <w:pPr>
        <w:spacing w:after="120"/>
      </w:pPr>
      <w:r>
        <w:rPr>
          <w:b/>
          <w:bCs/>
        </w:rPr>
        <w:t xml:space="preserve">Severity:</w:t>
      </w:r>
      <w:r>
        <w:t xml:space="preserve"> Medium - May indicate reconnaissance phase of an attack</w:t>
      </w:r>
    </w:p>
    <w:p>
      <w:pPr>
        <w:pStyle w:val="CodeBlock"/>
      </w:pPr>
      <w:r>
        <w:t xml:space="preserve">// Monitor excessive access to SYSVOL and NETLOGON shares</w:t>
      </w:r>
    </w:p>
    <w:p>
      <w:pPr>
        <w:pStyle w:val="CodeBlock"/>
      </w:pPr>
      <w:r>
        <w:t xml:space="preserve">SecurityEvent</w:t>
      </w:r>
    </w:p>
    <w:p>
      <w:pPr>
        <w:pStyle w:val="CodeBlock"/>
      </w:pPr>
      <w:r>
        <w:t xml:space="preserve">| where EventID == 5140  // Network share accessed</w:t>
      </w:r>
    </w:p>
    <w:p>
      <w:pPr>
        <w:pStyle w:val="CodeBlock"/>
      </w:pPr>
      <w:r>
        <w:t xml:space="preserve">| where ShareName has_any ("SYSVOL", "NETLOGON")</w:t>
      </w:r>
    </w:p>
    <w:p>
      <w:pPr>
        <w:pStyle w:val="CodeBlock"/>
      </w:pPr>
      <w:r>
        <w:t xml:space="preserve">| where Account !endswith "$"  // Exclude machine accounts</w:t>
      </w:r>
    </w:p>
    <w:p>
      <w:pPr>
        <w:pStyle w:val="CodeBlock"/>
      </w:pPr>
      <w:r>
        <w:t xml:space="preserve">// Aggregate by user and time window</w:t>
      </w:r>
    </w:p>
    <w:p>
      <w:pPr>
        <w:pStyle w:val="CodeBlock"/>
      </w:pPr>
      <w:r>
        <w:t xml:space="preserve">| summarize</w:t>
      </w:r>
    </w:p>
    <w:p>
      <w:pPr>
        <w:pStyle w:val="CodeBlock"/>
      </w:pPr>
      <w:r>
        <w:t xml:space="preserve">    AccessCount = count(),</w:t>
      </w:r>
    </w:p>
    <w:p>
      <w:pPr>
        <w:pStyle w:val="CodeBlock"/>
      </w:pPr>
      <w:r>
        <w:t xml:space="preserve">    UniqueDCs = dcount(Computer),</w:t>
      </w:r>
    </w:p>
    <w:p>
      <w:pPr>
        <w:pStyle w:val="CodeBlock"/>
      </w:pPr>
      <w:r>
        <w:t xml:space="preserve">    AccessedFiles = make_set(RelativeTargetName, 50),</w:t>
      </w:r>
    </w:p>
    <w:p>
      <w:pPr>
        <w:pStyle w:val="CodeBlock"/>
      </w:pPr>
      <w:r>
        <w:t xml:space="preserve">    AccessedShares = make_set(ShareName),</w:t>
      </w:r>
    </w:p>
    <w:p>
      <w:pPr>
        <w:pStyle w:val="CodeBlock"/>
      </w:pPr>
      <w:r>
        <w:t xml:space="preserve">    DomainControllers = make_set(Computer)</w:t>
      </w:r>
    </w:p>
    <w:p>
      <w:pPr>
        <w:pStyle w:val="CodeBlock"/>
      </w:pPr>
      <w:r>
        <w:t xml:space="preserve">    by Account, IpAddress, bin(TimeGenerated, 10m)</w:t>
      </w:r>
    </w:p>
    <w:p>
      <w:pPr>
        <w:pStyle w:val="CodeBlock"/>
      </w:pPr>
      <w:r>
        <w:t xml:space="preserve">// Alert if more than 20 accesses in 10 minutes</w:t>
      </w:r>
    </w:p>
    <w:p>
      <w:pPr>
        <w:pStyle w:val="CodeBlock"/>
      </w:pPr>
      <w:r>
        <w:t xml:space="preserve">| where AccessCount &gt; 20</w:t>
      </w:r>
    </w:p>
    <w:p>
      <w:pPr>
        <w:pStyle w:val="CodeBlock"/>
      </w:pPr>
      <w:r>
        <w:t xml:space="preserve">| extend Severity = case(</w:t>
      </w:r>
    </w:p>
    <w:p>
      <w:pPr>
        <w:pStyle w:val="CodeBlock"/>
      </w:pPr>
      <w:r>
        <w:t xml:space="preserve">    AccessCount &gt; 100, "High",</w:t>
      </w:r>
    </w:p>
    <w:p>
      <w:pPr>
        <w:pStyle w:val="CodeBlock"/>
      </w:pPr>
      <w:r>
        <w:t xml:space="preserve">    AccessCount &gt; 50, "Medium",</w:t>
      </w:r>
    </w:p>
    <w:p>
      <w:pPr>
        <w:pStyle w:val="CodeBlock"/>
      </w:pPr>
      <w:r>
        <w:t xml:space="preserve">    "Low"</w:t>
      </w:r>
    </w:p>
    <w:p>
      <w:pPr>
        <w:pStyle w:val="CodeBlock"/>
      </w:pPr>
      <w:r>
        <w:t xml:space="preserve">)</w:t>
      </w:r>
    </w:p>
    <w:p>
      <w:pPr>
        <w:pStyle w:val="CodeBlock"/>
      </w:pPr>
      <w:r>
        <w:t xml:space="preserve">| project</w:t>
      </w:r>
    </w:p>
    <w:p>
      <w:pPr>
        <w:pStyle w:val="CodeBlock"/>
      </w:pPr>
      <w:r>
        <w:t xml:space="preserve">    TimeWindow = TimeGenerated,</w:t>
      </w:r>
    </w:p>
    <w:p>
      <w:pPr>
        <w:pStyle w:val="CodeBlock"/>
      </w:pPr>
      <w:r>
        <w:t xml:space="preserve">    SuspiciousAccount = Account,</w:t>
      </w:r>
    </w:p>
    <w:p>
      <w:pPr>
        <w:pStyle w:val="CodeBlock"/>
      </w:pPr>
      <w:r>
        <w:t xml:space="preserve">    SourceIP = IpAddress,</w:t>
      </w:r>
    </w:p>
    <w:p>
      <w:pPr>
        <w:pStyle w:val="CodeBlock"/>
      </w:pPr>
      <w:r>
        <w:t xml:space="preserve">    TotalAccesses = AccessCount,</w:t>
      </w:r>
    </w:p>
    <w:p>
      <w:pPr>
        <w:pStyle w:val="CodeBlock"/>
      </w:pPr>
      <w:r>
        <w:t xml:space="preserve">    UniqueDCsAccessed = UniqueDCs,</w:t>
      </w:r>
    </w:p>
    <w:p>
      <w:pPr>
        <w:pStyle w:val="CodeBlock"/>
      </w:pPr>
      <w:r>
        <w:t xml:space="preserve">    AccessedShares,</w:t>
      </w:r>
    </w:p>
    <w:p>
      <w:pPr>
        <w:pStyle w:val="CodeBlock"/>
      </w:pPr>
      <w:r>
        <w:t xml:space="preserve">    SampleFilesAccessed = AccessedFiles,</w:t>
      </w:r>
    </w:p>
    <w:p>
      <w:pPr>
        <w:pStyle w:val="CodeBlock"/>
      </w:pPr>
      <w:r>
        <w:t xml:space="preserve">    DomainControllers,</w:t>
      </w:r>
    </w:p>
    <w:p>
      <w:pPr>
        <w:pStyle w:val="CodeBlock"/>
      </w:pPr>
      <w:r>
        <w:t xml:space="preserve">    Severity</w:t>
      </w:r>
    </w:p>
    <w:p>
      <w:pPr>
        <w:pStyle w:val="CodeBlock"/>
      </w:pPr>
      <w:r>
        <w:t xml:space="preserve">| extend Description = strcat(</w:t>
      </w:r>
    </w:p>
    <w:p>
      <w:pPr>
        <w:pStyle w:val="CodeBlock"/>
      </w:pPr>
      <w:r>
        <w:t xml:space="preserve">    "POSSIBLE RECONNAISSANCE: Account ", SuspiciousAccount,</w:t>
      </w:r>
    </w:p>
    <w:p>
      <w:pPr>
        <w:pStyle w:val="CodeBlock"/>
      </w:pPr>
      <w:r>
        <w:t xml:space="preserve">    " accessed SYSVOL/NETLOGON shares ", TotalAccesses,</w:t>
      </w:r>
    </w:p>
    <w:p>
      <w:pPr>
        <w:pStyle w:val="CodeBlock"/>
      </w:pPr>
      <w:r>
        <w:t xml:space="preserve">    " times from ", SourceIP, " across ", UniqueDCsAccessed,</w:t>
      </w:r>
    </w:p>
    <w:p>
      <w:pPr>
        <w:pStyle w:val="CodeBlock"/>
      </w:pPr>
      <w:r>
        <w:t xml:space="preserve">    " domain controllers in 10 minutes. May indicate GPO extraction or AD enumeration."</w:t>
      </w:r>
    </w:p>
    <w:p>
      <w:pPr>
        <w:pStyle w:val="CodeBlock"/>
      </w:pPr>
      <w:r>
        <w:t xml:space="preserve">)</w:t>
      </w:r>
    </w:p>
    <w:p>
      <w:r>
        <w:br w:type="page"/>
      </w:r>
    </w:p>
    <w:p>
      <w:pPr>
        <w:pStyle w:val="Heading1"/>
      </w:pPr>
      <w:r>
        <w:t xml:space="preserve">5. Implementation Best Practices</w:t>
      </w:r>
    </w:p>
    <w:p>
      <w:pPr>
        <w:pStyle w:val="Heading2"/>
      </w:pPr>
      <w:r>
        <w:t xml:space="preserve">5.1 Data Collection Configuration</w:t>
      </w:r>
    </w:p>
    <w:p>
      <w:pPr>
        <w:spacing w:after="120"/>
      </w:pPr>
      <w:r>
        <w:rPr>
          <w:b/>
          <w:bCs/>
        </w:rPr>
        <w:t xml:space="preserve">Prerequisites:</w:t>
      </w:r>
    </w:p>
    <w:p>
      <w:pPr>
        <w:pStyle w:val="ListParagraph"/>
        <w:numPr>
          <w:ilvl w:val="0"/>
          <w:numId w:val="4"/>
        </w:numPr>
      </w:pPr>
      <w:r>
        <w:rPr>
          <w:b/>
          <w:bCs/>
        </w:rPr>
        <w:t xml:space="preserve">Enable Advanced Audit Policy:</w:t>
      </w:r>
      <w:r>
        <w:t xml:space="preserve"> Configure Group Policy to enable advanced auditing on all Domain Controllers</w:t>
      </w:r>
    </w:p>
    <w:p>
      <w:pPr>
        <w:pStyle w:val="ListParagraph"/>
        <w:numPr>
          <w:ilvl w:val="0"/>
          <w:numId w:val="4"/>
        </w:numPr>
      </w:pPr>
      <w:r>
        <w:rPr>
          <w:b/>
          <w:bCs/>
        </w:rPr>
        <w:t xml:space="preserve">Install Data Collection Agents:</w:t>
      </w:r>
      <w:r>
        <w:t xml:space="preserve"> Deploy Azure Monitor Agent (AMA) or Log Analytics Agent to all DCs</w:t>
      </w:r>
    </w:p>
    <w:p>
      <w:pPr>
        <w:pStyle w:val="ListParagraph"/>
        <w:numPr>
          <w:ilvl w:val="0"/>
          <w:numId w:val="4"/>
        </w:numPr>
      </w:pPr>
      <w:r>
        <w:rPr>
          <w:b/>
          <w:bCs/>
        </w:rPr>
        <w:t xml:space="preserve">Configure Data Connector:</w:t>
      </w:r>
      <w:r>
        <w:t xml:space="preserve"> In Microsoft Sentinel, enable the Security Events connector</w:t>
      </w:r>
    </w:p>
    <w:p>
      <w:pPr>
        <w:pStyle w:val="ListParagraph"/>
        <w:numPr>
          <w:ilvl w:val="0"/>
          <w:numId w:val="4"/>
        </w:numPr>
      </w:pPr>
      <w:r>
        <w:rPr>
          <w:b/>
          <w:bCs/>
        </w:rPr>
        <w:t xml:space="preserve">Consider Microsoft Defender for Identity:</w:t>
      </w:r>
      <w:r>
        <w:t xml:space="preserve"> For enhanced detection and behavioral analytics specific to AD environments</w:t>
      </w:r>
    </w:p>
    <w:p>
      <w:pPr>
        <w:spacing w:before="240" w:after="120"/>
      </w:pPr>
      <w:r>
        <w:rPr>
          <w:b/>
          <w:bCs/>
        </w:rPr>
        <w:t xml:space="preserve">Required Audit Policies:</w:t>
      </w:r>
    </w:p>
    <w:p>
      <w:pPr>
        <w:spacing w:after="60"/>
      </w:pPr>
      <w:r>
        <w:t xml:space="preserve">Enable the following Advanced Audit Policy settings via Group Policy (Computer Configuration → Windows Settings → Security Settings → Advanced Audit Policy Configuration):</w:t>
      </w:r>
    </w:p>
    <w:p>
      <w:pPr>
        <w:pStyle w:val="ListParagraph"/>
        <w:numPr>
          <w:ilvl w:val="0"/>
          <w:numId w:val="2"/>
        </w:numPr>
      </w:pPr>
      <w:r>
        <w:rPr>
          <w:b/>
          <w:bCs/>
        </w:rPr>
        <w:t xml:space="preserve">Account Logon:</w:t>
      </w:r>
      <w:r>
        <w:t xml:space="preserve"> Audit Kerberos Authentication Service, Audit Kerberos Service Ticket Operations</w:t>
      </w:r>
    </w:p>
    <w:p>
      <w:pPr>
        <w:pStyle w:val="ListParagraph"/>
        <w:numPr>
          <w:ilvl w:val="0"/>
          <w:numId w:val="2"/>
        </w:numPr>
      </w:pPr>
      <w:r>
        <w:rPr>
          <w:b/>
          <w:bCs/>
        </w:rPr>
        <w:t xml:space="preserve">Account Management:</w:t>
      </w:r>
      <w:r>
        <w:t xml:space="preserve"> Audit Security Group Management, Audit User Account Management</w:t>
      </w:r>
    </w:p>
    <w:p>
      <w:pPr>
        <w:pStyle w:val="ListParagraph"/>
        <w:numPr>
          <w:ilvl w:val="0"/>
          <w:numId w:val="2"/>
        </w:numPr>
      </w:pPr>
      <w:r>
        <w:rPr>
          <w:b/>
          <w:bCs/>
        </w:rPr>
        <w:t xml:space="preserve">Logon/Logoff:</w:t>
      </w:r>
      <w:r>
        <w:t xml:space="preserve"> Audit Logon, Audit Logoff</w:t>
      </w:r>
    </w:p>
    <w:p>
      <w:pPr>
        <w:pStyle w:val="ListParagraph"/>
        <w:numPr>
          <w:ilvl w:val="0"/>
          <w:numId w:val="2"/>
        </w:numPr>
      </w:pPr>
      <w:r>
        <w:rPr>
          <w:b/>
          <w:bCs/>
        </w:rPr>
        <w:t xml:space="preserve">Object Access:</w:t>
      </w:r>
      <w:r>
        <w:t xml:space="preserve"> Audit File Share</w:t>
      </w:r>
    </w:p>
    <w:p>
      <w:pPr>
        <w:pStyle w:val="ListParagraph"/>
        <w:numPr>
          <w:ilvl w:val="0"/>
          <w:numId w:val="2"/>
        </w:numPr>
      </w:pPr>
      <w:r>
        <w:rPr>
          <w:b/>
          <w:bCs/>
        </w:rPr>
        <w:t xml:space="preserve">DS Access:</w:t>
      </w:r>
      <w:r>
        <w:t xml:space="preserve"> Audit Directory Service Changes, Audit Directory Service Access</w:t>
      </w:r>
    </w:p>
    <w:p>
      <w:pPr>
        <w:pStyle w:val="Heading2"/>
      </w:pPr>
      <w:r>
        <w:t xml:space="preserve">5.2 Tuning and False Positive Reduction</w:t>
      </w:r>
    </w:p>
    <w:p>
      <w:pPr>
        <w:spacing w:after="120"/>
      </w:pPr>
      <w:r>
        <w:t xml:space="preserve">Initial deployment of these detection rules will likely generate false positives. Follow this methodology to reduce noise:</w:t>
      </w:r>
    </w:p>
    <w:p>
      <w:pPr>
        <w:pStyle w:val="ListParagraph"/>
        <w:numPr>
          <w:ilvl w:val="0"/>
          <w:numId w:val="4"/>
        </w:numPr>
      </w:pPr>
      <w:r>
        <w:rPr>
          <w:b/>
          <w:bCs/>
        </w:rPr>
        <w:t xml:space="preserve">Baseline Normal Activity:</w:t>
      </w:r>
      <w:r>
        <w:t xml:space="preserve"> Run queries in hunting mode for 1-2 weeks before creating alerts to understand normal patterns</w:t>
      </w:r>
    </w:p>
    <w:p>
      <w:pPr>
        <w:pStyle w:val="ListParagraph"/>
        <w:numPr>
          <w:ilvl w:val="0"/>
          <w:numId w:val="4"/>
        </w:numPr>
      </w:pPr>
      <w:r>
        <w:rPr>
          <w:b/>
          <w:bCs/>
        </w:rPr>
        <w:t xml:space="preserve">Create Exclusion Lists:</w:t>
      </w:r>
      <w:r>
        <w:t xml:space="preserve"> Maintain lists of authorized admin accounts, service accounts, and known IP ranges</w:t>
      </w:r>
    </w:p>
    <w:p>
      <w:pPr>
        <w:pStyle w:val="ListParagraph"/>
        <w:numPr>
          <w:ilvl w:val="0"/>
          <w:numId w:val="4"/>
        </w:numPr>
      </w:pPr>
      <w:r>
        <w:rPr>
          <w:b/>
          <w:bCs/>
        </w:rPr>
        <w:t xml:space="preserve">Adjust Thresholds:</w:t>
      </w:r>
      <w:r>
        <w:t xml:space="preserve"> Modify count thresholds based on your environment size and normal activity levels</w:t>
      </w:r>
    </w:p>
    <w:p>
      <w:pPr>
        <w:pStyle w:val="ListParagraph"/>
        <w:numPr>
          <w:ilvl w:val="0"/>
          <w:numId w:val="4"/>
        </w:numPr>
      </w:pPr>
      <w:r>
        <w:rPr>
          <w:b/>
          <w:bCs/>
        </w:rPr>
        <w:t xml:space="preserve">Time-Based Filtering:</w:t>
      </w:r>
      <w:r>
        <w:t xml:space="preserve"> Consider business hours vs. non-business hours - activity outside business hours is more suspicious</w:t>
      </w:r>
    </w:p>
    <w:p>
      <w:pPr>
        <w:pStyle w:val="ListParagraph"/>
        <w:numPr>
          <w:ilvl w:val="0"/>
          <w:numId w:val="4"/>
        </w:numPr>
      </w:pPr>
      <w:r>
        <w:rPr>
          <w:b/>
          <w:bCs/>
        </w:rPr>
        <w:t xml:space="preserve">Review and Refine:</w:t>
      </w:r>
      <w:r>
        <w:t xml:space="preserve"> Regularly review alerts and update queries based on lessons learned</w:t>
      </w:r>
    </w:p>
    <w:p>
      <w:pPr>
        <w:pStyle w:val="Heading2"/>
      </w:pPr>
      <w:r>
        <w:t xml:space="preserve">5.3 Automated Response Configuration</w:t>
      </w:r>
    </w:p>
    <w:p>
      <w:pPr>
        <w:spacing w:after="120"/>
      </w:pPr>
      <w:r>
        <w:t xml:space="preserve">Leverage Microsoft Sentinel's automation capabilities to respond to threats quickly:</w:t>
      </w:r>
    </w:p>
    <w:p>
      <w:pPr>
        <w:pStyle w:val="ListParagraph"/>
        <w:numPr>
          <w:ilvl w:val="0"/>
          <w:numId w:val="2"/>
        </w:numPr>
      </w:pPr>
      <w:r>
        <w:rPr>
          <w:b/>
          <w:bCs/>
        </w:rPr>
        <w:t xml:space="preserve">Notification Playbooks:</w:t>
      </w:r>
      <w:r>
        <w:t xml:space="preserve"> Send email/Teams/SMS notifications to SOC team for high-severity alerts</w:t>
      </w:r>
    </w:p>
    <w:p>
      <w:pPr>
        <w:pStyle w:val="ListParagraph"/>
        <w:numPr>
          <w:ilvl w:val="0"/>
          <w:numId w:val="2"/>
        </w:numPr>
      </w:pPr>
      <w:r>
        <w:rPr>
          <w:b/>
          <w:bCs/>
        </w:rPr>
        <w:t xml:space="preserve">Containment Playbooks:</w:t>
      </w:r>
      <w:r>
        <w:t xml:space="preserve"> Automatically disable compromised accounts or isolate affected machines</w:t>
      </w:r>
    </w:p>
    <w:p>
      <w:pPr>
        <w:pStyle w:val="ListParagraph"/>
        <w:numPr>
          <w:ilvl w:val="0"/>
          <w:numId w:val="2"/>
        </w:numPr>
      </w:pPr>
      <w:r>
        <w:rPr>
          <w:b/>
          <w:bCs/>
        </w:rPr>
        <w:t xml:space="preserve">Enrichment Playbooks:</w:t>
      </w:r>
      <w:r>
        <w:t xml:space="preserve"> Query threat intelligence feeds or UEBA data for additional context</w:t>
      </w:r>
    </w:p>
    <w:p>
      <w:pPr>
        <w:pStyle w:val="ListParagraph"/>
        <w:numPr>
          <w:ilvl w:val="0"/>
          <w:numId w:val="2"/>
        </w:numPr>
      </w:pPr>
      <w:r>
        <w:rPr>
          <w:b/>
          <w:bCs/>
        </w:rPr>
        <w:t xml:space="preserve">Ticketing Integration:</w:t>
      </w:r>
      <w:r>
        <w:t xml:space="preserve"> Create tickets in ServiceNow, Jira, or other ITSM platforms</w:t>
      </w:r>
    </w:p>
    <w:p>
      <w:r>
        <w:br w:type="page"/>
      </w:r>
    </w:p>
    <w:p>
      <w:pPr>
        <w:pStyle w:val="Heading1"/>
      </w:pPr>
      <w:r>
        <w:t xml:space="preserve">6. MITRE ATT&amp;CK Framework Mapping</w:t>
      </w:r>
    </w:p>
    <w:p>
      <w:pPr>
        <w:spacing w:after="120"/>
      </w:pPr>
      <w:r>
        <w:t xml:space="preserve">Understanding how detected activities map to the MITRE ATT&amp;CK framework helps with threat intelligence, incident response prioritization, and communicating with stakeholders.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800"/>
        <w:gridCol w:w="2800"/>
        <w:gridCol w:w="3760"/>
      </w:tblGrid>
      <w:tr>
        <w:trPr>
          <w:tblHeader/>
        </w:trPr>
        <w:tc>
          <w:tcPr>
            <w:tcW w:type="dxa" w:w="2800"/>
            <w:tcBorders>
              <w:top w:val="single" w:color="CCCCCC" w:sz="1"/>
              <w:left w:val="single" w:color="CCCCCC" w:sz="1"/>
              <w:bottom w:val="single" w:color="CCCCCC" w:sz="1"/>
              <w:right w:val="single" w:color="CCCCCC" w:sz="1"/>
            </w:tcBorders>
            <w:shd w:fill="5B9BD5" w:val="clear"/>
          </w:tcPr>
          <w:p>
            <w:pPr>
              <w:jc w:val="center"/>
            </w:pPr>
            <w:r>
              <w:rPr>
                <w:b/>
                <w:bCs/>
                <w:color w:val="FFFFFF"/>
                <w:sz w:val="22"/>
                <w:szCs w:val="22"/>
              </w:rPr>
              <w:t xml:space="preserve">Detection Rule</w:t>
            </w:r>
          </w:p>
        </w:tc>
        <w:tc>
          <w:tcPr>
            <w:tcW w:type="dxa" w:w="2800"/>
            <w:tcBorders>
              <w:top w:val="single" w:color="CCCCCC" w:sz="1"/>
              <w:left w:val="single" w:color="CCCCCC" w:sz="1"/>
              <w:bottom w:val="single" w:color="CCCCCC" w:sz="1"/>
              <w:right w:val="single" w:color="CCCCCC" w:sz="1"/>
            </w:tcBorders>
            <w:shd w:fill="5B9BD5" w:val="clear"/>
          </w:tcPr>
          <w:p>
            <w:pPr>
              <w:jc w:val="center"/>
            </w:pPr>
            <w:r>
              <w:rPr>
                <w:b/>
                <w:bCs/>
                <w:color w:val="FFFFFF"/>
                <w:sz w:val="22"/>
                <w:szCs w:val="22"/>
              </w:rPr>
              <w:t xml:space="preserve">MITRE Technique</w:t>
            </w:r>
          </w:p>
        </w:tc>
        <w:tc>
          <w:tcPr>
            <w:tcW w:type="dxa" w:w="3760"/>
            <w:tcBorders>
              <w:top w:val="single" w:color="CCCCCC" w:sz="1"/>
              <w:left w:val="single" w:color="CCCCCC" w:sz="1"/>
              <w:bottom w:val="single" w:color="CCCCCC" w:sz="1"/>
              <w:right w:val="single" w:color="CCCCCC" w:sz="1"/>
            </w:tcBorders>
            <w:shd w:fill="5B9BD5" w:val="clear"/>
          </w:tcPr>
          <w:p>
            <w:pPr>
              <w:jc w:val="center"/>
            </w:pPr>
            <w:r>
              <w:rPr>
                <w:b/>
                <w:bCs/>
                <w:color w:val="FFFFFF"/>
                <w:sz w:val="22"/>
                <w:szCs w:val="22"/>
              </w:rPr>
              <w:t xml:space="preserve">Tactic</w:t>
            </w:r>
          </w:p>
        </w:tc>
      </w:tr>
      <w:tr>
        <w:tc>
          <w:tcPr>
            <w:tcW w:type="dxa" w:w="2800"/>
            <w:tcBorders>
              <w:top w:val="single" w:color="CCCCCC" w:sz="1"/>
              <w:left w:val="single" w:color="CCCCCC" w:sz="1"/>
              <w:bottom w:val="single" w:color="CCCCCC" w:sz="1"/>
              <w:right w:val="single" w:color="CCCCCC" w:sz="1"/>
            </w:tcBorders>
          </w:tcPr>
          <w:p>
            <w:r>
              <w:t xml:space="preserve">Direct DC Access</w:t>
            </w:r>
          </w:p>
        </w:tc>
        <w:tc>
          <w:tcPr>
            <w:tcW w:type="dxa" w:w="2800"/>
            <w:tcBorders>
              <w:top w:val="single" w:color="CCCCCC" w:sz="1"/>
              <w:left w:val="single" w:color="CCCCCC" w:sz="1"/>
              <w:bottom w:val="single" w:color="CCCCCC" w:sz="1"/>
              <w:right w:val="single" w:color="CCCCCC" w:sz="1"/>
            </w:tcBorders>
          </w:tcPr>
          <w:p>
            <w:r>
              <w:t xml:space="preserve">T1078 - Valid Accounts</w:t>
            </w:r>
          </w:p>
        </w:tc>
        <w:tc>
          <w:tcPr>
            <w:tcW w:type="dxa" w:w="3760"/>
            <w:tcBorders>
              <w:top w:val="single" w:color="CCCCCC" w:sz="1"/>
              <w:left w:val="single" w:color="CCCCCC" w:sz="1"/>
              <w:bottom w:val="single" w:color="CCCCCC" w:sz="1"/>
              <w:right w:val="single" w:color="CCCCCC" w:sz="1"/>
            </w:tcBorders>
          </w:tcPr>
          <w:p>
            <w:r>
              <w:t xml:space="preserve">TA0008 - Lateral Movement</w:t>
            </w:r>
          </w:p>
          <w:p>
            <w:r>
              <w:t xml:space="preserve">TA0004 - Privilege Escalation</w:t>
            </w:r>
          </w:p>
        </w:tc>
      </w:tr>
      <w:tr>
        <w:tc>
          <w:tcPr>
            <w:tcW w:type="dxa" w:w="2800"/>
            <w:tcBorders>
              <w:top w:val="single" w:color="CCCCCC" w:sz="1"/>
              <w:left w:val="single" w:color="CCCCCC" w:sz="1"/>
              <w:bottom w:val="single" w:color="CCCCCC" w:sz="1"/>
              <w:right w:val="single" w:color="CCCCCC" w:sz="1"/>
            </w:tcBorders>
          </w:tcPr>
          <w:p>
            <w:r>
              <w:t xml:space="preserve">Kerberoasting</w:t>
            </w:r>
          </w:p>
        </w:tc>
        <w:tc>
          <w:tcPr>
            <w:tcW w:type="dxa" w:w="2800"/>
            <w:tcBorders>
              <w:top w:val="single" w:color="CCCCCC" w:sz="1"/>
              <w:left w:val="single" w:color="CCCCCC" w:sz="1"/>
              <w:bottom w:val="single" w:color="CCCCCC" w:sz="1"/>
              <w:right w:val="single" w:color="CCCCCC" w:sz="1"/>
            </w:tcBorders>
          </w:tcPr>
          <w:p>
            <w:r>
              <w:t xml:space="preserve">T1558.003 - Kerberoasting</w:t>
            </w:r>
          </w:p>
        </w:tc>
        <w:tc>
          <w:tcPr>
            <w:tcW w:type="dxa" w:w="3760"/>
            <w:tcBorders>
              <w:top w:val="single" w:color="CCCCCC" w:sz="1"/>
              <w:left w:val="single" w:color="CCCCCC" w:sz="1"/>
              <w:bottom w:val="single" w:color="CCCCCC" w:sz="1"/>
              <w:right w:val="single" w:color="CCCCCC" w:sz="1"/>
            </w:tcBorders>
          </w:tcPr>
          <w:p>
            <w:r>
              <w:t xml:space="preserve">TA0006 - Credential Access</w:t>
            </w:r>
          </w:p>
        </w:tc>
      </w:tr>
      <w:tr>
        <w:tc>
          <w:tcPr>
            <w:tcW w:type="dxa" w:w="2800"/>
            <w:tcBorders>
              <w:top w:val="single" w:color="CCCCCC" w:sz="1"/>
              <w:left w:val="single" w:color="CCCCCC" w:sz="1"/>
              <w:bottom w:val="single" w:color="CCCCCC" w:sz="1"/>
              <w:right w:val="single" w:color="CCCCCC" w:sz="1"/>
            </w:tcBorders>
          </w:tcPr>
          <w:p>
            <w:r>
              <w:t xml:space="preserve">Golden Ticket</w:t>
            </w:r>
          </w:p>
        </w:tc>
        <w:tc>
          <w:tcPr>
            <w:tcW w:type="dxa" w:w="2800"/>
            <w:tcBorders>
              <w:top w:val="single" w:color="CCCCCC" w:sz="1"/>
              <w:left w:val="single" w:color="CCCCCC" w:sz="1"/>
              <w:bottom w:val="single" w:color="CCCCCC" w:sz="1"/>
              <w:right w:val="single" w:color="CCCCCC" w:sz="1"/>
            </w:tcBorders>
          </w:tcPr>
          <w:p>
            <w:r>
              <w:t xml:space="preserve">T1558.001 - Golden Ticket</w:t>
            </w:r>
          </w:p>
        </w:tc>
        <w:tc>
          <w:tcPr>
            <w:tcW w:type="dxa" w:w="3760"/>
            <w:tcBorders>
              <w:top w:val="single" w:color="CCCCCC" w:sz="1"/>
              <w:left w:val="single" w:color="CCCCCC" w:sz="1"/>
              <w:bottom w:val="single" w:color="CCCCCC" w:sz="1"/>
              <w:right w:val="single" w:color="CCCCCC" w:sz="1"/>
            </w:tcBorders>
          </w:tcPr>
          <w:p>
            <w:r>
              <w:t xml:space="preserve">TA0006 - Credential Access</w:t>
            </w:r>
          </w:p>
          <w:p>
            <w:r>
              <w:t xml:space="preserve">TA0003 - Persistence</w:t>
            </w:r>
          </w:p>
        </w:tc>
      </w:tr>
      <w:tr>
        <w:tc>
          <w:tcPr>
            <w:tcW w:type="dxa" w:w="2800"/>
            <w:tcBorders>
              <w:top w:val="single" w:color="CCCCCC" w:sz="1"/>
              <w:left w:val="single" w:color="CCCCCC" w:sz="1"/>
              <w:bottom w:val="single" w:color="CCCCCC" w:sz="1"/>
              <w:right w:val="single" w:color="CCCCCC" w:sz="1"/>
            </w:tcBorders>
          </w:tcPr>
          <w:p>
            <w:r>
              <w:t xml:space="preserve">Privileged Group Changes</w:t>
            </w:r>
          </w:p>
        </w:tc>
        <w:tc>
          <w:tcPr>
            <w:tcW w:type="dxa" w:w="2800"/>
            <w:tcBorders>
              <w:top w:val="single" w:color="CCCCCC" w:sz="1"/>
              <w:left w:val="single" w:color="CCCCCC" w:sz="1"/>
              <w:bottom w:val="single" w:color="CCCCCC" w:sz="1"/>
              <w:right w:val="single" w:color="CCCCCC" w:sz="1"/>
            </w:tcBorders>
          </w:tcPr>
          <w:p>
            <w:r>
              <w:t xml:space="preserve">T1098 - Account Manipulation</w:t>
            </w:r>
          </w:p>
        </w:tc>
        <w:tc>
          <w:tcPr>
            <w:tcW w:type="dxa" w:w="3760"/>
            <w:tcBorders>
              <w:top w:val="single" w:color="CCCCCC" w:sz="1"/>
              <w:left w:val="single" w:color="CCCCCC" w:sz="1"/>
              <w:bottom w:val="single" w:color="CCCCCC" w:sz="1"/>
              <w:right w:val="single" w:color="CCCCCC" w:sz="1"/>
            </w:tcBorders>
          </w:tcPr>
          <w:p>
            <w:r>
              <w:t xml:space="preserve">TA0004 - Privilege Escalation</w:t>
            </w:r>
          </w:p>
          <w:p>
            <w:r>
              <w:t xml:space="preserve">TA0003 - Persistence</w:t>
            </w:r>
          </w:p>
        </w:tc>
      </w:tr>
      <w:tr>
        <w:tc>
          <w:tcPr>
            <w:tcW w:type="dxa" w:w="2800"/>
            <w:tcBorders>
              <w:top w:val="single" w:color="CCCCCC" w:sz="1"/>
              <w:left w:val="single" w:color="CCCCCC" w:sz="1"/>
              <w:bottom w:val="single" w:color="CCCCCC" w:sz="1"/>
              <w:right w:val="single" w:color="CCCCCC" w:sz="1"/>
            </w:tcBorders>
          </w:tcPr>
          <w:p>
            <w:r>
              <w:t xml:space="preserve">SYSVOL/NETLOGON Access</w:t>
            </w:r>
          </w:p>
        </w:tc>
        <w:tc>
          <w:tcPr>
            <w:tcW w:type="dxa" w:w="2800"/>
            <w:tcBorders>
              <w:top w:val="single" w:color="CCCCCC" w:sz="1"/>
              <w:left w:val="single" w:color="CCCCCC" w:sz="1"/>
              <w:bottom w:val="single" w:color="CCCCCC" w:sz="1"/>
              <w:right w:val="single" w:color="CCCCCC" w:sz="1"/>
            </w:tcBorders>
          </w:tcPr>
          <w:p>
            <w:r>
              <w:t xml:space="preserve">T1615 - Group Policy Discovery</w:t>
            </w:r>
          </w:p>
        </w:tc>
        <w:tc>
          <w:tcPr>
            <w:tcW w:type="dxa" w:w="3760"/>
            <w:tcBorders>
              <w:top w:val="single" w:color="CCCCCC" w:sz="1"/>
              <w:left w:val="single" w:color="CCCCCC" w:sz="1"/>
              <w:bottom w:val="single" w:color="CCCCCC" w:sz="1"/>
              <w:right w:val="single" w:color="CCCCCC" w:sz="1"/>
            </w:tcBorders>
          </w:tcPr>
          <w:p>
            <w:r>
              <w:t xml:space="preserve">TA0007 - Discovery</w:t>
            </w:r>
          </w:p>
        </w:tc>
      </w:tr>
    </w:tbl>
    <w:p>
      <w:r>
        <w:br w:type="page"/>
      </w:r>
    </w:p>
    <w:p>
      <w:pPr>
        <w:pStyle w:val="Heading1"/>
      </w:pPr>
      <w:r>
        <w:t xml:space="preserve">7. Incident Response Procedures</w:t>
      </w:r>
    </w:p>
    <w:p>
      <w:pPr>
        <w:pStyle w:val="Heading2"/>
      </w:pPr>
      <w:r>
        <w:t xml:space="preserve">7.1 Direct DC Access Alert Response</w:t>
      </w:r>
    </w:p>
    <w:p>
      <w:pPr>
        <w:spacing w:after="120"/>
      </w:pPr>
      <w:r>
        <w:rPr>
          <w:b/>
          <w:bCs/>
        </w:rPr>
        <w:t xml:space="preserve">Immediate Actions:</w:t>
      </w:r>
    </w:p>
    <w:p>
      <w:pPr>
        <w:pStyle w:val="ListParagraph"/>
        <w:numPr>
          <w:ilvl w:val="0"/>
          <w:numId w:val="4"/>
        </w:numPr>
      </w:pPr>
      <w:r>
        <w:t xml:space="preserve">Verify if the account is authorized to access the DC</w:t>
      </w:r>
    </w:p>
    <w:p>
      <w:pPr>
        <w:pStyle w:val="ListParagraph"/>
        <w:numPr>
          <w:ilvl w:val="0"/>
          <w:numId w:val="4"/>
        </w:numPr>
      </w:pPr>
      <w:r>
        <w:t xml:space="preserve">Check if the access was from an expected location (source IP/hostname)</w:t>
      </w:r>
    </w:p>
    <w:p>
      <w:pPr>
        <w:pStyle w:val="ListParagraph"/>
        <w:numPr>
          <w:ilvl w:val="0"/>
          <w:numId w:val="4"/>
        </w:numPr>
      </w:pPr>
      <w:r>
        <w:t xml:space="preserve">Review what activities the account performed on the DC</w:t>
      </w:r>
    </w:p>
    <w:p>
      <w:pPr>
        <w:pStyle w:val="ListParagraph"/>
        <w:numPr>
          <w:ilvl w:val="0"/>
          <w:numId w:val="4"/>
        </w:numPr>
      </w:pPr>
      <w:r>
        <w:t xml:space="preserve">If unauthorized: Immediately disable the account and reset password</w:t>
      </w:r>
    </w:p>
    <w:p>
      <w:pPr>
        <w:pStyle w:val="ListParagraph"/>
        <w:numPr>
          <w:ilvl w:val="0"/>
          <w:numId w:val="4"/>
        </w:numPr>
      </w:pPr>
      <w:r>
        <w:t xml:space="preserve">Investigate how the account credentials were compromised</w:t>
      </w:r>
    </w:p>
    <w:p>
      <w:pPr>
        <w:pStyle w:val="Heading2"/>
        <w:spacing w:before="240"/>
      </w:pPr>
      <w:r>
        <w:t xml:space="preserve">7.2 Kerberoasting Detection Response</w:t>
      </w:r>
    </w:p>
    <w:p>
      <w:pPr>
        <w:spacing w:after="120"/>
      </w:pPr>
      <w:r>
        <w:rPr>
          <w:b/>
          <w:bCs/>
        </w:rPr>
        <w:t xml:space="preserve">Immediate Actions:</w:t>
      </w:r>
    </w:p>
    <w:p>
      <w:pPr>
        <w:pStyle w:val="ListParagraph"/>
        <w:numPr>
          <w:ilvl w:val="0"/>
          <w:numId w:val="4"/>
        </w:numPr>
      </w:pPr>
      <w:r>
        <w:t xml:space="preserve">Identify all service accounts that were targeted</w:t>
      </w:r>
    </w:p>
    <w:p>
      <w:pPr>
        <w:pStyle w:val="ListParagraph"/>
        <w:numPr>
          <w:ilvl w:val="0"/>
          <w:numId w:val="4"/>
        </w:numPr>
      </w:pPr>
      <w:r>
        <w:t xml:space="preserve">Reset passwords for targeted service accounts immediately</w:t>
      </w:r>
    </w:p>
    <w:p>
      <w:pPr>
        <w:pStyle w:val="ListParagraph"/>
        <w:numPr>
          <w:ilvl w:val="0"/>
          <w:numId w:val="4"/>
        </w:numPr>
      </w:pPr>
      <w:r>
        <w:t xml:space="preserve">Ensure service account passwords are long (25+ characters) and complex</w:t>
      </w:r>
    </w:p>
    <w:p>
      <w:pPr>
        <w:pStyle w:val="ListParagraph"/>
        <w:numPr>
          <w:ilvl w:val="0"/>
          <w:numId w:val="4"/>
        </w:numPr>
      </w:pPr>
      <w:r>
        <w:t xml:space="preserve">Investigate the source account performing the ticket requests</w:t>
      </w:r>
    </w:p>
    <w:p>
      <w:pPr>
        <w:pStyle w:val="ListParagraph"/>
        <w:numPr>
          <w:ilvl w:val="0"/>
          <w:numId w:val="4"/>
        </w:numPr>
      </w:pPr>
      <w:r>
        <w:t xml:space="preserve">Check for any suspicious logons or lateral movement from the source account</w:t>
      </w:r>
    </w:p>
    <w:p>
      <w:pPr>
        <w:pStyle w:val="Heading2"/>
        <w:spacing w:before="240"/>
      </w:pPr>
      <w:r>
        <w:t xml:space="preserve">7.3 Golden Ticket Detection Response</w:t>
      </w:r>
    </w:p>
    <w:p>
      <w:pPr>
        <w:spacing w:after="120"/>
      </w:pPr>
      <w:r>
        <w:rPr>
          <w:b/>
          <w:bCs/>
          <w:u w:val="single"/>
        </w:rPr>
        <w:t xml:space="preserve">Critical Actions (Domain-Wide Compromise):</w:t>
      </w:r>
    </w:p>
    <w:p>
      <w:pPr>
        <w:pStyle w:val="ListParagraph"/>
        <w:numPr>
          <w:ilvl w:val="0"/>
          <w:numId w:val="4"/>
        </w:numPr>
      </w:pPr>
      <w:r>
        <w:t xml:space="preserve">Assume complete domain compromise - activate full incident response team</w:t>
      </w:r>
    </w:p>
    <w:p>
      <w:pPr>
        <w:pStyle w:val="ListParagraph"/>
        <w:numPr>
          <w:ilvl w:val="0"/>
          <w:numId w:val="4"/>
        </w:numPr>
      </w:pPr>
      <w:r>
        <w:t xml:space="preserve">Reset KRBTGT account password TWICE (wait 10 hours between resets)</w:t>
      </w:r>
    </w:p>
    <w:p>
      <w:pPr>
        <w:pStyle w:val="ListParagraph"/>
        <w:numPr>
          <w:ilvl w:val="0"/>
          <w:numId w:val="4"/>
        </w:numPr>
      </w:pPr>
      <w:r>
        <w:t xml:space="preserve">Reset passwords for ALL privileged accounts</w:t>
      </w:r>
    </w:p>
    <w:p>
      <w:pPr>
        <w:pStyle w:val="ListParagraph"/>
        <w:numPr>
          <w:ilvl w:val="0"/>
          <w:numId w:val="4"/>
        </w:numPr>
      </w:pPr>
      <w:r>
        <w:t xml:space="preserve">Investigate how attackers gained Domain Admin access initially</w:t>
      </w:r>
    </w:p>
    <w:p>
      <w:pPr>
        <w:pStyle w:val="ListParagraph"/>
        <w:numPr>
          <w:ilvl w:val="0"/>
          <w:numId w:val="4"/>
        </w:numPr>
      </w:pPr>
      <w:r>
        <w:t xml:space="preserve">Search for persistence mechanisms (backdoors, scheduled tasks, registry keys)</w:t>
      </w:r>
    </w:p>
    <w:p>
      <w:pPr>
        <w:pStyle w:val="ListParagraph"/>
        <w:numPr>
          <w:ilvl w:val="0"/>
          <w:numId w:val="4"/>
        </w:numPr>
      </w:pPr>
      <w:r>
        <w:t xml:space="preserve">Consider engaging external incident response specialists</w:t>
      </w:r>
    </w:p>
    <w:p>
      <w:r>
        <w:br w:type="page"/>
      </w:r>
    </w:p>
    <w:p>
      <w:pPr>
        <w:pStyle w:val="Heading1"/>
      </w:pPr>
      <w:r>
        <w:t xml:space="preserve">8. Conclusion and Next Steps</w:t>
      </w:r>
    </w:p>
    <w:p>
      <w:pPr>
        <w:spacing w:after="120"/>
      </w:pPr>
      <w:r>
        <w:t xml:space="preserve">Effective Domain Controller monitoring is a critical component of any defense-in-depth strategy. By implementing the detection rules and best practices outlined in this guide, organizations can significantly improve their ability to detect and respond to threats targeting Active Directory infrastructure.</w:t>
      </w:r>
    </w:p>
    <w:p>
      <w:pPr>
        <w:spacing w:after="120"/>
      </w:pPr>
      <w:r>
        <w:rPr>
          <w:b/>
          <w:bCs/>
        </w:rPr>
        <w:t xml:space="preserve">Immediate Next Steps:</w:t>
      </w:r>
    </w:p>
    <w:p>
      <w:pPr>
        <w:pStyle w:val="ListParagraph"/>
        <w:numPr>
          <w:ilvl w:val="0"/>
          <w:numId w:val="4"/>
        </w:numPr>
      </w:pPr>
      <w:r>
        <w:t xml:space="preserve">Verify proper audit policy configuration on all Domain Controllers</w:t>
      </w:r>
    </w:p>
    <w:p>
      <w:pPr>
        <w:pStyle w:val="ListParagraph"/>
        <w:numPr>
          <w:ilvl w:val="0"/>
          <w:numId w:val="4"/>
        </w:numPr>
      </w:pPr>
      <w:r>
        <w:t xml:space="preserve">Deploy data collection agents and confirm data is flowing to Microsoft Sentinel</w:t>
      </w:r>
    </w:p>
    <w:p>
      <w:pPr>
        <w:pStyle w:val="ListParagraph"/>
        <w:numPr>
          <w:ilvl w:val="0"/>
          <w:numId w:val="4"/>
        </w:numPr>
      </w:pPr>
      <w:r>
        <w:t xml:space="preserve">Implement detection rules in testing/hunting mode for initial baselining</w:t>
      </w:r>
    </w:p>
    <w:p>
      <w:pPr>
        <w:pStyle w:val="ListParagraph"/>
        <w:numPr>
          <w:ilvl w:val="0"/>
          <w:numId w:val="4"/>
        </w:numPr>
      </w:pPr>
      <w:r>
        <w:t xml:space="preserve">Document authorized administrator accounts and expected DC access patterns</w:t>
      </w:r>
    </w:p>
    <w:p>
      <w:pPr>
        <w:pStyle w:val="ListParagraph"/>
        <w:numPr>
          <w:ilvl w:val="0"/>
          <w:numId w:val="4"/>
        </w:numPr>
      </w:pPr>
      <w:r>
        <w:t xml:space="preserve">Create runbooks for incident response procedures</w:t>
      </w:r>
    </w:p>
    <w:p>
      <w:pPr>
        <w:pStyle w:val="ListParagraph"/>
        <w:numPr>
          <w:ilvl w:val="0"/>
          <w:numId w:val="4"/>
        </w:numPr>
      </w:pPr>
      <w:r>
        <w:t xml:space="preserve">Schedule regular reviews of alerts and rule effectiveness</w:t>
      </w:r>
    </w:p>
    <w:p>
      <w:pPr>
        <w:spacing w:before="240" w:after="120"/>
      </w:pPr>
      <w:r>
        <w:rPr>
          <w:b/>
          <w:bCs/>
        </w:rPr>
        <w:t xml:space="preserve">Additional Resources:</w:t>
      </w:r>
    </w:p>
    <w:p>
      <w:pPr>
        <w:pStyle w:val="ListParagraph"/>
        <w:numPr>
          <w:ilvl w:val="0"/>
          <w:numId w:val="2"/>
        </w:numPr>
      </w:pPr>
      <w:r>
        <w:t xml:space="preserve">Microsoft Sentinel Documentation: </w:t>
      </w:r>
      <w:hyperlink w:history="1" r:id="rIdvkt4ubd_ugqbduewti-qi">
        <w:r>
          <w:rPr>
            <w:color w:val="0563C1"/>
            <w:u w:val="single"/>
          </w:rPr>
          <w:t xml:space="preserve">https://learn.microsoft.com/azure/sentinel</w:t>
        </w:r>
      </w:hyperlink>
    </w:p>
    <w:p>
      <w:pPr>
        <w:pStyle w:val="ListParagraph"/>
        <w:numPr>
          <w:ilvl w:val="0"/>
          <w:numId w:val="2"/>
        </w:numPr>
      </w:pPr>
      <w:r>
        <w:t xml:space="preserve">MITRE ATT&amp;CK Framework: </w:t>
      </w:r>
      <w:hyperlink w:history="1" r:id="rIdnsq58mqfqszw4r4wdflrz">
        <w:r>
          <w:rPr>
            <w:color w:val="0563C1"/>
            <w:u w:val="single"/>
          </w:rPr>
          <w:t xml:space="preserve">https://attack.mitre.org</w:t>
        </w:r>
      </w:hyperlink>
    </w:p>
    <w:p>
      <w:pPr>
        <w:pStyle w:val="ListParagraph"/>
        <w:numPr>
          <w:ilvl w:val="0"/>
          <w:numId w:val="2"/>
        </w:numPr>
      </w:pPr>
      <w:r>
        <w:t xml:space="preserve">Microsoft Security Best Practices: </w:t>
      </w:r>
      <w:hyperlink w:history="1" r:id="rIdiw7chf6zyqcljopazfttp">
        <w:r>
          <w:rPr>
            <w:color w:val="0563C1"/>
            <w:u w:val="single"/>
          </w:rPr>
          <w:t xml:space="preserve">https://learn.microsoft.com/security</w:t>
        </w:r>
      </w:hyperlink>
    </w:p>
    <w:p>
      <w:pPr>
        <w:pStyle w:val="ListParagraph"/>
        <w:numPr>
          <w:ilvl w:val="0"/>
          <w:numId w:val="2"/>
        </w:numPr>
      </w:pPr>
      <w:r>
        <w:t xml:space="preserve">KQL Query Samples Repository: </w:t>
      </w:r>
      <w:hyperlink w:history="1" r:id="rIdy6gd5i0alfk9kqoyxnnvs">
        <w:r>
          <w:rPr>
            <w:color w:val="0563C1"/>
            <w:u w:val="single"/>
          </w:rPr>
          <w:t xml:space="preserve">GitHub - Azure Sentinel KQL</w:t>
        </w:r>
      </w:hyperlink>
    </w:p>
    <w:p>
      <w:pPr>
        <w:spacing w:before="480"/>
        <w:jc w:val="center"/>
      </w:pPr>
      <w:r>
        <w:rPr>
          <w:sz w:val="28"/>
          <w:szCs w:val="28"/>
        </w:rPr>
        <w:t xml:space="preserve">---</w:t>
      </w:r>
    </w:p>
    <w:p>
      <w:pPr>
        <w:spacing w:before="120"/>
        <w:jc w:val="center"/>
      </w:pPr>
      <w:r>
        <w:rPr>
          <w:i/>
          <w:iCs/>
          <w:color w:val="808080"/>
          <w:sz w:val="22"/>
          <w:szCs w:val="22"/>
        </w:rPr>
        <w:t xml:space="preserve">Document End</w:t>
      </w:r>
    </w:p>
    <w:p>
      <w:pPr>
        <w:jc w:val="center"/>
      </w:pPr>
      <w:r>
        <w:rPr>
          <w:i/>
          <w:iCs/>
          <w:color w:val="808080"/>
          <w:sz w:val="20"/>
          <w:szCs w:val="20"/>
        </w:rPr>
        <w:t xml:space="preserve">For questions or updates, please consult the latest Microsoft Sentinel documentation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240"/>
      <w:jc w:val="center"/>
    </w:pPr>
    <w:rPr>
      <w:rFonts w:ascii="Arial" w:cs="Arial" w:eastAsia="Arial" w:hAnsi="Arial"/>
      <w:b/>
      <w:bCs/>
      <w:color w:val="1F4E78"/>
      <w:sz w:val="56"/>
      <w:szCs w:val="56"/>
    </w:rPr>
  </w:style>
  <w:style w:type="paragraph" w:styleId="Heading1">
    <w:name w:val="Heading 1"/>
    <w:basedOn w:val="Normal"/>
    <w:next w:val="Normal"/>
    <w:qFormat/>
    <w:pPr>
      <w:spacing w:before="360" w:after="180"/>
      <w:outlineLvl w:val="0"/>
    </w:pPr>
    <w:rPr>
      <w:rFonts w:ascii="Arial" w:cs="Arial" w:eastAsia="Arial" w:hAnsi="Arial"/>
      <w:b/>
      <w:bCs/>
      <w:color w:val="1F4E78"/>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5"/>
      <w:sz w:val="28"/>
      <w:szCs w:val="28"/>
    </w:rPr>
  </w:style>
  <w:style w:type="paragraph" w:styleId="Heading3">
    <w:name w:val="Heading 3"/>
    <w:basedOn w:val="Normal"/>
    <w:next w:val="Normal"/>
    <w:qFormat/>
    <w:pPr>
      <w:spacing w:before="180" w:after="120"/>
      <w:outlineLvl w:val="2"/>
    </w:pPr>
    <w:rPr>
      <w:rFonts w:ascii="Arial" w:cs="Arial" w:eastAsia="Arial" w:hAnsi="Arial"/>
      <w:b/>
      <w:bCs/>
      <w:color w:val="5B9BD5"/>
      <w:sz w:val="24"/>
      <w:szCs w:val="24"/>
    </w:rPr>
  </w:style>
  <w:style w:type="paragraph" w:styleId="CodeBlock">
    <w:name w:val="Code Block"/>
    <w:basedOn w:val="Normal"/>
    <w:pPr>
      <w:spacing w:before="120" w:after="120"/>
      <w:ind w:left="360"/>
    </w:pPr>
    <w:rPr>
      <w:rFonts w:ascii="Courier New" w:cs="Courier New" w:eastAsia="Courier New" w:hAnsi="Courier New"/>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vkt4ubd_ugqbduewti-qi" Type="http://schemas.openxmlformats.org/officeDocument/2006/relationships/hyperlink" Target="https://learn.microsoft.com/azure/sentinel" TargetMode="External"/><Relationship Id="rIdnsq58mqfqszw4r4wdflrz" Type="http://schemas.openxmlformats.org/officeDocument/2006/relationships/hyperlink" Target="https://attack.mitre.org" TargetMode="External"/><Relationship Id="rIdiw7chf6zyqcljopazfttp" Type="http://schemas.openxmlformats.org/officeDocument/2006/relationships/hyperlink" Target="https://learn.microsoft.com/security" TargetMode="External"/><Relationship Id="rIdy6gd5i0alfk9kqoyxnnvs" Type="http://schemas.openxmlformats.org/officeDocument/2006/relationships/hyperlink" Target="https://github.com/Azure/Azure-Sentinel" TargetMode="External"/><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2025-11-03T10:46:36.103Z</dcterms:created>
  <dcterms:modified xsi:type="dcterms:W3CDTF">2025-11-03T10:46:36.104Z</dcterms:modified>
</cp:coreProperties>
</file>

<file path=docProps/custom.xml><?xml version="1.0" encoding="utf-8"?>
<Properties xmlns="http://schemas.openxmlformats.org/officeDocument/2006/custom-properties" xmlns:vt="http://schemas.openxmlformats.org/officeDocument/2006/docPropsVTypes"/>
</file>