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دليل التطبيق الشامل</w:t>
      </w:r>
    </w:p>
    <w:p>
      <w:pPr>
        <w:spacing w:after="60"/>
        <w:jc w:val="center"/>
      </w:pPr>
      <w:r>
        <w:rPr>
          <w:b/>
          <w:bCs/>
          <w:color w:val="2E75B5"/>
          <w:sz w:val="40"/>
          <w:szCs w:val="40"/>
        </w:rPr>
        <w:t xml:space="preserve">Microsoft Defender for Identity</w:t>
      </w:r>
    </w:p>
    <w:p>
      <w:pPr>
        <w:spacing w:before="120" w:after="120"/>
        <w:jc w:val="center"/>
      </w:pPr>
      <w:r>
        <w:rPr>
          <w:i/>
          <w:iCs/>
          <w:color w:val="5B9BD5"/>
          <w:sz w:val="28"/>
          <w:szCs w:val="28"/>
        </w:rPr>
        <w:t xml:space="preserve">الحماية المتقدمة لبنية Active Directory</w:t>
      </w:r>
    </w:p>
    <w:p>
      <w:pPr>
        <w:spacing w:before="360" w:after="120"/>
        <w:jc w:val="center"/>
      </w:pPr>
      <w:r>
        <w:rPr>
          <w:b/>
          <w:bCs/>
          <w:sz w:val="24"/>
          <w:szCs w:val="24"/>
        </w:rPr>
        <w:t xml:space="preserve">الإصدار 2.0 - نوفمبر 2025</w:t>
      </w:r>
    </w:p>
    <w:p>
      <w:pPr>
        <w:spacing w:before="600"/>
        <w:jc w:val="center"/>
      </w:pPr>
      <w:r>
        <w:rPr>
          <w:color w:val="808080"/>
          <w:sz w:val="26"/>
          <w:szCs w:val="26"/>
        </w:rPr>
        <w:t xml:space="preserve">دليل عملي خطوة بخطوة</w:t>
      </w:r>
    </w:p>
    <w:p>
      <w:r>
        <w:br w:type="page"/>
      </w:r>
    </w:p>
    <w:p>
      <w:pPr>
        <w:pStyle w:val="Heading1"/>
      </w:pPr>
      <w:r>
        <w:t xml:space="preserve">المقدمة</w:t>
      </w:r>
    </w:p>
    <w:p>
      <w:pPr>
        <w:pStyle w:val="ArabicPara"/>
      </w:pPr>
      <w:r>
        <w:t xml:space="preserve">Microsoft Defender for Identity (المعروف سابقاً باسم Azure ATP) هو حل أمني متخصص ومتقدم مصمم خصيصاً لحماية بيئات Active Directory من الهجمات المتطورة. يوفر هذا الحل قدرات كشف وتحليل سلوكي متقدمة تعتمد على الذكاء الاصطناعي والتعلم الآلي.</w:t>
      </w:r>
    </w:p>
    <w:p>
      <w:pPr>
        <w:pStyle w:val="ArabicPara"/>
      </w:pPr>
      <w:r>
        <w:rPr>
          <w:b/>
          <w:bCs/>
          <w:sz w:val="26"/>
          <w:szCs w:val="26"/>
        </w:rPr>
        <w:t xml:space="preserve">أهمية هذا الدليل:</w:t>
      </w:r>
    </w:p>
    <w:p>
      <w:pPr>
        <w:pStyle w:val="ArabicPara"/>
      </w:pPr>
      <w:r>
        <w:t xml:space="preserve">هذا الدليل يقدم خطة تطبيق عملية وشاملة لنشر Microsoft Defender for Identity في بيئتك. سنغطي كل التفاصيل من البداية للنهاية، مع أفضل الممارسات والنصائح المستمدة من الخبرة الميدانية الفعلية.</w:t>
      </w:r>
    </w:p>
    <w:p>
      <w:pPr>
        <w:pStyle w:val="ArabicPara"/>
        <w:spacing w:before="240"/>
      </w:pPr>
      <w:r>
        <w:rPr>
          <w:b/>
          <w:bCs/>
          <w:sz w:val="26"/>
          <w:szCs w:val="26"/>
        </w:rPr>
        <w:t xml:space="preserve">ما ستتعلمه في هذا الدليل:</w:t>
      </w:r>
    </w:p>
    <w:p>
      <w:pPr>
        <w:pStyle w:val="ArabicPara"/>
        <w:numPr>
          <w:ilvl w:val="0"/>
          <w:numId w:val="2"/>
        </w:numPr>
      </w:pPr>
      <w:r>
        <w:t xml:space="preserve">المتطلبات الأساسية والتراخيص المطلوبة</w:t>
      </w:r>
    </w:p>
    <w:p>
      <w:pPr>
        <w:pStyle w:val="ArabicPara"/>
        <w:numPr>
          <w:ilvl w:val="0"/>
          <w:numId w:val="2"/>
        </w:numPr>
      </w:pPr>
      <w:r>
        <w:t xml:space="preserve">خطوات التهيئة الأولية في بوابة Microsoft 365 Defender</w:t>
      </w:r>
    </w:p>
    <w:p>
      <w:pPr>
        <w:pStyle w:val="ArabicPara"/>
        <w:numPr>
          <w:ilvl w:val="0"/>
          <w:numId w:val="2"/>
        </w:numPr>
      </w:pPr>
      <w:r>
        <w:t xml:space="preserve">تنصيب Sensors على Domain Controllers خطوة بخطوة</w:t>
      </w:r>
    </w:p>
    <w:p>
      <w:pPr>
        <w:pStyle w:val="ArabicPara"/>
        <w:numPr>
          <w:ilvl w:val="0"/>
          <w:numId w:val="2"/>
        </w:numPr>
      </w:pPr>
      <w:r>
        <w:t xml:space="preserve">ضبط وتهيئة قواعد الكشف (Detection Rules)</w:t>
      </w:r>
    </w:p>
    <w:p>
      <w:pPr>
        <w:pStyle w:val="ArabicPara"/>
        <w:numPr>
          <w:ilvl w:val="0"/>
          <w:numId w:val="2"/>
        </w:numPr>
      </w:pPr>
      <w:r>
        <w:t xml:space="preserve">التكامل مع Microsoft Sentinel وDefender XDR</w:t>
      </w:r>
    </w:p>
    <w:p>
      <w:pPr>
        <w:pStyle w:val="ArabicPara"/>
        <w:numPr>
          <w:ilvl w:val="0"/>
          <w:numId w:val="2"/>
        </w:numPr>
      </w:pPr>
      <w:r>
        <w:t xml:space="preserve">استراتيجيات تقليل التنبيهات الخاطئة (False Positives)</w:t>
      </w:r>
    </w:p>
    <w:p>
      <w:pPr>
        <w:pStyle w:val="ArabicPara"/>
        <w:numPr>
          <w:ilvl w:val="0"/>
          <w:numId w:val="2"/>
        </w:numPr>
      </w:pPr>
      <w:r>
        <w:t xml:space="preserve">الصيانة والمراقبة المستمرة</w:t>
      </w:r>
    </w:p>
    <w:p>
      <w:pPr>
        <w:pStyle w:val="ArabicPara"/>
        <w:numPr>
          <w:ilvl w:val="0"/>
          <w:numId w:val="2"/>
        </w:numPr>
      </w:pPr>
      <w:r>
        <w:t xml:space="preserve">حل المشاكل الشائعة (Troubleshooting)</w:t>
      </w:r>
    </w:p>
    <w:p>
      <w:r>
        <w:br w:type="page"/>
      </w:r>
    </w:p>
    <w:p>
      <w:pPr>
        <w:pStyle w:val="Heading1"/>
      </w:pPr>
      <w:r>
        <w:t xml:space="preserve">الفصل الأول: فهم Microsoft Defender for Identity</w:t>
      </w:r>
    </w:p>
    <w:p>
      <w:pPr>
        <w:pStyle w:val="Heading2"/>
      </w:pPr>
      <w:r>
        <w:t xml:space="preserve">1.1 ما هو Microsoft Defender for Identity؟</w:t>
      </w:r>
    </w:p>
    <w:p>
      <w:pPr>
        <w:pStyle w:val="ArabicPara"/>
      </w:pPr>
      <w:r>
        <w:t xml:space="preserve">Microsoft Defender for Identity هو حل Cloud-based متخصص في:</w:t>
      </w:r>
    </w:p>
    <w:p>
      <w:pPr>
        <w:pStyle w:val="ArabicPara"/>
        <w:numPr>
          <w:ilvl w:val="0"/>
          <w:numId w:val="2"/>
        </w:numPr>
      </w:pPr>
      <w:r>
        <w:rPr>
          <w:b/>
          <w:bCs/>
        </w:rPr>
        <w:t xml:space="preserve">كشف الهجمات المتقدمة: </w:t>
      </w:r>
      <w:r>
        <w:t xml:space="preserve">مثل Golden Ticket، Pass-the-Hash، DCSync، وKerberoasting</w:t>
      </w:r>
    </w:p>
    <w:p>
      <w:pPr>
        <w:pStyle w:val="ArabicPara"/>
        <w:numPr>
          <w:ilvl w:val="0"/>
          <w:numId w:val="2"/>
        </w:numPr>
      </w:pPr>
      <w:r>
        <w:rPr>
          <w:b/>
          <w:bCs/>
        </w:rPr>
        <w:t xml:space="preserve">التحليل السلوكي (UEBA): </w:t>
      </w:r>
      <w:r>
        <w:t xml:space="preserve">يتعلم السلوك الطبيعي للمستخدمين ويكتشف الانحرافات</w:t>
      </w:r>
    </w:p>
    <w:p>
      <w:pPr>
        <w:pStyle w:val="ArabicPara"/>
        <w:numPr>
          <w:ilvl w:val="0"/>
          <w:numId w:val="2"/>
        </w:numPr>
      </w:pPr>
      <w:r>
        <w:rPr>
          <w:b/>
          <w:bCs/>
        </w:rPr>
        <w:t xml:space="preserve">الحماية في الوقت الفعلي: </w:t>
      </w:r>
      <w:r>
        <w:t xml:space="preserve">يراقب كل أنشطة Active Directory ويحلل البروتوكولات</w:t>
      </w:r>
    </w:p>
    <w:p>
      <w:pPr>
        <w:pStyle w:val="ArabicPara"/>
        <w:numPr>
          <w:ilvl w:val="0"/>
          <w:numId w:val="2"/>
        </w:numPr>
      </w:pPr>
      <w:r>
        <w:rPr>
          <w:b/>
          <w:bCs/>
        </w:rPr>
        <w:t xml:space="preserve">التقارير الشاملة: </w:t>
      </w:r>
      <w:r>
        <w:t xml:space="preserve">يوفر رؤية واضحة عن مسارات الهجوم (Attack Paths) والثغرات</w:t>
      </w:r>
    </w:p>
    <w:p>
      <w:pPr>
        <w:pStyle w:val="Heading2"/>
      </w:pPr>
      <w:r>
        <w:t xml:space="preserve">1.2 كيف يعمل MDI؟</w:t>
      </w:r>
    </w:p>
    <w:p>
      <w:pPr>
        <w:pStyle w:val="ArabicPara"/>
      </w:pPr>
      <w:r>
        <w:rPr>
          <w:b/>
          <w:bCs/>
          <w:sz w:val="26"/>
          <w:szCs w:val="26"/>
        </w:rPr>
        <w:t xml:space="preserve">البنية المعمارية:</w:t>
      </w:r>
    </w:p>
    <w:p>
      <w:pPr>
        <w:pStyle w:val="ArabicPara"/>
      </w:pPr>
      <w:r>
        <w:t xml:space="preserve">يعتمد Defender for Identity على بنية مكونة من ثلاثة عناصر رئيسية:</w:t>
      </w:r>
    </w:p>
    <w:p>
      <w:pPr>
        <w:pStyle w:val="ArabicPara"/>
        <w:numPr>
          <w:ilvl w:val="0"/>
          <w:numId w:val="3"/>
        </w:numPr>
      </w:pPr>
      <w:r>
        <w:rPr>
          <w:b/>
          <w:bCs/>
        </w:rPr>
        <w:t xml:space="preserve">MDI Sensor: </w:t>
      </w:r>
      <w:r>
        <w:t xml:space="preserve">يُنصّب مباشرة على كل Domain Controller ويقوم بمراقبة وتحليل كل حركة المرور</w:t>
      </w:r>
    </w:p>
    <w:p>
      <w:pPr>
        <w:pStyle w:val="ArabicPara"/>
        <w:numPr>
          <w:ilvl w:val="0"/>
          <w:numId w:val="3"/>
        </w:numPr>
      </w:pPr>
      <w:r>
        <w:rPr>
          <w:b/>
          <w:bCs/>
        </w:rPr>
        <w:t xml:space="preserve">MDI Cloud Service: </w:t>
      </w:r>
      <w:r>
        <w:t xml:space="preserve">خدمة سحابية تحلل البيانات المُجمّعة باستخدام Machine Learning</w:t>
      </w:r>
    </w:p>
    <w:p>
      <w:pPr>
        <w:pStyle w:val="ArabicPara"/>
        <w:numPr>
          <w:ilvl w:val="0"/>
          <w:numId w:val="3"/>
        </w:numPr>
      </w:pPr>
      <w:r>
        <w:rPr>
          <w:b/>
          <w:bCs/>
        </w:rPr>
        <w:t xml:space="preserve">Microsoft 365 Defender Portal: </w:t>
      </w:r>
      <w:r>
        <w:t xml:space="preserve">الواجهة الموحدة لمراقبة التنبيهات والتحقيقات</w:t>
      </w:r>
    </w:p>
    <w:p>
      <w:pPr>
        <w:pStyle w:val="Heading2"/>
      </w:pPr>
      <w:r>
        <w:t xml:space="preserve">1.3 التراخيص والمتطلبات</w:t>
      </w:r>
    </w:p>
    <w:p>
      <w:pPr>
        <w:pStyle w:val="ArabicPara"/>
      </w:pPr>
      <w:r>
        <w:rPr>
          <w:b/>
          <w:bCs/>
          <w:sz w:val="26"/>
          <w:szCs w:val="26"/>
        </w:rPr>
        <w:t xml:space="preserve">المتطلبات الأساسية: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5" w:val="clear"/>
          </w:tcPr>
          <w:p>
            <w:pPr>
              <w:jc w:val="center"/>
            </w:pPr>
            <w:r>
              <w:rPr>
                <w:b/>
                <w:bCs/>
                <w:color w:val="FFFFFF"/>
                <w:sz w:val="24"/>
                <w:szCs w:val="24"/>
              </w:rPr>
              <w:t xml:space="preserve">المتطلب</w:t>
            </w:r>
          </w:p>
        </w:tc>
        <w:tc>
          <w:tcPr>
            <w:tcW w:type="dxa" w:w="6240"/>
            <w:tcBorders>
              <w:top w:val="single" w:color="CCCCCC" w:sz="1"/>
              <w:left w:val="single" w:color="CCCCCC" w:sz="1"/>
              <w:bottom w:val="single" w:color="CCCCCC" w:sz="1"/>
              <w:right w:val="single" w:color="CCCCCC" w:sz="1"/>
            </w:tcBorders>
            <w:shd w:fill="2E75B5" w:val="clear"/>
          </w:tcPr>
          <w:p>
            <w:pPr>
              <w:jc w:val="center"/>
            </w:pPr>
            <w:r>
              <w:rPr>
                <w:b/>
                <w:bCs/>
                <w:color w:val="FFFFFF"/>
                <w:sz w:val="24"/>
                <w:szCs w:val="24"/>
              </w:rPr>
              <w:t xml:space="preserve">التفاصيل</w:t>
            </w:r>
          </w:p>
        </w:tc>
      </w:tr>
      <w:tr>
        <w:tc>
          <w:tcPr>
            <w:tcW w:type="dxa" w:w="3120"/>
            <w:tcBorders>
              <w:top w:val="single" w:color="CCCCCC" w:sz="1"/>
              <w:left w:val="single" w:color="CCCCCC" w:sz="1"/>
              <w:bottom w:val="single" w:color="CCCCCC" w:sz="1"/>
              <w:right w:val="single" w:color="CCCCCC" w:sz="1"/>
            </w:tcBorders>
          </w:tcPr>
          <w:p>
            <w:r>
              <w:rPr>
                <w:b/>
                <w:bCs/>
              </w:rPr>
              <w:t xml:space="preserve">الترخيص</w:t>
            </w:r>
          </w:p>
        </w:tc>
        <w:tc>
          <w:tcPr>
            <w:tcW w:type="dxa" w:w="6240"/>
            <w:tcBorders>
              <w:top w:val="single" w:color="CCCCCC" w:sz="1"/>
              <w:left w:val="single" w:color="CCCCCC" w:sz="1"/>
              <w:bottom w:val="single" w:color="CCCCCC" w:sz="1"/>
              <w:right w:val="single" w:color="CCCCCC" w:sz="1"/>
            </w:tcBorders>
          </w:tcPr>
          <w:p>
            <w:r>
              <w:t xml:space="preserve">Microsoft 365 E5</w:t>
            </w:r>
          </w:p>
          <w:p>
            <w:r>
              <w:t xml:space="preserve">أو Microsoft 365 E5 Security</w:t>
            </w:r>
          </w:p>
          <w:p>
            <w:r>
              <w:t xml:space="preserve">أو Defender for Identity Standalone (~$5-7 per user/month)</w:t>
            </w:r>
          </w:p>
        </w:tc>
      </w:tr>
      <w:tr>
        <w:tc>
          <w:tcPr>
            <w:tcW w:type="dxa" w:w="3120"/>
            <w:tcBorders>
              <w:top w:val="single" w:color="CCCCCC" w:sz="1"/>
              <w:left w:val="single" w:color="CCCCCC" w:sz="1"/>
              <w:bottom w:val="single" w:color="CCCCCC" w:sz="1"/>
              <w:right w:val="single" w:color="CCCCCC" w:sz="1"/>
            </w:tcBorders>
          </w:tcPr>
          <w:p>
            <w:r>
              <w:rPr>
                <w:b/>
                <w:bCs/>
              </w:rPr>
              <w:t xml:space="preserve">Domain Controllers</w:t>
            </w:r>
          </w:p>
        </w:tc>
        <w:tc>
          <w:tcPr>
            <w:tcW w:type="dxa" w:w="6240"/>
            <w:tcBorders>
              <w:top w:val="single" w:color="CCCCCC" w:sz="1"/>
              <w:left w:val="single" w:color="CCCCCC" w:sz="1"/>
              <w:bottom w:val="single" w:color="CCCCCC" w:sz="1"/>
              <w:right w:val="single" w:color="CCCCCC" w:sz="1"/>
            </w:tcBorders>
          </w:tcPr>
          <w:p>
            <w:r>
              <w:t xml:space="preserve">Windows Server 2012 أو أحدث</w:t>
            </w:r>
          </w:p>
          <w:p>
            <w:r>
              <w:t xml:space="preserve">Domain/Forest Functional Level 2003 على الأقل</w:t>
            </w:r>
          </w:p>
        </w:tc>
      </w:tr>
      <w:tr>
        <w:tc>
          <w:tcPr>
            <w:tcW w:type="dxa" w:w="3120"/>
            <w:tcBorders>
              <w:top w:val="single" w:color="CCCCCC" w:sz="1"/>
              <w:left w:val="single" w:color="CCCCCC" w:sz="1"/>
              <w:bottom w:val="single" w:color="CCCCCC" w:sz="1"/>
              <w:right w:val="single" w:color="CCCCCC" w:sz="1"/>
            </w:tcBorders>
          </w:tcPr>
          <w:p>
            <w:r>
              <w:rPr>
                <w:b/>
                <w:bCs/>
              </w:rPr>
              <w:t xml:space="preserve">Hardware للـ DC</w:t>
            </w:r>
          </w:p>
        </w:tc>
        <w:tc>
          <w:tcPr>
            <w:tcW w:type="dxa" w:w="6240"/>
            <w:tcBorders>
              <w:top w:val="single" w:color="CCCCCC" w:sz="1"/>
              <w:left w:val="single" w:color="CCCCCC" w:sz="1"/>
              <w:bottom w:val="single" w:color="CCCCCC" w:sz="1"/>
              <w:right w:val="single" w:color="CCCCCC" w:sz="1"/>
            </w:tcBorders>
          </w:tcPr>
          <w:p>
            <w:r>
              <w:t xml:space="preserve">2 CPU Cores إضافية</w:t>
            </w:r>
          </w:p>
          <w:p>
            <w:r>
              <w:t xml:space="preserve">6 GB RAM إضافية</w:t>
            </w:r>
          </w:p>
          <w:p>
            <w:r>
              <w:t xml:space="preserve">مساحة تخزين: حسب حجم الـ traffic (عادة 10-50 GB)</w:t>
            </w:r>
          </w:p>
        </w:tc>
      </w:tr>
      <w:tr>
        <w:tc>
          <w:tcPr>
            <w:tcW w:type="dxa" w:w="3120"/>
            <w:tcBorders>
              <w:top w:val="single" w:color="CCCCCC" w:sz="1"/>
              <w:left w:val="single" w:color="CCCCCC" w:sz="1"/>
              <w:bottom w:val="single" w:color="CCCCCC" w:sz="1"/>
              <w:right w:val="single" w:color="CCCCCC" w:sz="1"/>
            </w:tcBorders>
          </w:tcPr>
          <w:p>
            <w:r>
              <w:rPr>
                <w:b/>
                <w:bCs/>
              </w:rPr>
              <w:t xml:space="preserve">Network</w:t>
            </w:r>
          </w:p>
        </w:tc>
        <w:tc>
          <w:tcPr>
            <w:tcW w:type="dxa" w:w="6240"/>
            <w:tcBorders>
              <w:top w:val="single" w:color="CCCCCC" w:sz="1"/>
              <w:left w:val="single" w:color="CCCCCC" w:sz="1"/>
              <w:bottom w:val="single" w:color="CCCCCC" w:sz="1"/>
              <w:right w:val="single" w:color="CCCCCC" w:sz="1"/>
            </w:tcBorders>
          </w:tcPr>
          <w:p>
            <w:r>
              <w:t xml:space="preserve">اتصال إنترنت من DCs إلى Azure (port 443 HTTPS)</w:t>
            </w:r>
          </w:p>
          <w:p>
            <w:r>
              <w:t xml:space="preserve">عرض النطاق: ~1-5 Mbps لكل DC</w:t>
            </w:r>
          </w:p>
        </w:tc>
      </w:tr>
      <w:tr>
        <w:tc>
          <w:tcPr>
            <w:tcW w:type="dxa" w:w="3120"/>
            <w:tcBorders>
              <w:top w:val="single" w:color="CCCCCC" w:sz="1"/>
              <w:left w:val="single" w:color="CCCCCC" w:sz="1"/>
              <w:bottom w:val="single" w:color="CCCCCC" w:sz="1"/>
              <w:right w:val="single" w:color="CCCCCC" w:sz="1"/>
            </w:tcBorders>
          </w:tcPr>
          <w:p>
            <w:r>
              <w:rPr>
                <w:b/>
                <w:bCs/>
              </w:rPr>
              <w:t xml:space="preserve">الصلاحيات</w:t>
            </w:r>
          </w:p>
        </w:tc>
        <w:tc>
          <w:tcPr>
            <w:tcW w:type="dxa" w:w="6240"/>
            <w:tcBorders>
              <w:top w:val="single" w:color="CCCCCC" w:sz="1"/>
              <w:left w:val="single" w:color="CCCCCC" w:sz="1"/>
              <w:bottom w:val="single" w:color="CCCCCC" w:sz="1"/>
              <w:right w:val="single" w:color="CCCCCC" w:sz="1"/>
            </w:tcBorders>
          </w:tcPr>
          <w:p>
            <w:r>
              <w:t xml:space="preserve">Global Administrator أو Security Administrator في Azure AD</w:t>
            </w:r>
          </w:p>
          <w:p>
            <w:r>
              <w:t xml:space="preserve">Domain Admin في AD (للتنصيب)</w:t>
            </w:r>
          </w:p>
        </w:tc>
      </w:tr>
    </w:tbl>
    <w:p>
      <w:r>
        <w:br w:type="page"/>
      </w:r>
    </w:p>
    <w:p>
      <w:pPr>
        <w:pStyle w:val="Heading1"/>
      </w:pPr>
      <w:r>
        <w:t xml:space="preserve">الفصل الثاني: التهيئة الأولية والإعداد</w:t>
      </w:r>
    </w:p>
    <w:p>
      <w:pPr>
        <w:pStyle w:val="Heading2"/>
      </w:pPr>
      <w:r>
        <w:t xml:space="preserve">2.1 تفعيل Defender for Identity من بوابة Microsoft 365</w:t>
      </w:r>
    </w:p>
    <w:p>
      <w:pPr>
        <w:pStyle w:val="ArabicPara"/>
      </w:pPr>
      <w:r>
        <w:rPr>
          <w:b/>
          <w:bCs/>
          <w:sz w:val="26"/>
          <w:szCs w:val="26"/>
        </w:rPr>
        <w:t xml:space="preserve">الخطوة 1: الوصول إلى البوابة</w:t>
      </w:r>
    </w:p>
    <w:p>
      <w:pPr>
        <w:pStyle w:val="ArabicPara"/>
        <w:numPr>
          <w:ilvl w:val="0"/>
          <w:numId w:val="4"/>
        </w:numPr>
      </w:pPr>
      <w:r>
        <w:t xml:space="preserve">افتح متصفح الإنترنت واذهب إلى: </w:t>
      </w:r>
    </w:p>
    <w:p>
      <w:pPr>
        <w:pStyle w:val="CodeBlock"/>
        <w:jc w:val="left"/>
      </w:pPr>
      <w:r>
        <w:t xml:space="preserve">https://security.microsoft.com</w:t>
      </w:r>
    </w:p>
    <w:p>
      <w:pPr>
        <w:pStyle w:val="ArabicPara"/>
        <w:numPr>
          <w:ilvl w:val="0"/>
          <w:numId w:val="4"/>
        </w:numPr>
      </w:pPr>
      <w:r>
        <w:t xml:space="preserve">سجل الدخول بحساب لديه صلاحيات Global Administrator أو Security Administrator</w:t>
      </w:r>
    </w:p>
    <w:p>
      <w:pPr>
        <w:pStyle w:val="ArabicPara"/>
        <w:numPr>
          <w:ilvl w:val="0"/>
          <w:numId w:val="4"/>
        </w:numPr>
      </w:pPr>
      <w:r>
        <w:t xml:space="preserve">من القائمة الجانبية على اليسار، اذهب إلى:</w:t>
      </w:r>
    </w:p>
    <w:p>
      <w:pPr>
        <w:pStyle w:val="CodeBlock"/>
        <w:jc w:val="left"/>
      </w:pPr>
      <w:r>
        <w:t xml:space="preserve">Settings &gt; Identities &gt; Sensors</w:t>
      </w:r>
    </w:p>
    <w:p>
      <w:pPr>
        <w:pStyle w:val="WarningBox"/>
      </w:pPr>
      <w:r>
        <w:t xml:space="preserve">⚠️ تنبيه هام: تأكد من أن لديك الترخيص الصحيح. إذا لم تجد خيار Identities في القائمة، فهذا يعني أن حسابك لا يملك ترخيص E5 أو Defender for Identity.</w:t>
      </w:r>
    </w:p>
    <w:p>
      <w:pPr>
        <w:pStyle w:val="ArabicPara"/>
        <w:spacing w:before="240"/>
      </w:pPr>
      <w:r>
        <w:rPr>
          <w:b/>
          <w:bCs/>
          <w:sz w:val="26"/>
          <w:szCs w:val="26"/>
        </w:rPr>
        <w:t xml:space="preserve">الخطوة 2: إنشاء Instance جديد</w:t>
      </w:r>
    </w:p>
    <w:p>
      <w:pPr>
        <w:pStyle w:val="ArabicPara"/>
        <w:numPr>
          <w:ilvl w:val="0"/>
          <w:numId w:val="4"/>
        </w:numPr>
      </w:pPr>
      <w:r>
        <w:t xml:space="preserve">في صفحة Sensors، اضغط على "Create instance" أو "إنشاء مثيل"</w:t>
      </w:r>
    </w:p>
    <w:p>
      <w:pPr>
        <w:pStyle w:val="ArabicPara"/>
        <w:numPr>
          <w:ilvl w:val="0"/>
          <w:numId w:val="4"/>
        </w:numPr>
      </w:pPr>
      <w:r>
        <w:t xml:space="preserve">سيطلب منك ربط الـ Instance بـ Active Directory Domain الخاص بك</w:t>
      </w:r>
    </w:p>
    <w:p>
      <w:pPr>
        <w:pStyle w:val="ArabicPara"/>
        <w:numPr>
          <w:ilvl w:val="0"/>
          <w:numId w:val="4"/>
        </w:numPr>
      </w:pPr>
      <w:r>
        <w:t xml:space="preserve">أدخل معلومات الـ Domain:</w:t>
      </w:r>
    </w:p>
    <w:p>
      <w:pPr>
        <w:pStyle w:val="ArabicPara"/>
        <w:ind w:right="1080"/>
      </w:pPr>
      <w:r>
        <w:t xml:space="preserve">- اسم الـ Domain (مثل: contoso.com)</w:t>
      </w:r>
    </w:p>
    <w:p>
      <w:pPr>
        <w:pStyle w:val="ArabicPara"/>
        <w:ind w:right="1080"/>
      </w:pPr>
      <w:r>
        <w:t xml:space="preserve">- NetBIOS name (مثل: CONTOSO)</w:t>
      </w:r>
    </w:p>
    <w:p>
      <w:pPr>
        <w:pStyle w:val="ArabicPara"/>
        <w:numPr>
          <w:ilvl w:val="0"/>
          <w:numId w:val="4"/>
        </w:numPr>
      </w:pPr>
      <w:r>
        <w:t xml:space="preserve">اضغط "Create" واستمر في العملية</w:t>
      </w:r>
    </w:p>
    <w:p>
      <w:pPr>
        <w:pStyle w:val="ArabicPara"/>
        <w:spacing w:before="240"/>
      </w:pPr>
      <w:r>
        <w:rPr>
          <w:b/>
          <w:bCs/>
          <w:sz w:val="26"/>
          <w:szCs w:val="26"/>
        </w:rPr>
        <w:t xml:space="preserve">الخطوة 3: تكوين حساب Directory Services</w:t>
      </w:r>
    </w:p>
    <w:p>
      <w:pPr>
        <w:pStyle w:val="ArabicPara"/>
      </w:pPr>
      <w:r>
        <w:t xml:space="preserve">MDI يحتاج حساب خاص للقراءة من Active Directory. هذا الحساب يجب أن يكون لديه الصلاحيات التالية:</w:t>
      </w:r>
    </w:p>
    <w:p>
      <w:pPr>
        <w:pStyle w:val="TipBox"/>
      </w:pPr>
      <w:r>
        <w:t xml:space="preserve">💡 نصيحة مهمة: استخدم حساب خدمة مخصص (Dedicated Service Account) وليس حساب مستخدم عادي. هذا يضمن استمرارية الخدمة ويسهل التدقيق.</w:t>
      </w:r>
    </w:p>
    <w:p>
      <w:pPr>
        <w:pStyle w:val="ArabicPara"/>
      </w:pPr>
      <w:r>
        <w:rPr>
          <w:b/>
          <w:bCs/>
        </w:rPr>
        <w:t xml:space="preserve">خطوات إنشاء الحساب:</w:t>
      </w:r>
    </w:p>
    <w:p>
      <w:pPr>
        <w:pStyle w:val="ArabicPara"/>
        <w:numPr>
          <w:ilvl w:val="0"/>
          <w:numId w:val="5"/>
        </w:numPr>
      </w:pPr>
      <w:r>
        <w:t xml:space="preserve">افتح Active Directory Users and Computers على أحد الـ Domain Controllers</w:t>
      </w:r>
    </w:p>
    <w:p>
      <w:pPr>
        <w:pStyle w:val="ArabicPara"/>
        <w:numPr>
          <w:ilvl w:val="0"/>
          <w:numId w:val="5"/>
        </w:numPr>
      </w:pPr>
      <w:r>
        <w:t xml:space="preserve">أنشئ حساب مستخدم جديد، مثلاً: MDI_Service_Account</w:t>
      </w:r>
    </w:p>
    <w:p>
      <w:pPr>
        <w:pStyle w:val="ArabicPara"/>
        <w:numPr>
          <w:ilvl w:val="0"/>
          <w:numId w:val="5"/>
        </w:numPr>
      </w:pPr>
      <w:r>
        <w:t xml:space="preserve">ضع كلمة سر قوية ومعقدة (25+ حرف)</w:t>
      </w:r>
    </w:p>
    <w:p>
      <w:pPr>
        <w:pStyle w:val="ArabicPara"/>
        <w:numPr>
          <w:ilvl w:val="0"/>
          <w:numId w:val="5"/>
        </w:numPr>
      </w:pPr>
      <w:r>
        <w:t xml:space="preserve">فعّل الخيار "Password never expires"</w:t>
      </w:r>
    </w:p>
    <w:p>
      <w:pPr>
        <w:pStyle w:val="ArabicPara"/>
        <w:numPr>
          <w:ilvl w:val="0"/>
          <w:numId w:val="5"/>
        </w:numPr>
      </w:pPr>
      <w:r>
        <w:t xml:space="preserve">فعّل الخيار "User cannot change password"</w:t>
      </w:r>
    </w:p>
    <w:p>
      <w:pPr>
        <w:pStyle w:val="ArabicPara"/>
        <w:numPr>
          <w:ilvl w:val="0"/>
          <w:numId w:val="5"/>
        </w:numPr>
      </w:pPr>
      <w:r>
        <w:t xml:space="preserve">امنح الحساب الصلاحيات التالية:</w:t>
      </w:r>
    </w:p>
    <w:p>
      <w:pPr>
        <w:pStyle w:val="ArabicPara"/>
        <w:ind w:right="1080"/>
      </w:pPr>
      <w:r>
        <w:t xml:space="preserve">- Read all properties على الـ Domain root</w:t>
      </w:r>
    </w:p>
    <w:p>
      <w:pPr>
        <w:pStyle w:val="ArabicPara"/>
        <w:ind w:right="1080"/>
      </w:pPr>
      <w:r>
        <w:t xml:space="preserve">- Replicating Directory Changes</w:t>
      </w:r>
    </w:p>
    <w:p>
      <w:pPr>
        <w:pStyle w:val="ArabicPara"/>
        <w:ind w:right="1080"/>
      </w:pPr>
      <w:r>
        <w:t xml:space="preserve">- Replicating Directory Changes All</w:t>
      </w:r>
    </w:p>
    <w:p>
      <w:pPr>
        <w:pStyle w:val="ArabicPara"/>
        <w:ind w:right="1080"/>
      </w:pPr>
      <w:r>
        <w:t xml:space="preserve">- Replicating Directory Changes In Filtered Set</w:t>
      </w:r>
    </w:p>
    <w:p>
      <w:pPr>
        <w:pStyle w:val="CodeBlock"/>
        <w:spacing w:before="180"/>
        <w:jc w:val="left"/>
      </w:pPr>
      <w:r>
        <w:t xml:space="preserve"># PowerShell script لإضافة الصلاحيات تلقائياً:</w:t>
      </w:r>
    </w:p>
    <w:p>
      <w:pPr>
        <w:pStyle w:val="CodeBlock"/>
        <w:jc w:val="left"/>
      </w:pPr>
      <w:r>
        <w:t xml:space="preserve">$serviceAccount = "MDI_Service_Account"</w:t>
      </w:r>
    </w:p>
    <w:p>
      <w:pPr>
        <w:pStyle w:val="CodeBlock"/>
        <w:jc w:val="left"/>
      </w:pPr>
      <w:r>
        <w:t xml:space="preserve">$domain = (Get-ADDomain).DistinguishedName</w:t>
      </w:r>
    </w:p>
    <w:p>
      <w:pPr>
        <w:pStyle w:val="CodeBlock"/>
        <w:jc w:val="left"/>
      </w:pPr>
      <w:r>
        <w:t xml:space="preserve">dsacls $domain /G "$serviceAccount:CA;Replicating Directory Changes"</w:t>
      </w:r>
    </w:p>
    <w:p>
      <w:pPr>
        <w:pStyle w:val="CodeBlock"/>
        <w:jc w:val="left"/>
      </w:pPr>
      <w:r>
        <w:t xml:space="preserve">dsacls $domain /G "$serviceAccount:CA;Replicating Directory Changes All"</w:t>
      </w:r>
    </w:p>
    <w:p>
      <w:pPr>
        <w:pStyle w:val="CodeBlock"/>
        <w:jc w:val="left"/>
      </w:pPr>
      <w:r>
        <w:t xml:space="preserve">dsacls $domain /G "$serviceAccount:CA;Replicating Directory Changes In Filtered Set"</w:t>
      </w:r>
    </w:p>
    <w:p>
      <w:pPr>
        <w:pStyle w:val="ArabicPara"/>
        <w:numPr>
          <w:ilvl w:val="0"/>
          <w:numId w:val="4"/>
        </w:numPr>
        <w:spacing w:before="240"/>
      </w:pPr>
      <w:r>
        <w:t xml:space="preserve">ارجع لبوابة Microsoft 365 Defender</w:t>
      </w:r>
    </w:p>
    <w:p>
      <w:pPr>
        <w:pStyle w:val="ArabicPara"/>
        <w:numPr>
          <w:ilvl w:val="0"/>
          <w:numId w:val="4"/>
        </w:numPr>
      </w:pPr>
      <w:r>
        <w:t xml:space="preserve">في صفحة Configuration، اذهب إلى "Directory Services accounts"</w:t>
      </w:r>
    </w:p>
    <w:p>
      <w:pPr>
        <w:pStyle w:val="ArabicPara"/>
        <w:numPr>
          <w:ilvl w:val="0"/>
          <w:numId w:val="4"/>
        </w:numPr>
      </w:pPr>
      <w:r>
        <w:t xml:space="preserve">أدخل بيانات الحساب الذي أنشأته:</w:t>
      </w:r>
    </w:p>
    <w:p>
      <w:pPr>
        <w:pStyle w:val="ArabicPara"/>
        <w:ind w:right="1080"/>
      </w:pPr>
      <w:r>
        <w:t xml:space="preserve">- Username: DOMAIN\MDI_Service_Account</w:t>
      </w:r>
    </w:p>
    <w:p>
      <w:pPr>
        <w:pStyle w:val="ArabicPara"/>
        <w:ind w:right="1080"/>
      </w:pPr>
      <w:r>
        <w:t xml:space="preserve">- Password: [كلمة السر القوية]</w:t>
      </w:r>
    </w:p>
    <w:p>
      <w:pPr>
        <w:pStyle w:val="ArabicPara"/>
        <w:numPr>
          <w:ilvl w:val="0"/>
          <w:numId w:val="4"/>
        </w:numPr>
      </w:pPr>
      <w:r>
        <w:t xml:space="preserve">اضغط "Test connection" للتأكد من صحة الصلاحيات</w:t>
      </w:r>
    </w:p>
    <w:p>
      <w:pPr>
        <w:pStyle w:val="ArabicPara"/>
        <w:numPr>
          <w:ilvl w:val="0"/>
          <w:numId w:val="4"/>
        </w:numPr>
      </w:pPr>
      <w:r>
        <w:t xml:space="preserve">إذا نجح الاختبار، اضغط "Save"</w:t>
      </w:r>
    </w:p>
    <w:p>
      <w:r>
        <w:br w:type="page"/>
      </w:r>
    </w:p>
    <w:p>
      <w:pPr>
        <w:pStyle w:val="Heading1"/>
      </w:pPr>
      <w:r>
        <w:t xml:space="preserve">الفصل الثالث: تنصيب MDI Sensors</w:t>
      </w:r>
    </w:p>
    <w:p>
      <w:pPr>
        <w:pStyle w:val="Heading2"/>
      </w:pPr>
      <w:r>
        <w:t xml:space="preserve">3.1 تحميل ملف التنصيب</w:t>
      </w:r>
    </w:p>
    <w:p>
      <w:pPr>
        <w:pStyle w:val="ArabicPara"/>
        <w:numPr>
          <w:ilvl w:val="0"/>
          <w:numId w:val="4"/>
        </w:numPr>
      </w:pPr>
      <w:r>
        <w:t xml:space="preserve">من بوابة Microsoft 365 Defender، اذهب إلى:</w:t>
      </w:r>
    </w:p>
    <w:p>
      <w:pPr>
        <w:pStyle w:val="CodeBlock"/>
        <w:jc w:val="left"/>
      </w:pPr>
      <w:r>
        <w:t xml:space="preserve">Settings &gt; Identities &gt; Sensors &gt; Add sensor</w:t>
      </w:r>
    </w:p>
    <w:p>
      <w:pPr>
        <w:pStyle w:val="ArabicPara"/>
        <w:numPr>
          <w:ilvl w:val="0"/>
          <w:numId w:val="4"/>
        </w:numPr>
      </w:pPr>
      <w:r>
        <w:t xml:space="preserve">ستجد زر "Download sensor installer" - اضغط عليه</w:t>
      </w:r>
    </w:p>
    <w:p>
      <w:pPr>
        <w:pStyle w:val="ArabicPara"/>
        <w:numPr>
          <w:ilvl w:val="0"/>
          <w:numId w:val="4"/>
        </w:numPr>
      </w:pPr>
      <w:r>
        <w:t xml:space="preserve">سيتم تحميل ملف بصيغة .zip (حوالي 200-300 MB)</w:t>
      </w:r>
    </w:p>
    <w:p>
      <w:pPr>
        <w:pStyle w:val="ArabicPara"/>
        <w:numPr>
          <w:ilvl w:val="0"/>
          <w:numId w:val="4"/>
        </w:numPr>
      </w:pPr>
      <w:r>
        <w:t xml:space="preserve">احتفظ بنسخة من "Access key" الذي سيظهر - ستحتاجه في التنصيب</w:t>
      </w:r>
    </w:p>
    <w:p>
      <w:pPr>
        <w:pStyle w:val="WarningBox"/>
      </w:pPr>
      <w:r>
        <w:t xml:space="preserve">⚠️ تحذير: Access Key هذا خاص بمؤسستك وسري جداً. لا تشاركه مع أحد ولا تحفظه في مكان غير آمن.</w:t>
      </w:r>
    </w:p>
    <w:p>
      <w:pPr>
        <w:pStyle w:val="Heading2"/>
      </w:pPr>
      <w:r>
        <w:t xml:space="preserve">3.2 التنصيب على Domain Controller</w:t>
      </w:r>
    </w:p>
    <w:p>
      <w:pPr>
        <w:pStyle w:val="ArabicPara"/>
      </w:pPr>
      <w:r>
        <w:rPr>
          <w:b/>
          <w:bCs/>
          <w:sz w:val="26"/>
          <w:szCs w:val="26"/>
        </w:rPr>
        <w:t xml:space="preserve">متطلبات ما قبل التنصيب:</w:t>
      </w:r>
    </w:p>
    <w:p>
      <w:pPr>
        <w:pStyle w:val="ArabicPara"/>
        <w:numPr>
          <w:ilvl w:val="0"/>
          <w:numId w:val="2"/>
        </w:numPr>
      </w:pPr>
      <w:r>
        <w:t xml:space="preserve">تأكد من أن الـ DC لديه اتصال إنترنت (port 443 HTTPS إلى Azure)</w:t>
      </w:r>
    </w:p>
    <w:p>
      <w:pPr>
        <w:pStyle w:val="ArabicPara"/>
        <w:numPr>
          <w:ilvl w:val="0"/>
          <w:numId w:val="2"/>
        </w:numPr>
      </w:pPr>
      <w:r>
        <w:t xml:space="preserve">تأكد من توفر المساحة الكافية (على الأقل 10 GB حر)</w:t>
      </w:r>
    </w:p>
    <w:p>
      <w:pPr>
        <w:pStyle w:val="ArabicPara"/>
        <w:numPr>
          <w:ilvl w:val="0"/>
          <w:numId w:val="2"/>
        </w:numPr>
      </w:pPr>
      <w:r>
        <w:t xml:space="preserve">تأكد من أن .NET Framework 4.7 أو أحدث مثبّت</w:t>
      </w:r>
    </w:p>
    <w:p>
      <w:pPr>
        <w:pStyle w:val="ArabicPara"/>
        <w:numPr>
          <w:ilvl w:val="0"/>
          <w:numId w:val="2"/>
        </w:numPr>
      </w:pPr>
      <w:r>
        <w:t xml:space="preserve">تأكد من أن TLS 1.2 مفعّل</w:t>
      </w:r>
    </w:p>
    <w:p>
      <w:pPr>
        <w:pStyle w:val="ArabicPara"/>
        <w:numPr>
          <w:ilvl w:val="0"/>
          <w:numId w:val="2"/>
        </w:numPr>
      </w:pPr>
      <w:r>
        <w:t xml:space="preserve">عطّل أي برامج Antivirus مؤقتاً أو أضف استثناء لـ MDI</w:t>
      </w:r>
    </w:p>
    <w:p>
      <w:pPr>
        <w:pStyle w:val="ArabicPara"/>
        <w:spacing w:before="240"/>
      </w:pPr>
      <w:r>
        <w:rPr>
          <w:b/>
          <w:bCs/>
          <w:sz w:val="26"/>
          <w:szCs w:val="26"/>
        </w:rPr>
        <w:t xml:space="preserve">خطوات التنصيب:</w:t>
      </w:r>
    </w:p>
    <w:p>
      <w:pPr>
        <w:pStyle w:val="ArabicPara"/>
        <w:numPr>
          <w:ilvl w:val="0"/>
          <w:numId w:val="4"/>
        </w:numPr>
      </w:pPr>
      <w:r>
        <w:t xml:space="preserve">سجل دخول على Domain Controller كـ Domain Administrator</w:t>
      </w:r>
    </w:p>
    <w:p>
      <w:pPr>
        <w:pStyle w:val="ArabicPara"/>
        <w:numPr>
          <w:ilvl w:val="0"/>
          <w:numId w:val="4"/>
        </w:numPr>
      </w:pPr>
      <w:r>
        <w:t xml:space="preserve">انسخ ملف الـ .zip الذي حملته إلى الـ DC</w:t>
      </w:r>
    </w:p>
    <w:p>
      <w:pPr>
        <w:pStyle w:val="ArabicPara"/>
        <w:numPr>
          <w:ilvl w:val="0"/>
          <w:numId w:val="4"/>
        </w:numPr>
      </w:pPr>
      <w:r>
        <w:t xml:space="preserve">استخرج محتويات الملف</w:t>
      </w:r>
    </w:p>
    <w:p>
      <w:pPr>
        <w:pStyle w:val="ArabicPara"/>
        <w:numPr>
          <w:ilvl w:val="0"/>
          <w:numId w:val="4"/>
        </w:numPr>
      </w:pPr>
      <w:r>
        <w:t xml:space="preserve">شغّل ملف التنصيب (Azure ATP Sensor Setup.exe) كـ Administrator</w:t>
      </w:r>
    </w:p>
    <w:p>
      <w:pPr>
        <w:pStyle w:val="ArabicPara"/>
        <w:numPr>
          <w:ilvl w:val="0"/>
          <w:numId w:val="4"/>
        </w:numPr>
      </w:pPr>
      <w:r>
        <w:t xml:space="preserve">ستظهر نافذة التنصيب. اضغط Next</w:t>
      </w:r>
    </w:p>
    <w:p>
      <w:pPr>
        <w:pStyle w:val="ArabicPara"/>
        <w:numPr>
          <w:ilvl w:val="0"/>
          <w:numId w:val="4"/>
        </w:numPr>
      </w:pPr>
      <w:r>
        <w:t xml:space="preserve">اختر لغة التنصيب (English موصى به)</w:t>
      </w:r>
    </w:p>
    <w:p>
      <w:pPr>
        <w:pStyle w:val="ArabicPara"/>
        <w:numPr>
          <w:ilvl w:val="0"/>
          <w:numId w:val="4"/>
        </w:numPr>
      </w:pPr>
      <w:r>
        <w:t xml:space="preserve">اقرأ واقبل شروط الترخيص</w:t>
      </w:r>
    </w:p>
    <w:p>
      <w:pPr>
        <w:pStyle w:val="ArabicPara"/>
        <w:numPr>
          <w:ilvl w:val="0"/>
          <w:numId w:val="4"/>
        </w:numPr>
      </w:pPr>
      <w:r>
        <w:t xml:space="preserve">ستظهر شاشة "Configure the sensor". أدخل:</w:t>
      </w:r>
    </w:p>
    <w:p>
      <w:pPr>
        <w:pStyle w:val="ArabicPara"/>
        <w:ind w:right="1080"/>
      </w:pPr>
      <w:r>
        <w:t xml:space="preserve">- Access Key الذي حصلت عليه من البوابة</w:t>
      </w:r>
    </w:p>
    <w:p>
      <w:pPr>
        <w:pStyle w:val="ArabicPara"/>
        <w:ind w:right="1080"/>
      </w:pPr>
      <w:r>
        <w:t xml:space="preserve">- اترك باقي الإعدادات كما هي (Default)</w:t>
      </w:r>
    </w:p>
    <w:p>
      <w:pPr>
        <w:pStyle w:val="ArabicPara"/>
        <w:numPr>
          <w:ilvl w:val="0"/>
          <w:numId w:val="4"/>
        </w:numPr>
      </w:pPr>
      <w:r>
        <w:t xml:space="preserve">اضغط Install وانتظر انتهاء التنصيب (5-10 دقائق)</w:t>
      </w:r>
    </w:p>
    <w:p>
      <w:pPr>
        <w:pStyle w:val="ArabicPara"/>
        <w:numPr>
          <w:ilvl w:val="0"/>
          <w:numId w:val="4"/>
        </w:numPr>
      </w:pPr>
      <w:r>
        <w:t xml:space="preserve">بعد انتهاء التنصيب، سيبدأ الـ Sensor تلقائياً</w:t>
      </w:r>
    </w:p>
    <w:p>
      <w:pPr>
        <w:pStyle w:val="ArabicPara"/>
        <w:numPr>
          <w:ilvl w:val="0"/>
          <w:numId w:val="4"/>
        </w:numPr>
      </w:pPr>
      <w:r>
        <w:t xml:space="preserve">لا تحتاج لإعادة تشغيل الـ DC إلا إذا طلب منك المُنصّب ذلك</w:t>
      </w:r>
    </w:p>
    <w:p>
      <w:pPr>
        <w:pStyle w:val="TipBox"/>
      </w:pPr>
      <w:r>
        <w:t xml:space="preserve">💡 نصيحة: بعد التنصيب، يمكنك التحقق من حالة الـ Sensor من Services (خدمة تسمى Azure Advanced Threat Protection Sensor يجب أن تكون Running).</w:t>
      </w:r>
    </w:p>
    <w:p>
      <w:pPr>
        <w:pStyle w:val="Heading2"/>
      </w:pPr>
      <w:r>
        <w:t xml:space="preserve">3.3 التحقق من نجاح التنصيب</w:t>
      </w:r>
    </w:p>
    <w:p>
      <w:pPr>
        <w:pStyle w:val="ArabicPara"/>
      </w:pPr>
      <w:r>
        <w:rPr>
          <w:b/>
          <w:bCs/>
        </w:rPr>
        <w:t xml:space="preserve">من الـ Domain Controller:</w:t>
      </w:r>
    </w:p>
    <w:p>
      <w:pPr>
        <w:pStyle w:val="ArabicPara"/>
        <w:numPr>
          <w:ilvl w:val="0"/>
          <w:numId w:val="4"/>
        </w:numPr>
      </w:pPr>
      <w:r>
        <w:t xml:space="preserve">افتح Services (اضغط Win+R واكتب services.msc)</w:t>
      </w:r>
    </w:p>
    <w:p>
      <w:pPr>
        <w:pStyle w:val="ArabicPara"/>
        <w:numPr>
          <w:ilvl w:val="0"/>
          <w:numId w:val="4"/>
        </w:numPr>
      </w:pPr>
      <w:r>
        <w:t xml:space="preserve">ابحث عن خدمة اسمها:</w:t>
      </w:r>
    </w:p>
    <w:p>
      <w:pPr>
        <w:pStyle w:val="CodeBlock"/>
        <w:jc w:val="left"/>
      </w:pPr>
      <w:r>
        <w:t xml:space="preserve">Azure Advanced Threat Protection Sensor</w:t>
      </w:r>
    </w:p>
    <w:p>
      <w:pPr>
        <w:pStyle w:val="ArabicPara"/>
        <w:numPr>
          <w:ilvl w:val="0"/>
          <w:numId w:val="4"/>
        </w:numPr>
      </w:pPr>
      <w:r>
        <w:t xml:space="preserve">تأكد من أن الحالة = Running والـ Startup Type = Automatic</w:t>
      </w:r>
    </w:p>
    <w:p>
      <w:pPr>
        <w:pStyle w:val="ArabicPara"/>
        <w:numPr>
          <w:ilvl w:val="0"/>
          <w:numId w:val="4"/>
        </w:numPr>
      </w:pPr>
      <w:r>
        <w:t xml:space="preserve">افتح Event Viewer واذهب إلى:</w:t>
      </w:r>
    </w:p>
    <w:p>
      <w:pPr>
        <w:pStyle w:val="CodeBlock"/>
        <w:jc w:val="left"/>
      </w:pPr>
      <w:r>
        <w:t xml:space="preserve">Applications and Services Logs &gt; Azure Advanced Threat Protection</w:t>
      </w:r>
    </w:p>
    <w:p>
      <w:pPr>
        <w:pStyle w:val="ArabicPara"/>
        <w:numPr>
          <w:ilvl w:val="0"/>
          <w:numId w:val="4"/>
        </w:numPr>
      </w:pPr>
      <w:r>
        <w:t xml:space="preserve">يجب أن تشاهد أحداث تشير إلى أن الـ Sensor بدأ بنجاح</w:t>
      </w:r>
    </w:p>
    <w:p>
      <w:pPr>
        <w:pStyle w:val="ArabicPara"/>
        <w:spacing w:before="240"/>
      </w:pPr>
      <w:r>
        <w:rPr>
          <w:b/>
          <w:bCs/>
        </w:rPr>
        <w:t xml:space="preserve">من بوابة Microsoft 365 Defender:</w:t>
      </w:r>
    </w:p>
    <w:p>
      <w:pPr>
        <w:pStyle w:val="ArabicPara"/>
        <w:numPr>
          <w:ilvl w:val="0"/>
          <w:numId w:val="4"/>
        </w:numPr>
      </w:pPr>
      <w:r>
        <w:t xml:space="preserve">اذهب إلى Settings &gt; Identities &gt; Sensors</w:t>
      </w:r>
    </w:p>
    <w:p>
      <w:pPr>
        <w:pStyle w:val="ArabicPara"/>
        <w:numPr>
          <w:ilvl w:val="0"/>
          <w:numId w:val="4"/>
        </w:numPr>
      </w:pPr>
      <w:r>
        <w:t xml:space="preserve">يجب أن ترى اسم الـ Domain Controller في القائمة</w:t>
      </w:r>
    </w:p>
    <w:p>
      <w:pPr>
        <w:pStyle w:val="ArabicPara"/>
        <w:numPr>
          <w:ilvl w:val="0"/>
          <w:numId w:val="4"/>
        </w:numPr>
      </w:pPr>
      <w:r>
        <w:t xml:space="preserve">الحالة يجب أن تكون "Running" مع علامة خضراء</w:t>
      </w:r>
    </w:p>
    <w:p>
      <w:pPr>
        <w:pStyle w:val="ArabicPara"/>
        <w:numPr>
          <w:ilvl w:val="0"/>
          <w:numId w:val="4"/>
        </w:numPr>
      </w:pPr>
      <w:r>
        <w:t xml:space="preserve">قد يستغرق ظهور الـ Sensor في البوابة 5-15 دقيقة بعد التنصيب</w:t>
      </w:r>
    </w:p>
    <w:p>
      <w:pPr>
        <w:pStyle w:val="Heading2"/>
      </w:pPr>
      <w:r>
        <w:t xml:space="preserve">3.4 تنصيب Sensors على باقي Domain Controllers</w:t>
      </w:r>
    </w:p>
    <w:p>
      <w:pPr>
        <w:pStyle w:val="ArabicPara"/>
      </w:pPr>
      <w:r>
        <w:t xml:space="preserve">كرر نفس الخطوات السابقة على كل Domain Controller في بيئتك. يُنصح بشدة تنصيب Sensor على كل DC للحصول على رؤية شاملة.</w:t>
      </w:r>
    </w:p>
    <w:p>
      <w:pPr>
        <w:pStyle w:val="WarningBox"/>
      </w:pPr>
      <w:r>
        <w:t xml:space="preserve">⚠️ هام جداً: لا تستخدم نفس ملف التنصيب على أكثر من DC. دائماً حمّل نسخة جديدة من البوابة لكل DC لضمان أحدث إصدار.</w:t>
      </w:r>
    </w:p>
    <w:p>
      <w:pPr>
        <w:pStyle w:val="TipBox"/>
      </w:pPr>
      <w:r>
        <w:t xml:space="preserve">💡 نصيحة للبيئات الكبيرة: يمكنك استخدام Group Policy أو SCCM لنشر MDI Sensor بشكل تلقائي على كل الـ DCs. راجع توثيق Microsoft للتفاصيل.</w:t>
      </w:r>
    </w:p>
    <w:p>
      <w:r>
        <w:br w:type="page"/>
      </w:r>
    </w:p>
    <w:p>
      <w:pPr>
        <w:pStyle w:val="Heading1"/>
      </w:pPr>
      <w:r>
        <w:t xml:space="preserve">الفصل الرابع: التكوين والضبط</w:t>
      </w:r>
    </w:p>
    <w:p>
      <w:pPr>
        <w:pStyle w:val="Heading2"/>
      </w:pPr>
      <w:r>
        <w:t xml:space="preserve">4.1 ضبط Detection Rules</w:t>
      </w:r>
    </w:p>
    <w:p>
      <w:pPr>
        <w:pStyle w:val="ArabicPara"/>
      </w:pPr>
      <w:r>
        <w:t xml:space="preserve">بعد تنصيب Sensors، MDI يبدأ فوراً بمراقبة وتحليل الأنشطة. لكن لتحسين الدقة وتقليل False Positives، تحتاج لضبط بعض الإعدادات.</w:t>
      </w:r>
    </w:p>
    <w:p>
      <w:pPr>
        <w:pStyle w:val="ArabicPara"/>
        <w:spacing w:before="240"/>
      </w:pPr>
      <w:r>
        <w:rPr>
          <w:b/>
          <w:bCs/>
          <w:sz w:val="26"/>
          <w:szCs w:val="26"/>
        </w:rPr>
        <w:t xml:space="preserve">الوصول لإعدادات Detection:</w:t>
      </w:r>
    </w:p>
    <w:p>
      <w:pPr>
        <w:pStyle w:val="ArabicPara"/>
        <w:numPr>
          <w:ilvl w:val="0"/>
          <w:numId w:val="4"/>
        </w:numPr>
      </w:pPr>
      <w:r>
        <w:t xml:space="preserve">من بوابة Microsoft 365 Defender، اذهب إلى:</w:t>
      </w:r>
    </w:p>
    <w:p>
      <w:pPr>
        <w:pStyle w:val="CodeBlock"/>
        <w:jc w:val="left"/>
      </w:pPr>
      <w:r>
        <w:t xml:space="preserve">Settings &gt; Identities &gt; Detection rules</w:t>
      </w:r>
    </w:p>
    <w:p>
      <w:pPr>
        <w:pStyle w:val="ArabicPara"/>
        <w:numPr>
          <w:ilvl w:val="0"/>
          <w:numId w:val="4"/>
        </w:numPr>
      </w:pPr>
      <w:r>
        <w:t xml:space="preserve">ستجد قائمة بكل Detection Rules المتاحة</w:t>
      </w:r>
    </w:p>
    <w:p>
      <w:pPr>
        <w:pStyle w:val="ArabicPara"/>
        <w:numPr>
          <w:ilvl w:val="0"/>
          <w:numId w:val="4"/>
        </w:numPr>
      </w:pPr>
      <w:r>
        <w:t xml:space="preserve">كل قاعدة لها مستوى خطورة: Low, Medium, High</w:t>
      </w:r>
    </w:p>
    <w:p>
      <w:pPr>
        <w:pStyle w:val="ArabicPara"/>
        <w:spacing w:before="240"/>
      </w:pPr>
      <w:r>
        <w:rPr>
          <w:b/>
          <w:bCs/>
          <w:sz w:val="26"/>
          <w:szCs w:val="26"/>
        </w:rPr>
        <w:t xml:space="preserve">القواعد الأساسية المهمة (يجب تفعيلها):</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5B9BD5" w:val="clear"/>
          </w:tcPr>
          <w:p>
            <w:pPr>
              <w:jc w:val="center"/>
            </w:pPr>
            <w:r>
              <w:rPr>
                <w:b/>
                <w:bCs/>
                <w:color w:val="FFFFFF"/>
                <w:sz w:val="22"/>
                <w:szCs w:val="22"/>
              </w:rPr>
              <w:t xml:space="preserve">اسم القاعدة</w:t>
            </w:r>
          </w:p>
        </w:tc>
        <w:tc>
          <w:tcPr>
            <w:tcW w:type="dxa" w:w="3000"/>
            <w:tcBorders>
              <w:top w:val="single" w:color="CCCCCC" w:sz="1"/>
              <w:left w:val="single" w:color="CCCCCC" w:sz="1"/>
              <w:bottom w:val="single" w:color="CCCCCC" w:sz="1"/>
              <w:right w:val="single" w:color="CCCCCC" w:sz="1"/>
            </w:tcBorders>
            <w:shd w:fill="5B9BD5" w:val="clear"/>
          </w:tcPr>
          <w:p>
            <w:pPr>
              <w:jc w:val="center"/>
            </w:pPr>
            <w:r>
              <w:rPr>
                <w:b/>
                <w:bCs/>
                <w:color w:val="FFFFFF"/>
                <w:sz w:val="22"/>
                <w:szCs w:val="22"/>
              </w:rPr>
              <w:t xml:space="preserve">الأهمية</w:t>
            </w:r>
          </w:p>
        </w:tc>
        <w:tc>
          <w:tcPr>
            <w:tcW w:type="dxa" w:w="2860"/>
            <w:tcBorders>
              <w:top w:val="single" w:color="CCCCCC" w:sz="1"/>
              <w:left w:val="single" w:color="CCCCCC" w:sz="1"/>
              <w:bottom w:val="single" w:color="CCCCCC" w:sz="1"/>
              <w:right w:val="single" w:color="CCCCCC" w:sz="1"/>
            </w:tcBorders>
            <w:shd w:fill="5B9BD5" w:val="clear"/>
          </w:tcPr>
          <w:p>
            <w:pPr>
              <w:jc w:val="center"/>
            </w:pPr>
            <w:r>
              <w:rPr>
                <w:b/>
                <w:bCs/>
                <w:color w:val="FFFFFF"/>
                <w:sz w:val="22"/>
                <w:szCs w:val="22"/>
              </w:rPr>
              <w:t xml:space="preserve">الحالة</w:t>
            </w:r>
          </w:p>
        </w:tc>
      </w:tr>
      <w:tr>
        <w:tc>
          <w:tcPr>
            <w:tcW w:type="dxa" w:w="3500"/>
            <w:tcBorders>
              <w:top w:val="single" w:color="CCCCCC" w:sz="1"/>
              <w:left w:val="single" w:color="CCCCCC" w:sz="1"/>
              <w:bottom w:val="single" w:color="CCCCCC" w:sz="1"/>
              <w:right w:val="single" w:color="CCCCCC" w:sz="1"/>
            </w:tcBorders>
          </w:tcPr>
          <w:p>
            <w:r>
              <w:t xml:space="preserve">Suspected Golden Ticket usage</w:t>
            </w:r>
          </w:p>
        </w:tc>
        <w:tc>
          <w:tcPr>
            <w:tcW w:type="dxa" w:w="3000"/>
            <w:tcBorders>
              <w:top w:val="single" w:color="CCCCCC" w:sz="1"/>
              <w:left w:val="single" w:color="CCCCCC" w:sz="1"/>
              <w:bottom w:val="single" w:color="CCCCCC" w:sz="1"/>
              <w:right w:val="single" w:color="CCCCCC" w:sz="1"/>
            </w:tcBorders>
          </w:tcPr>
          <w:p>
            <w:pPr>
              <w:jc w:val="center"/>
            </w:pPr>
            <w:r>
              <w:rPr>
                <w:b/>
                <w:bCs/>
                <w:color w:val="C00000"/>
              </w:rPr>
              <w:t xml:space="preserve">Critical</w:t>
            </w:r>
          </w:p>
        </w:tc>
        <w:tc>
          <w:tcPr>
            <w:tcW w:type="dxa" w:w="2860"/>
            <w:tcBorders>
              <w:top w:val="single" w:color="CCCCCC" w:sz="1"/>
              <w:left w:val="single" w:color="CCCCCC" w:sz="1"/>
              <w:bottom w:val="single" w:color="CCCCCC" w:sz="1"/>
              <w:right w:val="single" w:color="CCCCCC" w:sz="1"/>
            </w:tcBorders>
          </w:tcPr>
          <w:p>
            <w:pPr>
              <w:jc w:val="center"/>
            </w:pPr>
            <w:r>
              <w:rPr>
                <w:color w:val="00B050"/>
              </w:rPr>
              <w:t xml:space="preserve">Enabled</w:t>
            </w:r>
          </w:p>
        </w:tc>
      </w:tr>
      <w:tr>
        <w:tc>
          <w:tcPr>
            <w:tcW w:type="dxa" w:w="3500"/>
            <w:tcBorders>
              <w:top w:val="single" w:color="CCCCCC" w:sz="1"/>
              <w:left w:val="single" w:color="CCCCCC" w:sz="1"/>
              <w:bottom w:val="single" w:color="CCCCCC" w:sz="1"/>
              <w:right w:val="single" w:color="CCCCCC" w:sz="1"/>
            </w:tcBorders>
          </w:tcPr>
          <w:p>
            <w:r>
              <w:t xml:space="preserve">Suspected DCShadow attack</w:t>
            </w:r>
          </w:p>
        </w:tc>
        <w:tc>
          <w:tcPr>
            <w:tcW w:type="dxa" w:w="3000"/>
            <w:tcBorders>
              <w:top w:val="single" w:color="CCCCCC" w:sz="1"/>
              <w:left w:val="single" w:color="CCCCCC" w:sz="1"/>
              <w:bottom w:val="single" w:color="CCCCCC" w:sz="1"/>
              <w:right w:val="single" w:color="CCCCCC" w:sz="1"/>
            </w:tcBorders>
          </w:tcPr>
          <w:p>
            <w:pPr>
              <w:jc w:val="center"/>
            </w:pPr>
            <w:r>
              <w:rPr>
                <w:b/>
                <w:bCs/>
                <w:color w:val="C00000"/>
              </w:rPr>
              <w:t xml:space="preserve">Critical</w:t>
            </w:r>
          </w:p>
        </w:tc>
        <w:tc>
          <w:tcPr>
            <w:tcW w:type="dxa" w:w="2860"/>
            <w:tcBorders>
              <w:top w:val="single" w:color="CCCCCC" w:sz="1"/>
              <w:left w:val="single" w:color="CCCCCC" w:sz="1"/>
              <w:bottom w:val="single" w:color="CCCCCC" w:sz="1"/>
              <w:right w:val="single" w:color="CCCCCC" w:sz="1"/>
            </w:tcBorders>
          </w:tcPr>
          <w:p>
            <w:pPr>
              <w:jc w:val="center"/>
            </w:pPr>
            <w:r>
              <w:rPr>
                <w:color w:val="00B050"/>
              </w:rPr>
              <w:t xml:space="preserve">Enabled</w:t>
            </w:r>
          </w:p>
        </w:tc>
      </w:tr>
      <w:tr>
        <w:tc>
          <w:tcPr>
            <w:tcW w:type="dxa" w:w="3500"/>
            <w:tcBorders>
              <w:top w:val="single" w:color="CCCCCC" w:sz="1"/>
              <w:left w:val="single" w:color="CCCCCC" w:sz="1"/>
              <w:bottom w:val="single" w:color="CCCCCC" w:sz="1"/>
              <w:right w:val="single" w:color="CCCCCC" w:sz="1"/>
            </w:tcBorders>
          </w:tcPr>
          <w:p>
            <w:r>
              <w:t xml:space="preserve">Suspected identity theft (Pass-the-Hash)</w:t>
            </w:r>
          </w:p>
        </w:tc>
        <w:tc>
          <w:tcPr>
            <w:tcW w:type="dxa" w:w="3000"/>
            <w:tcBorders>
              <w:top w:val="single" w:color="CCCCCC" w:sz="1"/>
              <w:left w:val="single" w:color="CCCCCC" w:sz="1"/>
              <w:bottom w:val="single" w:color="CCCCCC" w:sz="1"/>
              <w:right w:val="single" w:color="CCCCCC" w:sz="1"/>
            </w:tcBorders>
          </w:tcPr>
          <w:p>
            <w:pPr>
              <w:jc w:val="center"/>
            </w:pPr>
            <w:r>
              <w:rPr>
                <w:b/>
                <w:bCs/>
                <w:color w:val="FF6600"/>
              </w:rPr>
              <w:t xml:space="preserve">High</w:t>
            </w:r>
          </w:p>
        </w:tc>
        <w:tc>
          <w:tcPr>
            <w:tcW w:type="dxa" w:w="2860"/>
            <w:tcBorders>
              <w:top w:val="single" w:color="CCCCCC" w:sz="1"/>
              <w:left w:val="single" w:color="CCCCCC" w:sz="1"/>
              <w:bottom w:val="single" w:color="CCCCCC" w:sz="1"/>
              <w:right w:val="single" w:color="CCCCCC" w:sz="1"/>
            </w:tcBorders>
          </w:tcPr>
          <w:p>
            <w:pPr>
              <w:jc w:val="center"/>
            </w:pPr>
            <w:r>
              <w:rPr>
                <w:color w:val="00B050"/>
              </w:rPr>
              <w:t xml:space="preserve">Enabled</w:t>
            </w:r>
          </w:p>
        </w:tc>
      </w:tr>
      <w:tr>
        <w:tc>
          <w:tcPr>
            <w:tcW w:type="dxa" w:w="3500"/>
            <w:tcBorders>
              <w:top w:val="single" w:color="CCCCCC" w:sz="1"/>
              <w:left w:val="single" w:color="CCCCCC" w:sz="1"/>
              <w:bottom w:val="single" w:color="CCCCCC" w:sz="1"/>
              <w:right w:val="single" w:color="CCCCCC" w:sz="1"/>
            </w:tcBorders>
          </w:tcPr>
          <w:p>
            <w:r>
              <w:t xml:space="preserve">Suspected Kerberoasting</w:t>
            </w:r>
          </w:p>
        </w:tc>
        <w:tc>
          <w:tcPr>
            <w:tcW w:type="dxa" w:w="3000"/>
            <w:tcBorders>
              <w:top w:val="single" w:color="CCCCCC" w:sz="1"/>
              <w:left w:val="single" w:color="CCCCCC" w:sz="1"/>
              <w:bottom w:val="single" w:color="CCCCCC" w:sz="1"/>
              <w:right w:val="single" w:color="CCCCCC" w:sz="1"/>
            </w:tcBorders>
          </w:tcPr>
          <w:p>
            <w:pPr>
              <w:jc w:val="center"/>
            </w:pPr>
            <w:r>
              <w:rPr>
                <w:b/>
                <w:bCs/>
                <w:color w:val="FF6600"/>
              </w:rPr>
              <w:t xml:space="preserve">High</w:t>
            </w:r>
          </w:p>
        </w:tc>
        <w:tc>
          <w:tcPr>
            <w:tcW w:type="dxa" w:w="2860"/>
            <w:tcBorders>
              <w:top w:val="single" w:color="CCCCCC" w:sz="1"/>
              <w:left w:val="single" w:color="CCCCCC" w:sz="1"/>
              <w:bottom w:val="single" w:color="CCCCCC" w:sz="1"/>
              <w:right w:val="single" w:color="CCCCCC" w:sz="1"/>
            </w:tcBorders>
          </w:tcPr>
          <w:p>
            <w:pPr>
              <w:jc w:val="center"/>
            </w:pPr>
            <w:r>
              <w:rPr>
                <w:color w:val="00B050"/>
              </w:rPr>
              <w:t xml:space="preserve">Enabled</w:t>
            </w:r>
          </w:p>
        </w:tc>
      </w:tr>
      <w:tr>
        <w:tc>
          <w:tcPr>
            <w:tcW w:type="dxa" w:w="3500"/>
            <w:tcBorders>
              <w:top w:val="single" w:color="CCCCCC" w:sz="1"/>
              <w:left w:val="single" w:color="CCCCCC" w:sz="1"/>
              <w:bottom w:val="single" w:color="CCCCCC" w:sz="1"/>
              <w:right w:val="single" w:color="CCCCCC" w:sz="1"/>
            </w:tcBorders>
          </w:tcPr>
          <w:p>
            <w:r>
              <w:t xml:space="preserve">Account enumeration reconnaissance</w:t>
            </w:r>
          </w:p>
        </w:tc>
        <w:tc>
          <w:tcPr>
            <w:tcW w:type="dxa" w:w="3000"/>
            <w:tcBorders>
              <w:top w:val="single" w:color="CCCCCC" w:sz="1"/>
              <w:left w:val="single" w:color="CCCCCC" w:sz="1"/>
              <w:bottom w:val="single" w:color="CCCCCC" w:sz="1"/>
              <w:right w:val="single" w:color="CCCCCC" w:sz="1"/>
            </w:tcBorders>
          </w:tcPr>
          <w:p>
            <w:pPr>
              <w:jc w:val="center"/>
            </w:pPr>
            <w:r>
              <w:rPr>
                <w:b/>
                <w:bCs/>
                <w:color w:val="FFC000"/>
              </w:rPr>
              <w:t xml:space="preserve">Medium</w:t>
            </w:r>
          </w:p>
        </w:tc>
        <w:tc>
          <w:tcPr>
            <w:tcW w:type="dxa" w:w="2860"/>
            <w:tcBorders>
              <w:top w:val="single" w:color="CCCCCC" w:sz="1"/>
              <w:left w:val="single" w:color="CCCCCC" w:sz="1"/>
              <w:bottom w:val="single" w:color="CCCCCC" w:sz="1"/>
              <w:right w:val="single" w:color="CCCCCC" w:sz="1"/>
            </w:tcBorders>
          </w:tcPr>
          <w:p>
            <w:pPr>
              <w:jc w:val="center"/>
            </w:pPr>
            <w:r>
              <w:rPr>
                <w:color w:val="00B050"/>
              </w:rPr>
              <w:t xml:space="preserve">Enabled</w:t>
            </w:r>
          </w:p>
        </w:tc>
      </w:tr>
      <w:tr>
        <w:tc>
          <w:tcPr>
            <w:tcW w:type="dxa" w:w="3500"/>
            <w:tcBorders>
              <w:top w:val="single" w:color="CCCCCC" w:sz="1"/>
              <w:left w:val="single" w:color="CCCCCC" w:sz="1"/>
              <w:bottom w:val="single" w:color="CCCCCC" w:sz="1"/>
              <w:right w:val="single" w:color="CCCCCC" w:sz="1"/>
            </w:tcBorders>
          </w:tcPr>
          <w:p>
            <w:r>
              <w:t xml:space="preserve">Suspected Brute Force attack</w:t>
            </w:r>
          </w:p>
        </w:tc>
        <w:tc>
          <w:tcPr>
            <w:tcW w:type="dxa" w:w="3000"/>
            <w:tcBorders>
              <w:top w:val="single" w:color="CCCCCC" w:sz="1"/>
              <w:left w:val="single" w:color="CCCCCC" w:sz="1"/>
              <w:bottom w:val="single" w:color="CCCCCC" w:sz="1"/>
              <w:right w:val="single" w:color="CCCCCC" w:sz="1"/>
            </w:tcBorders>
          </w:tcPr>
          <w:p>
            <w:pPr>
              <w:jc w:val="center"/>
            </w:pPr>
            <w:r>
              <w:rPr>
                <w:b/>
                <w:bCs/>
                <w:color w:val="FFC000"/>
              </w:rPr>
              <w:t xml:space="preserve">Medium</w:t>
            </w:r>
          </w:p>
        </w:tc>
        <w:tc>
          <w:tcPr>
            <w:tcW w:type="dxa" w:w="2860"/>
            <w:tcBorders>
              <w:top w:val="single" w:color="CCCCCC" w:sz="1"/>
              <w:left w:val="single" w:color="CCCCCC" w:sz="1"/>
              <w:bottom w:val="single" w:color="CCCCCC" w:sz="1"/>
              <w:right w:val="single" w:color="CCCCCC" w:sz="1"/>
            </w:tcBorders>
          </w:tcPr>
          <w:p>
            <w:pPr>
              <w:jc w:val="center"/>
            </w:pPr>
            <w:r>
              <w:rPr>
                <w:color w:val="00B050"/>
              </w:rPr>
              <w:t xml:space="preserve">Enabled</w:t>
            </w:r>
          </w:p>
        </w:tc>
      </w:tr>
    </w:tbl>
    <w:p>
      <w:pPr>
        <w:pStyle w:val="Heading2"/>
      </w:pPr>
      <w:r>
        <w:t xml:space="preserve">4.2 إضافة Exclusions (الاستثناءات)</w:t>
      </w:r>
    </w:p>
    <w:p>
      <w:pPr>
        <w:pStyle w:val="ArabicPara"/>
      </w:pPr>
      <w:r>
        <w:t xml:space="preserve">لتقليل False Positives، يمكنك إضافة استثناءات للحسابات أو العمليات المعروفة والموثوقة.</w:t>
      </w:r>
    </w:p>
    <w:p>
      <w:pPr>
        <w:pStyle w:val="ArabicPara"/>
        <w:spacing w:before="240"/>
      </w:pPr>
      <w:r>
        <w:rPr>
          <w:b/>
          <w:bCs/>
          <w:sz w:val="26"/>
          <w:szCs w:val="26"/>
        </w:rPr>
        <w:t xml:space="preserve">أمثلة على الاستثناءات الشائعة:</w:t>
      </w:r>
    </w:p>
    <w:p>
      <w:pPr>
        <w:pStyle w:val="ArabicPara"/>
        <w:numPr>
          <w:ilvl w:val="0"/>
          <w:numId w:val="2"/>
        </w:numPr>
      </w:pPr>
      <w:r>
        <w:rPr>
          <w:b/>
          <w:bCs/>
        </w:rPr>
        <w:t xml:space="preserve">حسابات المسح الأمني: </w:t>
      </w:r>
      <w:r>
        <w:t xml:space="preserve">إذا كان لديك أدوات Vulnerability Scanning تقوم بفحص AD</w:t>
      </w:r>
    </w:p>
    <w:p>
      <w:pPr>
        <w:pStyle w:val="ArabicPara"/>
        <w:numPr>
          <w:ilvl w:val="0"/>
          <w:numId w:val="2"/>
        </w:numPr>
      </w:pPr>
      <w:r>
        <w:rPr>
          <w:b/>
          <w:bCs/>
        </w:rPr>
        <w:t xml:space="preserve">حسابات الخدمات: </w:t>
      </w:r>
      <w:r>
        <w:t xml:space="preserve">حسابات خدمية معروفة تطلب Kerberos tickets بشكل طبيعي</w:t>
      </w:r>
    </w:p>
    <w:p>
      <w:pPr>
        <w:pStyle w:val="ArabicPara"/>
        <w:numPr>
          <w:ilvl w:val="0"/>
          <w:numId w:val="2"/>
        </w:numPr>
      </w:pPr>
      <w:r>
        <w:rPr>
          <w:b/>
          <w:bCs/>
        </w:rPr>
        <w:t xml:space="preserve">أنشطة الإدارة المجدولة: </w:t>
      </w:r>
      <w:r>
        <w:t xml:space="preserve">Scripts تلقائية موثوقة تعمل بصلاحيات عالية</w:t>
      </w:r>
    </w:p>
    <w:p>
      <w:pPr>
        <w:pStyle w:val="ArabicPara"/>
        <w:spacing w:before="240"/>
      </w:pPr>
      <w:r>
        <w:rPr>
          <w:b/>
          <w:bCs/>
          <w:sz w:val="26"/>
          <w:szCs w:val="26"/>
        </w:rPr>
        <w:t xml:space="preserve">خطوات إضافة استثناء:</w:t>
      </w:r>
    </w:p>
    <w:p>
      <w:pPr>
        <w:pStyle w:val="ArabicPara"/>
        <w:numPr>
          <w:ilvl w:val="0"/>
          <w:numId w:val="4"/>
        </w:numPr>
      </w:pPr>
      <w:r>
        <w:t xml:space="preserve">من Settings &gt; Identities، اذهب إلى "Exclusions"</w:t>
      </w:r>
    </w:p>
    <w:p>
      <w:pPr>
        <w:pStyle w:val="ArabicPara"/>
        <w:numPr>
          <w:ilvl w:val="0"/>
          <w:numId w:val="4"/>
        </w:numPr>
      </w:pPr>
      <w:r>
        <w:t xml:space="preserve">اضغط "Add exclusion"</w:t>
      </w:r>
    </w:p>
    <w:p>
      <w:pPr>
        <w:pStyle w:val="ArabicPara"/>
        <w:numPr>
          <w:ilvl w:val="0"/>
          <w:numId w:val="4"/>
        </w:numPr>
      </w:pPr>
      <w:r>
        <w:t xml:space="preserve">اختر نوع الاستثناء: Entity (كيان) أو IP Address</w:t>
      </w:r>
    </w:p>
    <w:p>
      <w:pPr>
        <w:pStyle w:val="ArabicPara"/>
        <w:numPr>
          <w:ilvl w:val="0"/>
          <w:numId w:val="4"/>
        </w:numPr>
      </w:pPr>
      <w:r>
        <w:t xml:space="preserve">أدخل تفاصيل الحساب أو IP</w:t>
      </w:r>
    </w:p>
    <w:p>
      <w:pPr>
        <w:pStyle w:val="ArabicPara"/>
        <w:numPr>
          <w:ilvl w:val="0"/>
          <w:numId w:val="4"/>
        </w:numPr>
      </w:pPr>
      <w:r>
        <w:t xml:space="preserve">اختر Detection Rules التي تريد استثناء هذا الكيان منها</w:t>
      </w:r>
    </w:p>
    <w:p>
      <w:pPr>
        <w:pStyle w:val="ArabicPara"/>
        <w:numPr>
          <w:ilvl w:val="0"/>
          <w:numId w:val="4"/>
        </w:numPr>
      </w:pPr>
      <w:r>
        <w:t xml:space="preserve">أضف ملاحظة توضح سبب الاستثناء (لأغراض التوثيق)</w:t>
      </w:r>
    </w:p>
    <w:p>
      <w:pPr>
        <w:pStyle w:val="ArabicPara"/>
        <w:numPr>
          <w:ilvl w:val="0"/>
          <w:numId w:val="4"/>
        </w:numPr>
      </w:pPr>
      <w:r>
        <w:t xml:space="preserve">اضغط Save</w:t>
      </w:r>
    </w:p>
    <w:p>
      <w:pPr>
        <w:pStyle w:val="WarningBox"/>
      </w:pPr>
      <w:r>
        <w:t xml:space="preserve">⚠️ تحذير هام: لا تبالغ في إضافة الاستثناءات. كل استثناء يقلل من قدرة MDI على الكشف. أضف فقط الاستثناءات الضرورية جداً وراجعها دورياً.</w:t>
      </w:r>
    </w:p>
    <w:p>
      <w:r>
        <w:br w:type="page"/>
      </w:r>
    </w:p>
    <w:p>
      <w:pPr>
        <w:pStyle w:val="Heading1"/>
      </w:pPr>
      <w:r>
        <w:t xml:space="preserve">الفصل الخامس: التكامل مع الحلول الأخرى</w:t>
      </w:r>
    </w:p>
    <w:p>
      <w:pPr>
        <w:pStyle w:val="Heading2"/>
      </w:pPr>
      <w:r>
        <w:t xml:space="preserve">5.1 التكامل مع Microsoft Sentinel</w:t>
      </w:r>
    </w:p>
    <w:p>
      <w:pPr>
        <w:pStyle w:val="ArabicPara"/>
      </w:pPr>
      <w:r>
        <w:t xml:space="preserve">لتعزيز قدرات التحليل والحصول على رؤية شاملة، يُنصح بشدة بربط MDI مع Microsoft Sentinel.</w:t>
      </w:r>
    </w:p>
    <w:p>
      <w:pPr>
        <w:pStyle w:val="ArabicPara"/>
        <w:spacing w:before="240"/>
      </w:pPr>
      <w:r>
        <w:rPr>
          <w:b/>
          <w:bCs/>
          <w:sz w:val="26"/>
          <w:szCs w:val="26"/>
        </w:rPr>
        <w:t xml:space="preserve">خطوات الربط:</w:t>
      </w:r>
    </w:p>
    <w:p>
      <w:pPr>
        <w:pStyle w:val="ArabicPara"/>
        <w:numPr>
          <w:ilvl w:val="0"/>
          <w:numId w:val="4"/>
        </w:numPr>
      </w:pPr>
      <w:r>
        <w:t xml:space="preserve">افتح بوابة Azure (portal.azure.com)</w:t>
      </w:r>
    </w:p>
    <w:p>
      <w:pPr>
        <w:pStyle w:val="ArabicPara"/>
        <w:numPr>
          <w:ilvl w:val="0"/>
          <w:numId w:val="4"/>
        </w:numPr>
      </w:pPr>
      <w:r>
        <w:t xml:space="preserve">اذهب إلى Microsoft Sentinel workspace الخاص بك</w:t>
      </w:r>
    </w:p>
    <w:p>
      <w:pPr>
        <w:pStyle w:val="ArabicPara"/>
        <w:numPr>
          <w:ilvl w:val="0"/>
          <w:numId w:val="4"/>
        </w:numPr>
      </w:pPr>
      <w:r>
        <w:t xml:space="preserve">من القائمة الجانبية، اختر "Data connectors"</w:t>
      </w:r>
    </w:p>
    <w:p>
      <w:pPr>
        <w:pStyle w:val="ArabicPara"/>
        <w:numPr>
          <w:ilvl w:val="0"/>
          <w:numId w:val="4"/>
        </w:numPr>
      </w:pPr>
      <w:r>
        <w:t xml:space="preserve">ابحث عن "Microsoft Defender for Identity"</w:t>
      </w:r>
    </w:p>
    <w:p>
      <w:pPr>
        <w:pStyle w:val="ArabicPara"/>
        <w:numPr>
          <w:ilvl w:val="0"/>
          <w:numId w:val="4"/>
        </w:numPr>
      </w:pPr>
      <w:r>
        <w:t xml:space="preserve">اضغط على الموصل ثم "Open connector page"</w:t>
      </w:r>
    </w:p>
    <w:p>
      <w:pPr>
        <w:pStyle w:val="ArabicPara"/>
        <w:numPr>
          <w:ilvl w:val="0"/>
          <w:numId w:val="4"/>
        </w:numPr>
      </w:pPr>
      <w:r>
        <w:t xml:space="preserve">اضغط "Connect" وانتظر التأكيد</w:t>
      </w:r>
    </w:p>
    <w:p>
      <w:pPr>
        <w:pStyle w:val="ArabicPara"/>
        <w:numPr>
          <w:ilvl w:val="0"/>
          <w:numId w:val="4"/>
        </w:numPr>
      </w:pPr>
      <w:r>
        <w:t xml:space="preserve">بعد دقائق، ستبدأ البيانات بالتدفق إلى Sentinel</w:t>
      </w:r>
    </w:p>
    <w:p>
      <w:pPr>
        <w:pStyle w:val="TipBox"/>
      </w:pPr>
      <w:r>
        <w:t xml:space="preserve">💡 فائدة: بعد ربط MDI مع Sentinel، يمكنك كتابة KQL queries مخصصة، إنشاء Workbooks، وربط أحداث MDI مع مصادر أخرى للتحليل المتقدم.</w:t>
      </w:r>
    </w:p>
    <w:p>
      <w:pPr>
        <w:pStyle w:val="Heading2"/>
      </w:pPr>
      <w:r>
        <w:t xml:space="preserve">5.2 تفعيل Automated Response</w:t>
      </w:r>
    </w:p>
    <w:p>
      <w:pPr>
        <w:pStyle w:val="ArabicPara"/>
      </w:pPr>
      <w:r>
        <w:t xml:space="preserve">يمكنك إعداد استجابات تلقائية للتنبيهات الحرجة، مثل تعطيل حساب أو عزل جهاز.</w:t>
      </w:r>
    </w:p>
    <w:p>
      <w:pPr>
        <w:pStyle w:val="ArabicPara"/>
        <w:spacing w:before="240"/>
      </w:pPr>
      <w:r>
        <w:rPr>
          <w:b/>
          <w:bCs/>
          <w:sz w:val="26"/>
          <w:szCs w:val="26"/>
        </w:rPr>
        <w:t xml:space="preserve">مثال: تعطيل الحساب تلقائياً عند كشف Golden Ticket:</w:t>
      </w:r>
    </w:p>
    <w:p>
      <w:pPr>
        <w:pStyle w:val="ArabicPara"/>
        <w:numPr>
          <w:ilvl w:val="0"/>
          <w:numId w:val="4"/>
        </w:numPr>
      </w:pPr>
      <w:r>
        <w:t xml:space="preserve">من Microsoft 365 Defender، اذهب إلى Settings &gt; Identities &gt; Automated responses</w:t>
      </w:r>
    </w:p>
    <w:p>
      <w:pPr>
        <w:pStyle w:val="ArabicPara"/>
        <w:numPr>
          <w:ilvl w:val="0"/>
          <w:numId w:val="4"/>
        </w:numPr>
      </w:pPr>
      <w:r>
        <w:t xml:space="preserve">اضغط "Create automation rule"</w:t>
      </w:r>
    </w:p>
    <w:p>
      <w:pPr>
        <w:pStyle w:val="ArabicPara"/>
        <w:numPr>
          <w:ilvl w:val="0"/>
          <w:numId w:val="4"/>
        </w:numPr>
      </w:pPr>
      <w:r>
        <w:t xml:space="preserve">اختر Trigger: "When alert is generated"</w:t>
      </w:r>
    </w:p>
    <w:p>
      <w:pPr>
        <w:pStyle w:val="ArabicPara"/>
        <w:numPr>
          <w:ilvl w:val="0"/>
          <w:numId w:val="4"/>
        </w:numPr>
      </w:pPr>
      <w:r>
        <w:t xml:space="preserve">اختر Alert type: "Suspected Golden Ticket usage"</w:t>
      </w:r>
    </w:p>
    <w:p>
      <w:pPr>
        <w:pStyle w:val="ArabicPara"/>
        <w:numPr>
          <w:ilvl w:val="0"/>
          <w:numId w:val="4"/>
        </w:numPr>
      </w:pPr>
      <w:r>
        <w:t xml:space="preserve">اختر Action: "Disable user in Azure AD"</w:t>
      </w:r>
    </w:p>
    <w:p>
      <w:pPr>
        <w:pStyle w:val="ArabicPara"/>
        <w:numPr>
          <w:ilvl w:val="0"/>
          <w:numId w:val="4"/>
        </w:numPr>
      </w:pPr>
      <w:r>
        <w:t xml:space="preserve">اضغط Save</w:t>
      </w:r>
    </w:p>
    <w:p>
      <w:pPr>
        <w:pStyle w:val="WarningBox"/>
      </w:pPr>
      <w:r>
        <w:t xml:space="preserve">⚠️ تنبيه: كن حذراً جداً مع Automated Responses. قد تؤدي لتعطيل حسابات مهمة بالخطأ. يُفضل البدء بـ Notification فقط قبل تفعيل إجراءات تلقائية.</w:t>
      </w:r>
    </w:p>
    <w:p>
      <w:r>
        <w:br w:type="page"/>
      </w:r>
    </w:p>
    <w:p>
      <w:pPr>
        <w:pStyle w:val="Heading1"/>
      </w:pPr>
      <w:r>
        <w:t xml:space="preserve">الفصل السادس: المراقبة والصيانة المستمرة</w:t>
      </w:r>
    </w:p>
    <w:p>
      <w:pPr>
        <w:pStyle w:val="Heading2"/>
      </w:pPr>
      <w:r>
        <w:t xml:space="preserve">6.1 مراقبة صحة Sensors</w:t>
      </w:r>
    </w:p>
    <w:p>
      <w:pPr>
        <w:pStyle w:val="ArabicPara"/>
      </w:pPr>
      <w:r>
        <w:t xml:space="preserve">من المهم جداً مراقبة حالة Sensors بشكل يومي للتأكد من استمرارية الحماية.</w:t>
      </w:r>
    </w:p>
    <w:p>
      <w:pPr>
        <w:pStyle w:val="ArabicPara"/>
        <w:spacing w:before="240"/>
      </w:pPr>
      <w:r>
        <w:rPr>
          <w:b/>
          <w:bCs/>
          <w:sz w:val="26"/>
          <w:szCs w:val="26"/>
        </w:rPr>
        <w:t xml:space="preserve">خطوات المراقبة اليومية:</w:t>
      </w:r>
    </w:p>
    <w:p>
      <w:pPr>
        <w:pStyle w:val="ArabicPara"/>
        <w:numPr>
          <w:ilvl w:val="0"/>
          <w:numId w:val="4"/>
        </w:numPr>
      </w:pPr>
      <w:r>
        <w:t xml:space="preserve">كل صباح، افتح بوابة Microsoft 365 Defender</w:t>
      </w:r>
    </w:p>
    <w:p>
      <w:pPr>
        <w:pStyle w:val="ArabicPara"/>
        <w:numPr>
          <w:ilvl w:val="0"/>
          <w:numId w:val="4"/>
        </w:numPr>
      </w:pPr>
      <w:r>
        <w:t xml:space="preserve">اذهب إلى Settings &gt; Identities &gt; Sensors</w:t>
      </w:r>
    </w:p>
    <w:p>
      <w:pPr>
        <w:pStyle w:val="ArabicPara"/>
        <w:numPr>
          <w:ilvl w:val="0"/>
          <w:numId w:val="4"/>
        </w:numPr>
      </w:pPr>
      <w:r>
        <w:t xml:space="preserve">تحقق من أن جميع Sensors حالتها "Running" (اللون الأخضر)</w:t>
      </w:r>
    </w:p>
    <w:p>
      <w:pPr>
        <w:pStyle w:val="ArabicPara"/>
        <w:numPr>
          <w:ilvl w:val="0"/>
          <w:numId w:val="4"/>
        </w:numPr>
      </w:pPr>
      <w:r>
        <w:t xml:space="preserve">إذا كان أي Sensor حالته "Disconnected" أو "Error"، تحقق من:</w:t>
      </w:r>
    </w:p>
    <w:p>
      <w:pPr>
        <w:pStyle w:val="ArabicPara"/>
        <w:ind w:right="1080"/>
      </w:pPr>
      <w:r>
        <w:t xml:space="preserve">- هل الـ DC يعمل بشكل طبيعي؟</w:t>
      </w:r>
    </w:p>
    <w:p>
      <w:pPr>
        <w:pStyle w:val="ArabicPara"/>
        <w:ind w:right="1080"/>
      </w:pPr>
      <w:r>
        <w:t xml:space="preserve">- هل الخدمة Azure ATP Sensor قيد التشغيل؟</w:t>
      </w:r>
    </w:p>
    <w:p>
      <w:pPr>
        <w:pStyle w:val="ArabicPara"/>
        <w:ind w:right="1080"/>
      </w:pPr>
      <w:r>
        <w:t xml:space="preserve">- هل يوجد اتصال إنترنت من DC؟</w:t>
      </w:r>
    </w:p>
    <w:p>
      <w:pPr>
        <w:pStyle w:val="ArabicPara"/>
        <w:ind w:right="1080"/>
      </w:pPr>
      <w:r>
        <w:t xml:space="preserve">- راجع Event Viewer للأخطاء</w:t>
      </w:r>
    </w:p>
    <w:p>
      <w:pPr>
        <w:pStyle w:val="Heading2"/>
      </w:pPr>
      <w:r>
        <w:t xml:space="preserve">6.2 المراجعة الأسبوعية</w:t>
      </w:r>
    </w:p>
    <w:p>
      <w:pPr>
        <w:pStyle w:val="ArabicPara"/>
      </w:pPr>
      <w:r>
        <w:rPr>
          <w:b/>
          <w:bCs/>
          <w:sz w:val="26"/>
          <w:szCs w:val="26"/>
        </w:rPr>
        <w:t xml:space="preserve">مهام المراجعة الأسبوعية:</w:t>
      </w:r>
    </w:p>
    <w:p>
      <w:pPr>
        <w:pStyle w:val="ArabicPara"/>
        <w:numPr>
          <w:ilvl w:val="0"/>
          <w:numId w:val="2"/>
        </w:numPr>
      </w:pPr>
      <w:r>
        <w:t xml:space="preserve">راجع جميع Alerts التي ظهرت خلال الأسبوع</w:t>
      </w:r>
    </w:p>
    <w:p>
      <w:pPr>
        <w:pStyle w:val="ArabicPara"/>
        <w:numPr>
          <w:ilvl w:val="0"/>
          <w:numId w:val="2"/>
        </w:numPr>
      </w:pPr>
      <w:r>
        <w:t xml:space="preserve">صنّف Alerts إلى: True Positive / False Positive / Benign True Positive</w:t>
      </w:r>
    </w:p>
    <w:p>
      <w:pPr>
        <w:pStyle w:val="ArabicPara"/>
        <w:numPr>
          <w:ilvl w:val="0"/>
          <w:numId w:val="2"/>
        </w:numPr>
      </w:pPr>
      <w:r>
        <w:t xml:space="preserve">أضف استثناءات للـ False Positives المتكررة</w:t>
      </w:r>
    </w:p>
    <w:p>
      <w:pPr>
        <w:pStyle w:val="ArabicPara"/>
        <w:numPr>
          <w:ilvl w:val="0"/>
          <w:numId w:val="2"/>
        </w:numPr>
      </w:pPr>
      <w:r>
        <w:t xml:space="preserve">راجع تقرير Sensor health</w:t>
      </w:r>
    </w:p>
    <w:p>
      <w:pPr>
        <w:pStyle w:val="ArabicPara"/>
        <w:numPr>
          <w:ilvl w:val="0"/>
          <w:numId w:val="2"/>
        </w:numPr>
      </w:pPr>
      <w:r>
        <w:t xml:space="preserve">تحقق من أن جميع Sensors محدثة لآخر إصدار</w:t>
      </w:r>
    </w:p>
    <w:p>
      <w:pPr>
        <w:pStyle w:val="Heading2"/>
      </w:pPr>
      <w:r>
        <w:t xml:space="preserve">6.3 التحديثات والصيانة</w:t>
      </w:r>
    </w:p>
    <w:p>
      <w:pPr>
        <w:pStyle w:val="ArabicPara"/>
      </w:pPr>
      <w:r>
        <w:t xml:space="preserve">MDI Sensors تُحدّث تلقائياً من Microsoft. لا تحتاج لأي تدخل يدوي عادةً. لكن:</w:t>
      </w:r>
    </w:p>
    <w:p>
      <w:pPr>
        <w:pStyle w:val="ArabicPara"/>
        <w:numPr>
          <w:ilvl w:val="0"/>
          <w:numId w:val="2"/>
        </w:numPr>
      </w:pPr>
      <w:r>
        <w:t xml:space="preserve">تأكد من السماح لـ DCs بالاتصال بـ Azure للتحديثات</w:t>
      </w:r>
    </w:p>
    <w:p>
      <w:pPr>
        <w:pStyle w:val="ArabicPara"/>
        <w:numPr>
          <w:ilvl w:val="0"/>
          <w:numId w:val="2"/>
        </w:numPr>
      </w:pPr>
      <w:r>
        <w:t xml:space="preserve">راجع Release Notes شهرياً لمعرفة الميزات الجديدة</w:t>
      </w:r>
    </w:p>
    <w:p>
      <w:pPr>
        <w:pStyle w:val="ArabicPara"/>
        <w:numPr>
          <w:ilvl w:val="0"/>
          <w:numId w:val="2"/>
        </w:numPr>
      </w:pPr>
      <w:r>
        <w:t xml:space="preserve">إذا كان لديك Change Freeze period، خطط للتحديثات مسبقاً</w:t>
      </w:r>
    </w:p>
    <w:p>
      <w:r>
        <w:br w:type="page"/>
      </w:r>
    </w:p>
    <w:p>
      <w:pPr>
        <w:pStyle w:val="Heading1"/>
      </w:pPr>
      <w:r>
        <w:t xml:space="preserve">الفصل السابع: حل المشاكل الشائعة</w:t>
      </w:r>
    </w:p>
    <w:p>
      <w:pPr>
        <w:pStyle w:val="Heading2"/>
      </w:pPr>
      <w:r>
        <w:t xml:space="preserve">7.1 المشكلة: Sensor لا يظهر في البوابة</w:t>
      </w:r>
    </w:p>
    <w:p>
      <w:pPr>
        <w:pStyle w:val="ArabicPara"/>
      </w:pPr>
      <w:r>
        <w:rPr>
          <w:b/>
          <w:bCs/>
        </w:rPr>
        <w:t xml:space="preserve">الحلول المحتملة:</w:t>
      </w:r>
    </w:p>
    <w:p>
      <w:pPr>
        <w:pStyle w:val="ArabicPara"/>
        <w:numPr>
          <w:ilvl w:val="0"/>
          <w:numId w:val="5"/>
        </w:numPr>
      </w:pPr>
      <w:r>
        <w:t xml:space="preserve">تحقق من أن الخدمة قيد التشغيل على الـ DC</w:t>
      </w:r>
    </w:p>
    <w:p>
      <w:pPr>
        <w:pStyle w:val="ArabicPara"/>
        <w:numPr>
          <w:ilvl w:val="0"/>
          <w:numId w:val="5"/>
        </w:numPr>
      </w:pPr>
      <w:r>
        <w:t xml:space="preserve">تأكد من أن Access Key صحيح</w:t>
      </w:r>
    </w:p>
    <w:p>
      <w:pPr>
        <w:pStyle w:val="ArabicPara"/>
        <w:numPr>
          <w:ilvl w:val="0"/>
          <w:numId w:val="5"/>
        </w:numPr>
      </w:pPr>
      <w:r>
        <w:t xml:space="preserve">تحقق من الاتصال بالإنترنت:</w:t>
      </w:r>
    </w:p>
    <w:p>
      <w:pPr>
        <w:pStyle w:val="CodeBlock"/>
        <w:jc w:val="left"/>
      </w:pPr>
      <w:r>
        <w:t xml:space="preserve">Test-NetConnection -ComputerName sensorapi.atp.azure.com -Port 443</w:t>
      </w:r>
    </w:p>
    <w:p>
      <w:pPr>
        <w:pStyle w:val="ArabicPara"/>
        <w:numPr>
          <w:ilvl w:val="0"/>
          <w:numId w:val="5"/>
        </w:numPr>
      </w:pPr>
      <w:r>
        <w:t xml:space="preserve">راجع Event Viewer للأخطاء</w:t>
      </w:r>
    </w:p>
    <w:p>
      <w:pPr>
        <w:pStyle w:val="ArabicPara"/>
        <w:numPr>
          <w:ilvl w:val="0"/>
          <w:numId w:val="5"/>
        </w:numPr>
      </w:pPr>
      <w:r>
        <w:t xml:space="preserve">أعد تشغيل الخدمة وانتظر 15 دقيقة</w:t>
      </w:r>
    </w:p>
    <w:p>
      <w:pPr>
        <w:pStyle w:val="Heading2"/>
      </w:pPr>
      <w:r>
        <w:t xml:space="preserve">7.2 المشكلة: False Positives كثيرة</w:t>
      </w:r>
    </w:p>
    <w:p>
      <w:pPr>
        <w:pStyle w:val="ArabicPara"/>
      </w:pPr>
      <w:r>
        <w:rPr>
          <w:b/>
          <w:bCs/>
        </w:rPr>
        <w:t xml:space="preserve">الحلول:</w:t>
      </w:r>
    </w:p>
    <w:p>
      <w:pPr>
        <w:pStyle w:val="ArabicPara"/>
        <w:numPr>
          <w:ilvl w:val="0"/>
          <w:numId w:val="5"/>
        </w:numPr>
      </w:pPr>
      <w:r>
        <w:t xml:space="preserve">امنح MDI وقتاً للتعلم (Learning Period) - على الأقل أسبوعين</w:t>
      </w:r>
    </w:p>
    <w:p>
      <w:pPr>
        <w:pStyle w:val="ArabicPara"/>
        <w:numPr>
          <w:ilvl w:val="0"/>
          <w:numId w:val="5"/>
        </w:numPr>
      </w:pPr>
      <w:r>
        <w:t xml:space="preserve">راجع Alerts وحدد الأنماط المتكررة</w:t>
      </w:r>
    </w:p>
    <w:p>
      <w:pPr>
        <w:pStyle w:val="ArabicPara"/>
        <w:numPr>
          <w:ilvl w:val="0"/>
          <w:numId w:val="5"/>
        </w:numPr>
      </w:pPr>
      <w:r>
        <w:t xml:space="preserve">أضف Exclusions للحسابات الموثوقة</w:t>
      </w:r>
    </w:p>
    <w:p>
      <w:pPr>
        <w:pStyle w:val="ArabicPara"/>
        <w:numPr>
          <w:ilvl w:val="0"/>
          <w:numId w:val="5"/>
        </w:numPr>
      </w:pPr>
      <w:r>
        <w:t xml:space="preserve">عدّل Sensitivity levels لبعض القواعد</w:t>
      </w:r>
    </w:p>
    <w:p>
      <w:pPr>
        <w:pStyle w:val="ArabicPara"/>
        <w:numPr>
          <w:ilvl w:val="0"/>
          <w:numId w:val="5"/>
        </w:numPr>
      </w:pPr>
      <w:r>
        <w:t xml:space="preserve">وثّق كل استثناء بوضوح</w:t>
      </w:r>
    </w:p>
    <w:p>
      <w:pPr>
        <w:pStyle w:val="Heading2"/>
      </w:pPr>
      <w:r>
        <w:t xml:space="preserve">7.3 المشكلة: أداء الـ DC تأثر سلباً</w:t>
      </w:r>
    </w:p>
    <w:p>
      <w:pPr>
        <w:pStyle w:val="ArabicPara"/>
      </w:pPr>
      <w:r>
        <w:rPr>
          <w:b/>
          <w:bCs/>
        </w:rPr>
        <w:t xml:space="preserve">الحلول:</w:t>
      </w:r>
    </w:p>
    <w:p>
      <w:pPr>
        <w:pStyle w:val="ArabicPara"/>
        <w:numPr>
          <w:ilvl w:val="0"/>
          <w:numId w:val="5"/>
        </w:numPr>
      </w:pPr>
      <w:r>
        <w:t xml:space="preserve">تحقق من موارد الـ DC (CPU, RAM, Disk)</w:t>
      </w:r>
    </w:p>
    <w:p>
      <w:pPr>
        <w:pStyle w:val="ArabicPara"/>
        <w:numPr>
          <w:ilvl w:val="0"/>
          <w:numId w:val="5"/>
        </w:numPr>
      </w:pPr>
      <w:r>
        <w:t xml:space="preserve">قد تحتاج لزيادة موارد الـ DC</w:t>
      </w:r>
    </w:p>
    <w:p>
      <w:pPr>
        <w:pStyle w:val="ArabicPara"/>
        <w:numPr>
          <w:ilvl w:val="0"/>
          <w:numId w:val="5"/>
        </w:numPr>
      </w:pPr>
      <w:r>
        <w:t xml:space="preserve">راجع Sensor sizing في توثيق Microsoft</w:t>
      </w:r>
    </w:p>
    <w:p>
      <w:pPr>
        <w:pStyle w:val="ArabicPara"/>
        <w:numPr>
          <w:ilvl w:val="0"/>
          <w:numId w:val="5"/>
        </w:numPr>
      </w:pPr>
      <w:r>
        <w:t xml:space="preserve">تأكد من أن الـ DC عنده مساحة كافية (Disk Space)</w:t>
      </w:r>
    </w:p>
    <w:p>
      <w:r>
        <w:br w:type="page"/>
      </w:r>
    </w:p>
    <w:p>
      <w:pPr>
        <w:pStyle w:val="Heading1"/>
      </w:pPr>
      <w:r>
        <w:t xml:space="preserve">الخاتمة</w:t>
      </w:r>
    </w:p>
    <w:p>
      <w:pPr>
        <w:pStyle w:val="ArabicPara"/>
      </w:pPr>
      <w:r>
        <w:t xml:space="preserve">تهانينا! لقد أكملت تطبيق Microsoft Defender for Identity في بيئتك. الآن لديك حماية متقدمة ضد الهجمات المستهدفة لـ Active Directory.</w:t>
      </w:r>
    </w:p>
    <w:p>
      <w:pPr>
        <w:pStyle w:val="ArabicPara"/>
        <w:spacing w:before="240"/>
      </w:pPr>
      <w:r>
        <w:rPr>
          <w:b/>
          <w:bCs/>
          <w:sz w:val="26"/>
          <w:szCs w:val="26"/>
        </w:rPr>
        <w:t xml:space="preserve">النقاط الرئيسية للتذكر:</w:t>
      </w:r>
    </w:p>
    <w:p>
      <w:pPr>
        <w:pStyle w:val="ArabicPara"/>
        <w:numPr>
          <w:ilvl w:val="0"/>
          <w:numId w:val="2"/>
        </w:numPr>
      </w:pPr>
      <w:r>
        <w:t xml:space="preserve">راقب صحة Sensors يومياً</w:t>
      </w:r>
    </w:p>
    <w:p>
      <w:pPr>
        <w:pStyle w:val="ArabicPara"/>
        <w:numPr>
          <w:ilvl w:val="0"/>
          <w:numId w:val="2"/>
        </w:numPr>
      </w:pPr>
      <w:r>
        <w:t xml:space="preserve">راجع Alerts أسبوعياً</w:t>
      </w:r>
    </w:p>
    <w:p>
      <w:pPr>
        <w:pStyle w:val="ArabicPara"/>
        <w:numPr>
          <w:ilvl w:val="0"/>
          <w:numId w:val="2"/>
        </w:numPr>
      </w:pPr>
      <w:r>
        <w:t xml:space="preserve">اضبط Exclusions بحذر</w:t>
      </w:r>
    </w:p>
    <w:p>
      <w:pPr>
        <w:pStyle w:val="ArabicPara"/>
        <w:numPr>
          <w:ilvl w:val="0"/>
          <w:numId w:val="2"/>
        </w:numPr>
      </w:pPr>
      <w:r>
        <w:t xml:space="preserve">كامل مع Sentinel للحصول على قيمة أكبر</w:t>
      </w:r>
    </w:p>
    <w:p>
      <w:pPr>
        <w:pStyle w:val="ArabicPara"/>
        <w:numPr>
          <w:ilvl w:val="0"/>
          <w:numId w:val="2"/>
        </w:numPr>
      </w:pPr>
      <w:r>
        <w:t xml:space="preserve">ابقَ محدثاً بآخر الميزات والتطويرات</w:t>
      </w:r>
    </w:p>
    <w:p>
      <w:pPr>
        <w:pStyle w:val="ArabicPara"/>
        <w:spacing w:before="360"/>
      </w:pPr>
      <w:r>
        <w:rPr>
          <w:b/>
          <w:bCs/>
          <w:sz w:val="26"/>
          <w:szCs w:val="26"/>
        </w:rPr>
        <w:t xml:space="preserve">مصادر إضافية مفيدة:</w:t>
      </w:r>
    </w:p>
    <w:p>
      <w:pPr>
        <w:pStyle w:val="ArabicPara"/>
        <w:numPr>
          <w:ilvl w:val="0"/>
          <w:numId w:val="2"/>
        </w:numPr>
      </w:pPr>
      <w:r>
        <w:t xml:space="preserve">التوثيق الرسمي: </w:t>
      </w:r>
      <w:hyperlink w:history="1" r:id="rIdhmbrj5aarvqa50wewbcmz">
        <w:r>
          <w:rPr>
            <w:color w:val="0563C1"/>
            <w:u w:val="single"/>
          </w:rPr>
          <w:t xml:space="preserve">https://learn.microsoft.com/defender-for-identity</w:t>
        </w:r>
      </w:hyperlink>
    </w:p>
    <w:p>
      <w:pPr>
        <w:pStyle w:val="ArabicPara"/>
        <w:numPr>
          <w:ilvl w:val="0"/>
          <w:numId w:val="2"/>
        </w:numPr>
      </w:pPr>
      <w:r>
        <w:t xml:space="preserve">Microsoft Defender Portal: </w:t>
      </w:r>
      <w:hyperlink w:history="1" r:id="rIdcpecqaditqi5x_gr-r3vf">
        <w:r>
          <w:rPr>
            <w:color w:val="0563C1"/>
            <w:u w:val="single"/>
          </w:rPr>
          <w:t xml:space="preserve">https://security.microsoft.com</w:t>
        </w:r>
      </w:hyperlink>
    </w:p>
    <w:p>
      <w:pPr>
        <w:pStyle w:val="ArabicPara"/>
        <w:numPr>
          <w:ilvl w:val="0"/>
          <w:numId w:val="2"/>
        </w:numPr>
      </w:pPr>
      <w:r>
        <w:t xml:space="preserve">Tech Community: </w:t>
      </w:r>
      <w:hyperlink w:history="1" r:id="rIdxjjk6gogghw66ftqlhgaw">
        <w:r>
          <w:rPr>
            <w:color w:val="0563C1"/>
            <w:u w:val="single"/>
          </w:rPr>
          <w:t xml:space="preserve">Microsoft Defender for Identity Community</w:t>
        </w:r>
      </w:hyperlink>
    </w:p>
    <w:p>
      <w:pPr>
        <w:spacing w:before="600"/>
        <w:jc w:val="center"/>
      </w:pPr>
      <w:r>
        <w:rPr>
          <w:sz w:val="28"/>
          <w:szCs w:val="28"/>
        </w:rPr>
        <w:t xml:space="preserve">---</w:t>
      </w:r>
    </w:p>
    <w:p>
      <w:pPr>
        <w:spacing w:before="120"/>
        <w:jc w:val="center"/>
      </w:pPr>
      <w:r>
        <w:rPr>
          <w:i/>
          <w:iCs/>
          <w:color w:val="808080"/>
          <w:sz w:val="24"/>
          <w:szCs w:val="24"/>
        </w:rPr>
        <w:t xml:space="preserve">نهاية الدليل</w:t>
      </w:r>
    </w:p>
    <w:p>
      <w:pPr>
        <w:jc w:val="center"/>
      </w:pPr>
      <w:r>
        <w:rPr>
          <w:i/>
          <w:iCs/>
          <w:color w:val="808080"/>
          <w:sz w:val="20"/>
          <w:szCs w:val="20"/>
        </w:rPr>
        <w:t xml:space="preserve">للدعم والاستفسارات، راجع بوابة Microsoft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abstractNum w:abstractNumId="5"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val="fals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60"/>
      <w:szCs w:val="60"/>
    </w:rPr>
  </w:style>
  <w:style w:type="paragraph" w:styleId="Heading1">
    <w:name w:val="Heading 1"/>
    <w:basedOn w:val="Normal"/>
    <w:next w:val="Normal"/>
    <w:qFormat/>
    <w:pPr>
      <w:spacing w:before="360" w:after="180"/>
      <w:outlineLvl w:val="0"/>
    </w:pPr>
    <w:rPr>
      <w:rFonts w:ascii="Arial" w:cs="Arial" w:eastAsia="Arial" w:hAnsi="Arial"/>
      <w:b/>
      <w:bCs/>
      <w:color w:val="1F4E7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5"/>
      <w:sz w:val="30"/>
      <w:szCs w:val="30"/>
    </w:rPr>
  </w:style>
  <w:style w:type="paragraph" w:styleId="Heading3">
    <w:name w:val="Heading 3"/>
    <w:basedOn w:val="Normal"/>
    <w:next w:val="Normal"/>
    <w:qFormat/>
    <w:pPr>
      <w:spacing w:before="180" w:after="120"/>
      <w:outlineLvl w:val="2"/>
    </w:pPr>
    <w:rPr>
      <w:rFonts w:ascii="Arial" w:cs="Arial" w:eastAsia="Arial" w:hAnsi="Arial"/>
      <w:b/>
      <w:bCs/>
      <w:color w:val="5B9BD5"/>
      <w:sz w:val="26"/>
      <w:szCs w:val="26"/>
    </w:rPr>
  </w:style>
  <w:style w:type="paragraph" w:styleId="ArabicPara">
    <w:name w:val="Arabic Paragraph"/>
    <w:basedOn w:val="Normal"/>
    <w:pPr>
      <w:spacing w:after="120"/>
    </w:pPr>
    <w:rPr>
      <w:rFonts w:ascii="Arial" w:cs="Arial" w:eastAsia="Arial" w:hAnsi="Arial"/>
      <w:sz w:val="24"/>
      <w:szCs w:val="24"/>
    </w:rPr>
  </w:style>
  <w:style w:type="paragraph" w:styleId="CodeBlock">
    <w:name w:val="Code Block"/>
    <w:basedOn w:val="Normal"/>
    <w:pPr>
      <w:spacing w:before="120" w:after="120"/>
      <w:ind w:left="360"/>
    </w:pPr>
    <w:rPr>
      <w:rFonts w:ascii="Courier New" w:cs="Courier New" w:eastAsia="Courier New" w:hAnsi="Courier New"/>
      <w:sz w:val="20"/>
      <w:szCs w:val="20"/>
    </w:rPr>
  </w:style>
  <w:style w:type="paragraph" w:styleId="WarningBox">
    <w:name w:val="Warning Box"/>
    <w:basedOn w:val="Normal"/>
    <w:pPr>
      <w:spacing w:before="180" w:after="180"/>
      <w:ind w:left="360" w:right="360"/>
    </w:pPr>
    <w:rPr>
      <w:b/>
      <w:bCs/>
      <w:color w:val="C00000"/>
      <w:sz w:val="22"/>
      <w:szCs w:val="22"/>
    </w:rPr>
  </w:style>
  <w:style w:type="paragraph" w:styleId="TipBox">
    <w:name w:val="Tip Box"/>
    <w:basedOn w:val="Normal"/>
    <w:pPr>
      <w:spacing w:before="180" w:after="180"/>
      <w:ind w:left="360" w:right="360"/>
    </w:pPr>
    <w:rPr>
      <w:color w:val="0070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mbrj5aarvqa50wewbcmz" Type="http://schemas.openxmlformats.org/officeDocument/2006/relationships/hyperlink" Target="https://learn.microsoft.com/defender-for-identity" TargetMode="External"/><Relationship Id="rIdcpecqaditqi5x_gr-r3vf" Type="http://schemas.openxmlformats.org/officeDocument/2006/relationships/hyperlink" Target="https://security.microsoft.com" TargetMode="External"/><Relationship Id="rIdxjjk6gogghw66ftqlhgaw" Type="http://schemas.openxmlformats.org/officeDocument/2006/relationships/hyperlink" Target="https://techcommunity.microsoft.com/t5/microsoft-defender-for-identity/bd-p/AzureAdvancedThreatProtect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2025-11-03T11:02:41.388Z</dcterms:created>
  <dcterms:modified xsi:type="dcterms:W3CDTF">2025-11-03T11:02:41.389Z</dcterms:modified>
</cp:coreProperties>
</file>

<file path=docProps/custom.xml><?xml version="1.0" encoding="utf-8"?>
<Properties xmlns="http://schemas.openxmlformats.org/officeDocument/2006/custom-properties" xmlns:vt="http://schemas.openxmlformats.org/officeDocument/2006/docPropsVTypes"/>
</file>